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58E32" w14:textId="77777777" w:rsidR="00737086" w:rsidRPr="00737086" w:rsidRDefault="00737086" w:rsidP="00737086">
      <w:pPr>
        <w:spacing w:after="0" w:line="240" w:lineRule="auto"/>
        <w:jc w:val="both"/>
        <w:rPr>
          <w:rFonts w:ascii="Raleway" w:eastAsia="Times New Roman" w:hAnsi="Raleway" w:cs="Arial"/>
          <w:kern w:val="0"/>
          <w:sz w:val="26"/>
          <w:szCs w:val="26"/>
          <w:lang w:eastAsia="es-MX"/>
          <w14:ligatures w14:val="none"/>
        </w:rPr>
      </w:pPr>
    </w:p>
    <w:p w14:paraId="76FCC5C3" w14:textId="21F0ECED" w:rsidR="00737086" w:rsidRPr="00737086" w:rsidRDefault="00737086" w:rsidP="00737086">
      <w:pPr>
        <w:tabs>
          <w:tab w:val="left" w:pos="4536"/>
        </w:tabs>
        <w:spacing w:after="0" w:line="240" w:lineRule="auto"/>
        <w:ind w:left="2552"/>
        <w:jc w:val="both"/>
        <w:rPr>
          <w:rFonts w:ascii="Raleway" w:eastAsia="Times New Roman" w:hAnsi="Raleway" w:cs="Arial"/>
          <w:b/>
          <w:kern w:val="0"/>
          <w:sz w:val="27"/>
          <w:szCs w:val="27"/>
          <w:lang w:eastAsia="es-MX"/>
          <w14:ligatures w14:val="none"/>
        </w:rPr>
      </w:pPr>
      <w:bookmarkStart w:id="0" w:name="_Hlk213179795"/>
      <w:r w:rsidRPr="00737086">
        <w:rPr>
          <w:rFonts w:ascii="Raleway" w:eastAsia="Times New Roman" w:hAnsi="Raleway" w:cs="Arial"/>
          <w:b/>
          <w:kern w:val="0"/>
          <w:sz w:val="27"/>
          <w:szCs w:val="27"/>
          <w:lang w:eastAsia="es-MX"/>
          <w14:ligatures w14:val="none"/>
        </w:rPr>
        <w:t xml:space="preserve">VOTO CONCURRENTE QUE FORMULA LA MINISTRA SARA IRENE HERRERÍAS GUERRA EN LA CONTROVERSIA CONSTITUCIONAL </w:t>
      </w:r>
      <w:r w:rsidR="00560071">
        <w:rPr>
          <w:rFonts w:ascii="Raleway" w:eastAsia="Times New Roman" w:hAnsi="Raleway" w:cs="Arial"/>
          <w:b/>
          <w:kern w:val="0"/>
          <w:sz w:val="27"/>
          <w:szCs w:val="27"/>
          <w:lang w:eastAsia="es-MX"/>
          <w14:ligatures w14:val="none"/>
        </w:rPr>
        <w:t>209</w:t>
      </w:r>
      <w:r w:rsidRPr="00737086">
        <w:rPr>
          <w:rFonts w:ascii="Raleway" w:eastAsia="Times New Roman" w:hAnsi="Raleway" w:cs="Arial"/>
          <w:b/>
          <w:kern w:val="0"/>
          <w:sz w:val="27"/>
          <w:szCs w:val="27"/>
          <w:lang w:eastAsia="es-MX"/>
          <w14:ligatures w14:val="none"/>
        </w:rPr>
        <w:t>/202</w:t>
      </w:r>
      <w:bookmarkEnd w:id="0"/>
      <w:r w:rsidRPr="00737086">
        <w:rPr>
          <w:rFonts w:ascii="Raleway" w:eastAsia="Times New Roman" w:hAnsi="Raleway" w:cs="Arial"/>
          <w:b/>
          <w:kern w:val="0"/>
          <w:sz w:val="27"/>
          <w:szCs w:val="27"/>
          <w:lang w:eastAsia="es-MX"/>
          <w14:ligatures w14:val="none"/>
        </w:rPr>
        <w:t>6</w:t>
      </w:r>
    </w:p>
    <w:p w14:paraId="5A3BD37B" w14:textId="77777777" w:rsidR="00737086" w:rsidRPr="00737086" w:rsidRDefault="00737086" w:rsidP="00737086">
      <w:pPr>
        <w:tabs>
          <w:tab w:val="left" w:pos="4536"/>
        </w:tabs>
        <w:spacing w:after="0" w:line="240" w:lineRule="auto"/>
        <w:ind w:left="2552"/>
        <w:jc w:val="both"/>
        <w:rPr>
          <w:rFonts w:ascii="Raleway" w:eastAsia="Times New Roman" w:hAnsi="Raleway" w:cs="Times New Roman"/>
          <w:sz w:val="27"/>
          <w:szCs w:val="27"/>
          <w:lang w:val="es-ES" w:eastAsia="es-MX"/>
        </w:rPr>
      </w:pPr>
    </w:p>
    <w:p w14:paraId="7AAB6118" w14:textId="4F3DB61D" w:rsidR="00737086" w:rsidRDefault="00737086" w:rsidP="007343BC">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En sesión de v</w:t>
      </w:r>
      <w:r>
        <w:rPr>
          <w:rFonts w:ascii="Raleway" w:eastAsia="Times New Roman" w:hAnsi="Raleway" w:cs="Times New Roman"/>
          <w:sz w:val="27"/>
          <w:szCs w:val="27"/>
          <w:lang w:val="es-ES" w:eastAsia="es-MX"/>
        </w:rPr>
        <w:t>eintiocho de septiembre</w:t>
      </w:r>
      <w:r w:rsidRPr="00737086">
        <w:rPr>
          <w:rFonts w:ascii="Raleway" w:eastAsia="Times New Roman" w:hAnsi="Raleway" w:cs="Times New Roman"/>
          <w:sz w:val="27"/>
          <w:szCs w:val="27"/>
          <w:lang w:val="es-ES" w:eastAsia="es-MX"/>
        </w:rPr>
        <w:t xml:space="preserve"> de dos mil veintiséis, el Pleno de esta Suprema Corte de Justicia de la Nación declaró la invalidez de</w:t>
      </w:r>
      <w:r>
        <w:rPr>
          <w:rFonts w:ascii="Raleway" w:eastAsia="Times New Roman" w:hAnsi="Raleway" w:cs="Times New Roman"/>
          <w:sz w:val="27"/>
          <w:szCs w:val="27"/>
          <w:lang w:val="es-ES" w:eastAsia="es-MX"/>
        </w:rPr>
        <w:t xml:space="preserve"> los artículos</w:t>
      </w:r>
      <w:r w:rsidR="007343BC">
        <w:rPr>
          <w:rFonts w:ascii="Raleway" w:eastAsia="Times New Roman" w:hAnsi="Raleway" w:cs="Times New Roman"/>
          <w:sz w:val="27"/>
          <w:szCs w:val="27"/>
          <w:lang w:val="es-ES" w:eastAsia="es-MX"/>
        </w:rPr>
        <w:t xml:space="preserve"> 28, fracción XIV y 32, fracción VIII, inciso G)</w:t>
      </w:r>
      <w:r>
        <w:rPr>
          <w:rFonts w:ascii="Raleway" w:eastAsia="Times New Roman" w:hAnsi="Raleway" w:cs="Times New Roman"/>
          <w:sz w:val="27"/>
          <w:szCs w:val="27"/>
          <w:lang w:val="es-ES" w:eastAsia="es-MX"/>
        </w:rPr>
        <w:t xml:space="preserve">, de la Ley de Ingresos del Municipio de </w:t>
      </w:r>
      <w:r w:rsidR="007343BC">
        <w:rPr>
          <w:rFonts w:ascii="Raleway" w:eastAsia="Times New Roman" w:hAnsi="Raleway" w:cs="Times New Roman"/>
          <w:sz w:val="27"/>
          <w:szCs w:val="27"/>
          <w:lang w:val="es-ES" w:eastAsia="es-MX"/>
        </w:rPr>
        <w:t>Copándaro</w:t>
      </w:r>
      <w:r>
        <w:rPr>
          <w:rFonts w:ascii="Raleway" w:eastAsia="Times New Roman" w:hAnsi="Raleway" w:cs="Times New Roman"/>
          <w:sz w:val="27"/>
          <w:szCs w:val="27"/>
          <w:lang w:val="es-ES" w:eastAsia="es-MX"/>
        </w:rPr>
        <w:t>, Michoacán para el ejercicio Fiscal del Año 2026, que establec</w:t>
      </w:r>
      <w:r w:rsidR="007343BC">
        <w:rPr>
          <w:rFonts w:ascii="Raleway" w:eastAsia="Times New Roman" w:hAnsi="Raleway" w:cs="Times New Roman"/>
          <w:sz w:val="27"/>
          <w:szCs w:val="27"/>
          <w:lang w:val="es-ES" w:eastAsia="es-MX"/>
        </w:rPr>
        <w:t>ía</w:t>
      </w:r>
      <w:r>
        <w:rPr>
          <w:rFonts w:ascii="Raleway" w:eastAsia="Times New Roman" w:hAnsi="Raleway" w:cs="Times New Roman"/>
          <w:sz w:val="27"/>
          <w:szCs w:val="27"/>
          <w:lang w:val="es-ES" w:eastAsia="es-MX"/>
        </w:rPr>
        <w:t xml:space="preserve">n cobros por el otorgamiento de licencias para la construcción e instalación de estructuras y sistemas de telecomunicaciones, así como por licencias de uso de suelo  para la instalación de antenas y/o sistemas de telecomunicaciones. </w:t>
      </w:r>
    </w:p>
    <w:p w14:paraId="1C021B59" w14:textId="2C740FD7" w:rsid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Pr>
          <w:rFonts w:ascii="Raleway" w:eastAsia="Times New Roman" w:hAnsi="Raleway" w:cs="Times New Roman"/>
          <w:sz w:val="27"/>
          <w:szCs w:val="27"/>
          <w:lang w:val="es-ES" w:eastAsia="es-MX"/>
        </w:rPr>
        <w:t xml:space="preserve">Aunque me pronuncié a favor de la declaratoria de invalidez, me separé de algunas consideraciones, conforme a lo siguiente. </w:t>
      </w:r>
    </w:p>
    <w:p w14:paraId="6817A941" w14:textId="02882993" w:rsidR="00737086" w:rsidRPr="00737086" w:rsidRDefault="00737086" w:rsidP="00737086">
      <w:pPr>
        <w:spacing w:before="240" w:after="240" w:line="480" w:lineRule="auto"/>
        <w:ind w:firstLine="709"/>
        <w:jc w:val="both"/>
        <w:rPr>
          <w:rFonts w:ascii="Raleway" w:eastAsia="Times New Roman" w:hAnsi="Raleway" w:cs="Times New Roman"/>
          <w:sz w:val="27"/>
          <w:szCs w:val="27"/>
          <w:lang w:eastAsia="es-MX"/>
        </w:rPr>
      </w:pPr>
      <w:r w:rsidRPr="00737086">
        <w:rPr>
          <w:rFonts w:ascii="Raleway" w:eastAsia="Times New Roman" w:hAnsi="Raleway" w:cs="Times New Roman"/>
          <w:sz w:val="27"/>
          <w:szCs w:val="27"/>
          <w:lang w:eastAsia="es-MX"/>
        </w:rPr>
        <w:t xml:space="preserve">En principio, </w:t>
      </w:r>
      <w:r>
        <w:rPr>
          <w:rFonts w:ascii="Raleway" w:eastAsia="Times New Roman" w:hAnsi="Raleway" w:cs="Times New Roman"/>
          <w:sz w:val="27"/>
          <w:szCs w:val="27"/>
          <w:lang w:eastAsia="es-MX"/>
        </w:rPr>
        <w:t xml:space="preserve">como lo he considerado en diversos asuntos, estimo </w:t>
      </w:r>
      <w:r w:rsidRPr="00737086">
        <w:rPr>
          <w:rFonts w:ascii="Raleway" w:eastAsia="Times New Roman" w:hAnsi="Raleway" w:cs="Times New Roman"/>
          <w:sz w:val="27"/>
          <w:szCs w:val="27"/>
          <w:lang w:eastAsia="es-MX"/>
        </w:rPr>
        <w:t>que el cobro de derechos por concepto de la expedición de licencias de construcción no constituye propiamente una regulación de la materia de telecomunicaciones, sino que se trata del ejercicio de una atribución establecida expresamente en el artículo 115 de la Constitución Federal en favor de los municipios. Por ello, no comparto ciertas consideraciones de la sentencia de las que se desprende que la regulación de este tipo de licencias respecto de infraestructura de telecomunicaciones constituye, por sí misma, una invasión a la competencia de la Federación en la materia.</w:t>
      </w:r>
    </w:p>
    <w:p w14:paraId="6EC4FF5F" w14:textId="77777777" w:rsidR="00737086" w:rsidRPr="00737086" w:rsidRDefault="00737086" w:rsidP="00737086">
      <w:pPr>
        <w:spacing w:before="240" w:after="240" w:line="480" w:lineRule="auto"/>
        <w:ind w:firstLine="709"/>
        <w:jc w:val="both"/>
        <w:rPr>
          <w:rFonts w:ascii="Raleway" w:eastAsia="Times New Roman" w:hAnsi="Raleway" w:cs="Times New Roman"/>
          <w:sz w:val="27"/>
          <w:szCs w:val="27"/>
          <w:lang w:eastAsia="es-MX"/>
        </w:rPr>
      </w:pPr>
      <w:r w:rsidRPr="00737086">
        <w:rPr>
          <w:rFonts w:ascii="Raleway" w:eastAsia="Times New Roman" w:hAnsi="Raleway" w:cs="Times New Roman"/>
          <w:sz w:val="27"/>
          <w:szCs w:val="27"/>
          <w:lang w:eastAsia="es-MX"/>
        </w:rPr>
        <w:lastRenderedPageBreak/>
        <w:t>Desde mi perspectiva, esta postura es coherente con lo previsto en el artículo 5 de la Ley en Materia de Telecomunicaciones y Radiodifusión</w:t>
      </w:r>
      <w:r w:rsidRPr="00737086">
        <w:rPr>
          <w:rFonts w:ascii="Raleway" w:eastAsia="Times New Roman" w:hAnsi="Raleway" w:cs="Times New Roman"/>
          <w:sz w:val="27"/>
          <w:szCs w:val="27"/>
          <w:vertAlign w:val="superscript"/>
          <w:lang w:eastAsia="es-MX"/>
        </w:rPr>
        <w:footnoteReference w:id="1"/>
      </w:r>
      <w:r w:rsidRPr="00737086">
        <w:rPr>
          <w:rFonts w:ascii="Raleway" w:eastAsia="Times New Roman" w:hAnsi="Raleway" w:cs="Times New Roman"/>
          <w:sz w:val="27"/>
          <w:szCs w:val="27"/>
          <w:lang w:eastAsia="es-MX"/>
        </w:rPr>
        <w:t>, en el que se reconoce la participación de los distintos órdenes de gobierno en la materia, dentro de su respectivo ámbito competencial y, al mismo tiempo, se garantiza que no se impongan restricciones injustificadas para el desarrollo de infraestructura relacionada con la prestación de este servicio de interés público.</w:t>
      </w:r>
    </w:p>
    <w:p w14:paraId="1685DAC6" w14:textId="2887C766" w:rsidR="00737086" w:rsidRPr="00737086" w:rsidRDefault="00737086" w:rsidP="00737086">
      <w:pPr>
        <w:spacing w:before="240" w:after="240" w:line="480" w:lineRule="auto"/>
        <w:ind w:firstLine="709"/>
        <w:jc w:val="both"/>
        <w:rPr>
          <w:rFonts w:ascii="Raleway" w:eastAsia="Times New Roman" w:hAnsi="Raleway" w:cs="Times New Roman"/>
          <w:sz w:val="27"/>
          <w:szCs w:val="27"/>
          <w:lang w:eastAsia="es-MX"/>
        </w:rPr>
      </w:pPr>
      <w:r w:rsidRPr="00737086">
        <w:rPr>
          <w:rFonts w:ascii="Raleway" w:eastAsia="Times New Roman" w:hAnsi="Raleway" w:cs="Times New Roman"/>
          <w:sz w:val="27"/>
          <w:szCs w:val="27"/>
          <w:lang w:val="es-ES" w:eastAsia="es-MX"/>
        </w:rPr>
        <w:t xml:space="preserve">Con independencia de lo anterior, coincido en que la norma impugnada resulta inconstitucional </w:t>
      </w:r>
      <w:r>
        <w:rPr>
          <w:rFonts w:ascii="Raleway" w:eastAsia="Times New Roman" w:hAnsi="Raleway" w:cs="Times New Roman"/>
          <w:sz w:val="27"/>
          <w:szCs w:val="27"/>
          <w:lang w:val="es-ES" w:eastAsia="es-MX"/>
        </w:rPr>
        <w:t xml:space="preserve">pero </w:t>
      </w:r>
      <w:r w:rsidRPr="00737086">
        <w:rPr>
          <w:rFonts w:ascii="Raleway" w:eastAsia="Times New Roman" w:hAnsi="Raleway" w:cs="Times New Roman"/>
          <w:sz w:val="27"/>
          <w:szCs w:val="27"/>
          <w:lang w:val="es-ES" w:eastAsia="es-MX"/>
        </w:rPr>
        <w:t xml:space="preserve">porque </w:t>
      </w:r>
      <w:r w:rsidRPr="00737086">
        <w:rPr>
          <w:rFonts w:ascii="Raleway" w:eastAsia="Times New Roman" w:hAnsi="Raleway" w:cs="Times New Roman"/>
          <w:sz w:val="27"/>
          <w:szCs w:val="27"/>
          <w:lang w:eastAsia="es-MX"/>
        </w:rPr>
        <w:t>viola el principio de seguridad jurídica.</w:t>
      </w:r>
    </w:p>
    <w:p w14:paraId="282689C4" w14:textId="7D1190B0"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A mi juicio, la</w:t>
      </w:r>
      <w:r>
        <w:rPr>
          <w:rFonts w:ascii="Raleway" w:eastAsia="Times New Roman" w:hAnsi="Raleway" w:cs="Times New Roman"/>
          <w:sz w:val="27"/>
          <w:szCs w:val="27"/>
          <w:lang w:val="es-ES" w:eastAsia="es-MX"/>
        </w:rPr>
        <w:t>s</w:t>
      </w:r>
      <w:r w:rsidRPr="00737086">
        <w:rPr>
          <w:rFonts w:ascii="Raleway" w:eastAsia="Times New Roman" w:hAnsi="Raleway" w:cs="Times New Roman"/>
          <w:sz w:val="27"/>
          <w:szCs w:val="27"/>
          <w:lang w:val="es-ES" w:eastAsia="es-MX"/>
        </w:rPr>
        <w:t xml:space="preserve"> referencia</w:t>
      </w:r>
      <w:r>
        <w:rPr>
          <w:rFonts w:ascii="Raleway" w:eastAsia="Times New Roman" w:hAnsi="Raleway" w:cs="Times New Roman"/>
          <w:sz w:val="27"/>
          <w:szCs w:val="27"/>
          <w:lang w:val="es-ES" w:eastAsia="es-MX"/>
        </w:rPr>
        <w:t>s</w:t>
      </w:r>
      <w:r w:rsidRPr="00737086">
        <w:rPr>
          <w:rFonts w:ascii="Raleway" w:eastAsia="Times New Roman" w:hAnsi="Raleway" w:cs="Times New Roman"/>
          <w:sz w:val="27"/>
          <w:szCs w:val="27"/>
          <w:lang w:val="es-ES" w:eastAsia="es-MX"/>
        </w:rPr>
        <w:t xml:space="preserve"> </w:t>
      </w:r>
      <w:r>
        <w:rPr>
          <w:rFonts w:ascii="Raleway" w:eastAsia="Times New Roman" w:hAnsi="Raleway" w:cs="Times New Roman"/>
          <w:sz w:val="27"/>
          <w:szCs w:val="27"/>
          <w:lang w:val="es-ES" w:eastAsia="es-MX"/>
        </w:rPr>
        <w:t xml:space="preserve">“estructuras de antenas de sistemas de telecomunicaciones” y “antenas y/o sistemas de telecomunicaciones” </w:t>
      </w:r>
      <w:r w:rsidRPr="00737086">
        <w:rPr>
          <w:rFonts w:ascii="Raleway" w:eastAsia="Times New Roman" w:hAnsi="Raleway" w:cs="Times New Roman"/>
          <w:sz w:val="27"/>
          <w:szCs w:val="27"/>
          <w:lang w:val="es-ES" w:eastAsia="es-MX"/>
        </w:rPr>
        <w:t>resulta</w:t>
      </w:r>
      <w:r>
        <w:rPr>
          <w:rFonts w:ascii="Raleway" w:eastAsia="Times New Roman" w:hAnsi="Raleway" w:cs="Times New Roman"/>
          <w:sz w:val="27"/>
          <w:szCs w:val="27"/>
          <w:lang w:val="es-ES" w:eastAsia="es-MX"/>
        </w:rPr>
        <w:t>n</w:t>
      </w:r>
      <w:r w:rsidRPr="00737086">
        <w:rPr>
          <w:rFonts w:ascii="Raleway" w:eastAsia="Times New Roman" w:hAnsi="Raleway" w:cs="Times New Roman"/>
          <w:sz w:val="27"/>
          <w:szCs w:val="27"/>
          <w:lang w:val="es-ES" w:eastAsia="es-MX"/>
        </w:rPr>
        <w:t xml:space="preserve"> </w:t>
      </w:r>
      <w:proofErr w:type="spellStart"/>
      <w:r w:rsidRPr="00737086">
        <w:rPr>
          <w:rFonts w:ascii="Raleway" w:eastAsia="Times New Roman" w:hAnsi="Raleway" w:cs="Times New Roman"/>
          <w:sz w:val="27"/>
          <w:szCs w:val="27"/>
          <w:lang w:val="es-ES" w:eastAsia="es-MX"/>
        </w:rPr>
        <w:t>sobreinclusiva</w:t>
      </w:r>
      <w:r>
        <w:rPr>
          <w:rFonts w:ascii="Raleway" w:eastAsia="Times New Roman" w:hAnsi="Raleway" w:cs="Times New Roman"/>
          <w:sz w:val="27"/>
          <w:szCs w:val="27"/>
          <w:lang w:val="es-ES" w:eastAsia="es-MX"/>
        </w:rPr>
        <w:t>s</w:t>
      </w:r>
      <w:proofErr w:type="spellEnd"/>
      <w:r w:rsidRPr="00737086">
        <w:rPr>
          <w:rFonts w:ascii="Raleway" w:eastAsia="Times New Roman" w:hAnsi="Raleway" w:cs="Times New Roman"/>
          <w:sz w:val="27"/>
          <w:szCs w:val="27"/>
          <w:lang w:val="es-ES" w:eastAsia="es-MX"/>
        </w:rPr>
        <w:t xml:space="preserve"> al comprender indistintamente supuestos que, si bien pueden quedar comprendidos dentro de las atribuciones de los </w:t>
      </w:r>
      <w:r w:rsidRPr="00737086">
        <w:rPr>
          <w:rFonts w:ascii="Raleway" w:eastAsia="Times New Roman" w:hAnsi="Raleway" w:cs="Times New Roman"/>
          <w:sz w:val="27"/>
          <w:szCs w:val="27"/>
          <w:lang w:val="es-ES" w:eastAsia="es-MX"/>
        </w:rPr>
        <w:lastRenderedPageBreak/>
        <w:t>municipios en materia de construcción y desarrollo urbano, también incluye otros que evidentemente no se encuentran sujetos al régimen municipal.</w:t>
      </w:r>
    </w:p>
    <w:p w14:paraId="697FE1A4" w14:textId="7818A8D4"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 xml:space="preserve">La redacción de la disposición impugnada autoriza el cobro de derechos tanto por la construcción de infraestructura vinculada con las redes públicas de telecomunicaciones, como por conductas que sólo atañen a los particulares, como la instalación de antenas receptoras de señal de televisión o radio de uso doméstico, o cualquier objeto que pueda ser considerado como </w:t>
      </w:r>
      <w:r w:rsidRPr="00737086">
        <w:rPr>
          <w:rFonts w:ascii="Raleway" w:eastAsia="Times New Roman" w:hAnsi="Raleway" w:cs="Times New Roman"/>
          <w:i/>
          <w:iCs/>
          <w:sz w:val="27"/>
          <w:szCs w:val="27"/>
          <w:lang w:val="es-ES" w:eastAsia="es-MX"/>
        </w:rPr>
        <w:t>antena</w:t>
      </w:r>
      <w:r>
        <w:rPr>
          <w:rFonts w:ascii="Raleway" w:eastAsia="Times New Roman" w:hAnsi="Raleway" w:cs="Times New Roman"/>
          <w:sz w:val="27"/>
          <w:szCs w:val="27"/>
          <w:lang w:val="es-ES" w:eastAsia="es-MX"/>
        </w:rPr>
        <w:t xml:space="preserve"> o </w:t>
      </w:r>
      <w:r w:rsidRPr="00737086">
        <w:rPr>
          <w:rFonts w:ascii="Raleway" w:eastAsia="Times New Roman" w:hAnsi="Raleway" w:cs="Times New Roman"/>
          <w:i/>
          <w:iCs/>
          <w:sz w:val="27"/>
          <w:szCs w:val="27"/>
          <w:lang w:val="es-ES" w:eastAsia="es-MX"/>
        </w:rPr>
        <w:t xml:space="preserve">sistema de telecomunicaciones </w:t>
      </w:r>
      <w:r w:rsidRPr="00737086">
        <w:rPr>
          <w:rFonts w:ascii="Raleway" w:eastAsia="Times New Roman" w:hAnsi="Raleway" w:cs="Times New Roman"/>
          <w:sz w:val="27"/>
          <w:szCs w:val="27"/>
          <w:lang w:val="es-ES" w:eastAsia="es-MX"/>
        </w:rPr>
        <w:t>en sentido amplio.</w:t>
      </w:r>
    </w:p>
    <w:p w14:paraId="6A004EAE" w14:textId="77777777"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eastAsia="es-MX"/>
        </w:rPr>
        <w:t>En estas condiciones, considero que la norma en cuestión no delimita de manera adecuada su objeto y, por tanto, contraviene el principio de seguridad jurídica.</w:t>
      </w:r>
    </w:p>
    <w:p w14:paraId="28D75DF3" w14:textId="77777777"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Por las razones anteriores, emito el presente voto concurrente. </w:t>
      </w:r>
    </w:p>
    <w:p w14:paraId="73A215A0" w14:textId="77777777" w:rsidR="00737086" w:rsidRDefault="00737086" w:rsidP="00737086">
      <w:pPr>
        <w:spacing w:after="0" w:line="240" w:lineRule="auto"/>
        <w:ind w:left="360"/>
        <w:jc w:val="center"/>
        <w:rPr>
          <w:rFonts w:ascii="Raleway" w:eastAsia="Times New Roman" w:hAnsi="Raleway" w:cs="Arial"/>
          <w:b/>
          <w:bCs/>
          <w:kern w:val="0"/>
          <w:sz w:val="26"/>
          <w:szCs w:val="26"/>
          <w:lang w:val="pt-BR" w:eastAsia="es-MX"/>
          <w14:ligatures w14:val="none"/>
        </w:rPr>
      </w:pPr>
    </w:p>
    <w:p w14:paraId="7FC80FBC" w14:textId="5EAD54E7" w:rsidR="00737086" w:rsidRDefault="00737086" w:rsidP="00737086">
      <w:pPr>
        <w:spacing w:after="0" w:line="240" w:lineRule="auto"/>
        <w:ind w:left="360"/>
        <w:jc w:val="center"/>
        <w:rPr>
          <w:rFonts w:ascii="Raleway" w:eastAsia="Times New Roman" w:hAnsi="Raleway" w:cs="Arial"/>
          <w:b/>
          <w:bCs/>
          <w:kern w:val="0"/>
          <w:sz w:val="26"/>
          <w:szCs w:val="26"/>
          <w:lang w:val="pt-BR" w:eastAsia="es-MX"/>
          <w14:ligatures w14:val="none"/>
        </w:rPr>
      </w:pPr>
      <w:r w:rsidRPr="00737086">
        <w:rPr>
          <w:rFonts w:ascii="Raleway" w:eastAsia="Times New Roman" w:hAnsi="Raleway" w:cs="Arial"/>
          <w:b/>
          <w:bCs/>
          <w:kern w:val="0"/>
          <w:sz w:val="26"/>
          <w:szCs w:val="26"/>
          <w:lang w:val="pt-BR" w:eastAsia="es-MX"/>
          <w14:ligatures w14:val="none"/>
        </w:rPr>
        <w:t>MINISTRA SARA IRENE HERRERÍAS GUERRA</w:t>
      </w:r>
    </w:p>
    <w:p w14:paraId="2E0846D7" w14:textId="77777777" w:rsidR="00737086" w:rsidRDefault="00737086" w:rsidP="00737086">
      <w:pPr>
        <w:spacing w:after="0" w:line="240" w:lineRule="auto"/>
        <w:ind w:left="360"/>
        <w:jc w:val="center"/>
        <w:rPr>
          <w:rFonts w:ascii="Raleway" w:eastAsia="Times New Roman" w:hAnsi="Raleway" w:cs="Arial"/>
          <w:kern w:val="0"/>
          <w:sz w:val="26"/>
          <w:szCs w:val="26"/>
          <w:lang w:eastAsia="es-MX"/>
          <w14:ligatures w14:val="none"/>
        </w:rPr>
      </w:pPr>
    </w:p>
    <w:p w14:paraId="037D0D00" w14:textId="312378E1" w:rsidR="00737086" w:rsidRPr="00737086" w:rsidRDefault="00737086" w:rsidP="00737086">
      <w:pPr>
        <w:spacing w:after="0" w:line="240" w:lineRule="auto"/>
        <w:ind w:left="360"/>
        <w:jc w:val="right"/>
        <w:rPr>
          <w:rFonts w:ascii="Raleway" w:eastAsia="Times New Roman" w:hAnsi="Raleway" w:cs="Arial"/>
          <w:i/>
          <w:iCs/>
          <w:kern w:val="0"/>
          <w:sz w:val="26"/>
          <w:szCs w:val="26"/>
          <w:lang w:eastAsia="es-MX"/>
          <w14:ligatures w14:val="none"/>
        </w:rPr>
      </w:pPr>
      <w:r w:rsidRPr="00737086">
        <w:rPr>
          <w:rFonts w:ascii="Raleway" w:eastAsia="Times New Roman" w:hAnsi="Raleway" w:cs="Arial"/>
          <w:i/>
          <w:iCs/>
          <w:kern w:val="0"/>
          <w:sz w:val="26"/>
          <w:szCs w:val="26"/>
          <w:lang w:eastAsia="es-MX"/>
          <w14:ligatures w14:val="none"/>
        </w:rPr>
        <w:t>ARHB</w:t>
      </w:r>
    </w:p>
    <w:p w14:paraId="5073BDBD" w14:textId="77777777" w:rsidR="002E1E7A" w:rsidRDefault="002E1E7A"/>
    <w:sectPr w:rsidR="002E1E7A" w:rsidSect="00AB449B">
      <w:headerReference w:type="even" r:id="rId6"/>
      <w:headerReference w:type="default" r:id="rId7"/>
      <w:footerReference w:type="even" r:id="rId8"/>
      <w:footerReference w:type="default" r:id="rId9"/>
      <w:headerReference w:type="first" r:id="rId10"/>
      <w:footerReference w:type="first" r:id="rId11"/>
      <w:pgSz w:w="12242" w:h="19301" w:code="10000"/>
      <w:pgMar w:top="1417" w:right="1701" w:bottom="1417" w:left="1701" w:header="1417" w:footer="0"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D141F" w14:textId="77777777" w:rsidR="007818AC" w:rsidRDefault="007818AC" w:rsidP="00737086">
      <w:pPr>
        <w:spacing w:after="0" w:line="240" w:lineRule="auto"/>
      </w:pPr>
      <w:r>
        <w:separator/>
      </w:r>
    </w:p>
  </w:endnote>
  <w:endnote w:type="continuationSeparator" w:id="0">
    <w:p w14:paraId="23F64FEE" w14:textId="77777777" w:rsidR="007818AC" w:rsidRDefault="007818AC" w:rsidP="0073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47381"/>
      <w:docPartObj>
        <w:docPartGallery w:val="Page Numbers (Bottom of Page)"/>
        <w:docPartUnique/>
      </w:docPartObj>
    </w:sdtPr>
    <w:sdtEndPr>
      <w:rPr>
        <w:rFonts w:ascii="Raleway" w:hAnsi="Raleway"/>
        <w:sz w:val="22"/>
        <w:szCs w:val="22"/>
      </w:rPr>
    </w:sdtEndPr>
    <w:sdtContent>
      <w:p w14:paraId="0BFE5360" w14:textId="77777777" w:rsidR="00AB449B" w:rsidRDefault="00737086" w:rsidP="00AB449B">
        <w:pPr>
          <w:pStyle w:val="Piedepgina"/>
          <w:jc w:val="center"/>
          <w:rPr>
            <w:rFonts w:ascii="Raleway" w:hAnsi="Raleway"/>
            <w:sz w:val="22"/>
            <w:szCs w:val="22"/>
          </w:rPr>
        </w:pPr>
        <w:r w:rsidRPr="00AB449B">
          <w:rPr>
            <w:rFonts w:ascii="Raleway" w:hAnsi="Raleway"/>
            <w:sz w:val="22"/>
            <w:szCs w:val="22"/>
          </w:rPr>
          <w:fldChar w:fldCharType="begin"/>
        </w:r>
        <w:r w:rsidRPr="00AB449B">
          <w:rPr>
            <w:rFonts w:ascii="Raleway" w:hAnsi="Raleway"/>
            <w:sz w:val="22"/>
            <w:szCs w:val="22"/>
          </w:rPr>
          <w:instrText>PAGE   \* MERGEFORMAT</w:instrText>
        </w:r>
        <w:r w:rsidRPr="00AB449B">
          <w:rPr>
            <w:rFonts w:ascii="Raleway" w:hAnsi="Raleway"/>
            <w:sz w:val="22"/>
            <w:szCs w:val="22"/>
          </w:rPr>
          <w:fldChar w:fldCharType="separate"/>
        </w:r>
        <w:r w:rsidRPr="00AB449B">
          <w:rPr>
            <w:rFonts w:ascii="Raleway" w:hAnsi="Raleway"/>
            <w:noProof/>
            <w:sz w:val="22"/>
            <w:szCs w:val="22"/>
            <w:lang w:val="es-ES"/>
          </w:rPr>
          <w:t>2</w:t>
        </w:r>
        <w:r w:rsidRPr="00AB449B">
          <w:rPr>
            <w:rFonts w:ascii="Raleway" w:hAnsi="Raleway"/>
            <w:sz w:val="22"/>
            <w:szCs w:val="22"/>
          </w:rPr>
          <w:fldChar w:fldCharType="end"/>
        </w:r>
        <w:r w:rsidR="00AB449B" w:rsidRPr="00AB449B">
          <w:rPr>
            <w:rFonts w:ascii="Raleway" w:hAnsi="Raleway"/>
            <w:sz w:val="22"/>
            <w:szCs w:val="22"/>
          </w:rPr>
          <w:t>/3</w:t>
        </w:r>
      </w:p>
      <w:p w14:paraId="4FD8C0E3" w14:textId="0BF6894F" w:rsidR="00737086" w:rsidRPr="00AB449B" w:rsidRDefault="00000000" w:rsidP="00AB449B">
        <w:pPr>
          <w:pStyle w:val="Piedepgina"/>
          <w:jc w:val="center"/>
          <w:rPr>
            <w:sz w:val="22"/>
            <w:szCs w:val="22"/>
          </w:rPr>
        </w:pPr>
      </w:p>
    </w:sdtContent>
  </w:sdt>
  <w:p w14:paraId="496C9D68" w14:textId="77777777" w:rsidR="00737086" w:rsidRDefault="0073708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9130"/>
      <w:docPartObj>
        <w:docPartGallery w:val="Page Numbers (Bottom of Page)"/>
        <w:docPartUnique/>
      </w:docPartObj>
    </w:sdtPr>
    <w:sdtEndPr>
      <w:rPr>
        <w:rFonts w:ascii="Raleway" w:hAnsi="Raleway"/>
        <w:sz w:val="22"/>
        <w:szCs w:val="22"/>
      </w:rPr>
    </w:sdtEndPr>
    <w:sdtContent>
      <w:p w14:paraId="1496949D" w14:textId="77777777" w:rsidR="00737086" w:rsidRDefault="00737086" w:rsidP="00737086">
        <w:pPr>
          <w:pStyle w:val="Piedepgina"/>
          <w:jc w:val="center"/>
          <w:rPr>
            <w:rFonts w:ascii="Raleway" w:hAnsi="Raleway"/>
            <w:sz w:val="22"/>
            <w:szCs w:val="22"/>
          </w:rPr>
        </w:pPr>
        <w:r w:rsidRPr="00737086">
          <w:rPr>
            <w:rFonts w:ascii="Raleway" w:hAnsi="Raleway"/>
            <w:sz w:val="22"/>
            <w:szCs w:val="22"/>
          </w:rPr>
          <w:fldChar w:fldCharType="begin"/>
        </w:r>
        <w:r w:rsidRPr="00737086">
          <w:rPr>
            <w:rFonts w:ascii="Raleway" w:hAnsi="Raleway"/>
            <w:sz w:val="22"/>
            <w:szCs w:val="22"/>
          </w:rPr>
          <w:instrText>PAGE   \* MERGEFORMAT</w:instrText>
        </w:r>
        <w:r w:rsidRPr="00737086">
          <w:rPr>
            <w:rFonts w:ascii="Raleway" w:hAnsi="Raleway"/>
            <w:sz w:val="22"/>
            <w:szCs w:val="22"/>
          </w:rPr>
          <w:fldChar w:fldCharType="separate"/>
        </w:r>
        <w:r w:rsidRPr="00737086">
          <w:rPr>
            <w:rFonts w:ascii="Raleway" w:hAnsi="Raleway"/>
            <w:noProof/>
            <w:sz w:val="22"/>
            <w:szCs w:val="22"/>
            <w:lang w:val="es-ES"/>
          </w:rPr>
          <w:t>3</w:t>
        </w:r>
        <w:r w:rsidRPr="00737086">
          <w:rPr>
            <w:rFonts w:ascii="Raleway" w:hAnsi="Raleway"/>
            <w:sz w:val="22"/>
            <w:szCs w:val="22"/>
          </w:rPr>
          <w:fldChar w:fldCharType="end"/>
        </w:r>
        <w:r w:rsidRPr="00737086">
          <w:rPr>
            <w:rFonts w:ascii="Raleway" w:hAnsi="Raleway"/>
            <w:sz w:val="22"/>
            <w:szCs w:val="22"/>
          </w:rPr>
          <w:t>/3</w:t>
        </w:r>
      </w:p>
      <w:p w14:paraId="23E1776E" w14:textId="62CAAE88" w:rsidR="00737086" w:rsidRPr="00737086" w:rsidRDefault="00000000" w:rsidP="00737086">
        <w:pPr>
          <w:pStyle w:val="Piedepgina"/>
          <w:jc w:val="center"/>
          <w:rPr>
            <w:sz w:val="22"/>
            <w:szCs w:val="22"/>
          </w:rPr>
        </w:pPr>
      </w:p>
    </w:sdtContent>
  </w:sdt>
  <w:p w14:paraId="1BAF80B1" w14:textId="77777777" w:rsidR="00737086" w:rsidRDefault="0073708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20BB" w14:textId="67C8B0AF" w:rsidR="00737086" w:rsidRDefault="00AB449B" w:rsidP="00AB449B">
    <w:pPr>
      <w:pStyle w:val="Piedepgina"/>
      <w:jc w:val="center"/>
      <w:rPr>
        <w:rFonts w:ascii="Raleway" w:hAnsi="Raleway"/>
        <w:sz w:val="22"/>
        <w:szCs w:val="22"/>
      </w:rPr>
    </w:pPr>
    <w:r w:rsidRPr="00AB449B">
      <w:rPr>
        <w:rFonts w:ascii="Raleway" w:hAnsi="Raleway"/>
        <w:sz w:val="22"/>
        <w:szCs w:val="22"/>
      </w:rPr>
      <w:t>1/3</w:t>
    </w:r>
  </w:p>
  <w:p w14:paraId="4F132BB9" w14:textId="77777777" w:rsidR="00AB449B" w:rsidRPr="00AB449B" w:rsidRDefault="00AB449B" w:rsidP="00AB449B">
    <w:pPr>
      <w:pStyle w:val="Piedepgina"/>
      <w:jc w:val="center"/>
      <w:rPr>
        <w:rFonts w:ascii="Raleway" w:hAnsi="Raleway"/>
        <w:sz w:val="22"/>
        <w:szCs w:val="22"/>
      </w:rPr>
    </w:pPr>
  </w:p>
  <w:p w14:paraId="17AF5DE8" w14:textId="77777777" w:rsidR="00737086" w:rsidRDefault="007370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F914A" w14:textId="77777777" w:rsidR="007818AC" w:rsidRDefault="007818AC" w:rsidP="00737086">
      <w:pPr>
        <w:spacing w:after="0" w:line="240" w:lineRule="auto"/>
      </w:pPr>
      <w:r>
        <w:separator/>
      </w:r>
    </w:p>
  </w:footnote>
  <w:footnote w:type="continuationSeparator" w:id="0">
    <w:p w14:paraId="6970EAE6" w14:textId="77777777" w:rsidR="007818AC" w:rsidRDefault="007818AC" w:rsidP="00737086">
      <w:pPr>
        <w:spacing w:after="0" w:line="240" w:lineRule="auto"/>
      </w:pPr>
      <w:r>
        <w:continuationSeparator/>
      </w:r>
    </w:p>
  </w:footnote>
  <w:footnote w:id="1">
    <w:p w14:paraId="5E97F929" w14:textId="79BFB7AF" w:rsidR="00737086" w:rsidRPr="00BE14CD" w:rsidRDefault="00737086" w:rsidP="00737086">
      <w:pPr>
        <w:pStyle w:val="Textonotapie"/>
        <w:jc w:val="both"/>
        <w:rPr>
          <w:rFonts w:ascii="Raleway" w:hAnsi="Raleway"/>
          <w:i/>
          <w:iCs/>
          <w:sz w:val="18"/>
          <w:szCs w:val="18"/>
        </w:rPr>
      </w:pPr>
      <w:r w:rsidRPr="00CD0714">
        <w:rPr>
          <w:rStyle w:val="Refdenotaalpie"/>
          <w:rFonts w:ascii="Raleway" w:hAnsi="Raleway"/>
          <w:sz w:val="18"/>
          <w:szCs w:val="18"/>
        </w:rPr>
        <w:footnoteRef/>
      </w:r>
      <w:r w:rsidRPr="00CD0714">
        <w:rPr>
          <w:rFonts w:ascii="Raleway" w:hAnsi="Raleway"/>
          <w:sz w:val="18"/>
          <w:szCs w:val="18"/>
        </w:rPr>
        <w:t xml:space="preserve"> </w:t>
      </w:r>
      <w:r w:rsidRPr="00BE14CD">
        <w:rPr>
          <w:rFonts w:ascii="Raleway" w:hAnsi="Raleway"/>
          <w:b/>
          <w:bCs/>
          <w:i/>
          <w:iCs/>
          <w:sz w:val="18"/>
          <w:szCs w:val="18"/>
        </w:rPr>
        <w:t>Artículo 5.</w:t>
      </w:r>
      <w:r w:rsidRPr="00BE14CD">
        <w:rPr>
          <w:rFonts w:ascii="Raleway" w:hAnsi="Raleway"/>
          <w:i/>
          <w:iCs/>
          <w:sz w:val="18"/>
          <w:szCs w:val="18"/>
        </w:rPr>
        <w:t xml:space="preserve"> Las vías generales de comunicación, la obra civil y los derechos de paso, uso o vía, asociados a las redes públicas de telecomunicaciones, las estaciones de radiodifusión y equipos complementarios, así como los sistemas de comunicación vía satélite materia de la Ley y los servicios que con ellas se presten, son de jurisdicción federal.</w:t>
      </w:r>
    </w:p>
    <w:p w14:paraId="073E8220" w14:textId="77777777" w:rsidR="00737086" w:rsidRPr="00BE14CD" w:rsidRDefault="00737086" w:rsidP="00737086">
      <w:pPr>
        <w:pStyle w:val="Textonotapie"/>
        <w:jc w:val="both"/>
        <w:rPr>
          <w:rFonts w:ascii="Raleway" w:hAnsi="Raleway"/>
          <w:i/>
          <w:iCs/>
          <w:sz w:val="18"/>
          <w:szCs w:val="18"/>
        </w:rPr>
      </w:pPr>
      <w:r w:rsidRPr="00BE14CD">
        <w:rPr>
          <w:rFonts w:ascii="Raleway" w:hAnsi="Raleway"/>
          <w:i/>
          <w:iCs/>
          <w:sz w:val="18"/>
          <w:szCs w:val="18"/>
        </w:rPr>
        <w:t>Se consideran de interés general y utilidad pública la instalación, despliegue, operación, mantenimiento, desmantelamiento y retiro de infraestructura destinada al servicio de las redes públicas de telecomunicaciones, las estaciones de radiodifusión y equipos complementarios, las cuales estarán sujetas exclusivamente a los poderes federales, en sus respectivos ámbitos de atribuciones, debiendo respetarse las disposiciones estatales, municipales y de las demarcaciones territoriales de la Ciudad de México que resulten aplicables en materia de desarrollo urbano.</w:t>
      </w:r>
    </w:p>
    <w:p w14:paraId="0412AC24" w14:textId="77777777" w:rsidR="00737086" w:rsidRPr="00BE14CD" w:rsidRDefault="00737086" w:rsidP="00737086">
      <w:pPr>
        <w:pStyle w:val="Textonotapie"/>
        <w:jc w:val="both"/>
        <w:rPr>
          <w:rFonts w:ascii="Raleway" w:hAnsi="Raleway"/>
          <w:i/>
          <w:iCs/>
          <w:sz w:val="18"/>
          <w:szCs w:val="18"/>
        </w:rPr>
      </w:pPr>
      <w:r w:rsidRPr="00BE14CD">
        <w:rPr>
          <w:rFonts w:ascii="Raleway" w:hAnsi="Raleway"/>
          <w:i/>
          <w:iCs/>
          <w:sz w:val="18"/>
          <w:szCs w:val="18"/>
        </w:rPr>
        <w:t>No podrán imponerse contribuciones u otras contraprestaciones económicas adicionales a las que el concesionario haya pactado cubrir con el propietario de un inmueble para instalar su infraestructura.</w:t>
      </w:r>
    </w:p>
    <w:p w14:paraId="5B62A27D" w14:textId="77777777" w:rsidR="00737086" w:rsidRPr="00BE14CD" w:rsidRDefault="00737086" w:rsidP="00737086">
      <w:pPr>
        <w:pStyle w:val="Textonotapie"/>
        <w:jc w:val="both"/>
        <w:rPr>
          <w:rFonts w:ascii="Raleway" w:hAnsi="Raleway"/>
          <w:i/>
          <w:iCs/>
          <w:sz w:val="18"/>
          <w:szCs w:val="18"/>
        </w:rPr>
      </w:pPr>
      <w:r w:rsidRPr="00BE14CD">
        <w:rPr>
          <w:rFonts w:ascii="Raleway" w:hAnsi="Raleway"/>
          <w:i/>
          <w:iCs/>
          <w:sz w:val="18"/>
          <w:szCs w:val="18"/>
        </w:rPr>
        <w:t>El Ejecutivo Federal, los Estados, los Municipios y el Gobierno de la Ciudad de México y sus demarcaciones territoriales, en el ámbito de sus atribuciones y conforme a las disposiciones que al efecto emita la Comisión, colaborarán y otorgarán facilidades para la instalación y despliegue de infraestructura y provisión de los servicios públicos de interés general de telecomunicaciones y radiodifusión. En ningún caso se podrá restringir la instalación de infraestructura de telecomunicaciones y radiodifusión para la prestación de los servicios públicos que regula esta Ley.</w:t>
      </w:r>
    </w:p>
    <w:p w14:paraId="72008533" w14:textId="4AF6B766" w:rsidR="00737086" w:rsidRDefault="00737086" w:rsidP="00737086">
      <w:pPr>
        <w:pStyle w:val="Textonotapie"/>
        <w:jc w:val="both"/>
      </w:pPr>
      <w:r w:rsidRPr="00BE14CD">
        <w:rPr>
          <w:rFonts w:ascii="Raleway" w:hAnsi="Raleway"/>
          <w:i/>
          <w:iCs/>
          <w:sz w:val="18"/>
          <w:szCs w:val="18"/>
        </w:rPr>
        <w:t>Las controversias entre los concesionarios y la Federación, las entidades federativas, los municipios y demarcaciones territoriales de la Ciudad de México relacionadas con lo previsto en el presente artículo, serán resueltas por los tribunales especializados en materia de competencia económica, radiodifusión y telecomunicaciones</w:t>
      </w:r>
      <w:r w:rsidRPr="00CD0714">
        <w:rPr>
          <w:rFonts w:ascii="Raleway" w:hAnsi="Raleway"/>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F608" w14:textId="29032C1A" w:rsidR="00737086" w:rsidRPr="00CA188D" w:rsidRDefault="00737086" w:rsidP="00AB449B">
    <w:pPr>
      <w:tabs>
        <w:tab w:val="left" w:pos="4536"/>
      </w:tabs>
      <w:ind w:left="2552"/>
      <w:jc w:val="both"/>
      <w:rPr>
        <w:rFonts w:ascii="Raleway" w:hAnsi="Raleway" w:cs="Arial"/>
        <w:b/>
        <w:sz w:val="27"/>
        <w:szCs w:val="27"/>
      </w:rPr>
    </w:pPr>
    <w:r w:rsidRPr="00CA188D">
      <w:rPr>
        <w:rFonts w:ascii="Raleway" w:hAnsi="Raleway" w:cs="Arial"/>
        <w:b/>
        <w:sz w:val="27"/>
        <w:szCs w:val="27"/>
      </w:rPr>
      <w:t xml:space="preserve">VOTO CONCURRENTE QUE FORMULA LA MINISTRA SARA IRENE HERRERÍAS GUERRA EN LA CONTROVERSIA CONSTITUCIONAL </w:t>
    </w:r>
    <w:r w:rsidR="007343BC">
      <w:rPr>
        <w:rFonts w:ascii="Raleway" w:hAnsi="Raleway" w:cs="Arial"/>
        <w:b/>
        <w:sz w:val="27"/>
        <w:szCs w:val="27"/>
      </w:rPr>
      <w:t>209</w:t>
    </w:r>
    <w:r w:rsidRPr="00CA188D">
      <w:rPr>
        <w:rFonts w:ascii="Raleway" w:hAnsi="Raleway" w:cs="Arial"/>
        <w:b/>
        <w:sz w:val="27"/>
        <w:szCs w:val="27"/>
      </w:rPr>
      <w:t>/2026</w:t>
    </w:r>
  </w:p>
  <w:p w14:paraId="21A5582A" w14:textId="77777777" w:rsidR="00737086" w:rsidRDefault="00737086" w:rsidP="005843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CAF4" w14:textId="268F1D7B" w:rsidR="00737086" w:rsidRDefault="00737086" w:rsidP="00737086">
    <w:pPr>
      <w:tabs>
        <w:tab w:val="left" w:pos="4536"/>
      </w:tabs>
      <w:ind w:left="2552"/>
      <w:jc w:val="both"/>
      <w:rPr>
        <w:rFonts w:cs="Arial"/>
        <w:b/>
      </w:rPr>
    </w:pPr>
    <w:r w:rsidRPr="00FA0200">
      <w:rPr>
        <w:rFonts w:ascii="Raleway" w:hAnsi="Raleway" w:cs="Arial"/>
        <w:b/>
        <w:noProof/>
        <w:sz w:val="27"/>
        <w:szCs w:val="27"/>
      </w:rPr>
      <mc:AlternateContent>
        <mc:Choice Requires="wps">
          <w:drawing>
            <wp:anchor distT="0" distB="0" distL="114300" distR="114300" simplePos="0" relativeHeight="251659264" behindDoc="1" locked="0" layoutInCell="1" allowOverlap="1" wp14:anchorId="48D95E77" wp14:editId="5609C509">
              <wp:simplePos x="0" y="0"/>
              <wp:positionH relativeFrom="margin">
                <wp:posOffset>-709733</wp:posOffset>
              </wp:positionH>
              <wp:positionV relativeFrom="margin">
                <wp:posOffset>-1182019</wp:posOffset>
              </wp:positionV>
              <wp:extent cx="1946910" cy="1835150"/>
              <wp:effectExtent l="0" t="0" r="0" b="0"/>
              <wp:wrapSquare wrapText="bothSides"/>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910" cy="1835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A1BC" id="Rectángulo 8" o:spid="_x0000_s1026" style="position:absolute;margin-left:-55.9pt;margin-top:-93.05pt;width:153.3pt;height:14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" stroked="f">
              <w10:wrap type="square" anchorx="margin" anchory="margin"/>
            </v:rect>
          </w:pict>
        </mc:Fallback>
      </mc:AlternateContent>
    </w:r>
    <w:r w:rsidRPr="00CA188D">
      <w:rPr>
        <w:rFonts w:ascii="Raleway" w:hAnsi="Raleway" w:cs="Arial"/>
        <w:b/>
        <w:sz w:val="27"/>
        <w:szCs w:val="27"/>
      </w:rPr>
      <w:t>VOTO CONCURRENTE QUE FORMULA LA MINISTRA SARA IRENE HERRERÍAS GUERRA EN LA CONTROVERSIA CONSTITUCIONAL</w:t>
    </w:r>
    <w:r>
      <w:rPr>
        <w:rFonts w:ascii="Raleway" w:hAnsi="Raleway" w:cs="Arial"/>
        <w:b/>
        <w:sz w:val="27"/>
        <w:szCs w:val="27"/>
      </w:rPr>
      <w:t xml:space="preserve"> </w:t>
    </w:r>
    <w:r w:rsidR="007343BC">
      <w:rPr>
        <w:rFonts w:ascii="Raleway" w:hAnsi="Raleway" w:cs="Arial"/>
        <w:b/>
        <w:sz w:val="27"/>
        <w:szCs w:val="27"/>
      </w:rPr>
      <w:t>209</w:t>
    </w:r>
    <w:r w:rsidRPr="00CA188D">
      <w:rPr>
        <w:rFonts w:ascii="Raleway" w:hAnsi="Raleway" w:cs="Arial"/>
        <w:b/>
        <w:sz w:val="27"/>
        <w:szCs w:val="27"/>
      </w:rPr>
      <w:t>/2026</w:t>
    </w:r>
  </w:p>
  <w:p w14:paraId="774CD70B" w14:textId="77777777" w:rsidR="00737086" w:rsidRDefault="00737086" w:rsidP="00C16E1C">
    <w:pPr>
      <w:pStyle w:val="Encabezado"/>
      <w:ind w:left="2832"/>
      <w:rPr>
        <w:rFonts w:cs="Arial"/>
        <w:b/>
        <w:sz w:val="24"/>
      </w:rPr>
    </w:pPr>
  </w:p>
  <w:p w14:paraId="59E2AA1F" w14:textId="77777777" w:rsidR="00737086" w:rsidRPr="00E82929" w:rsidRDefault="00737086" w:rsidP="00B62FE5">
    <w:pPr>
      <w:pStyle w:val="Encabezado"/>
      <w:rPr>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A857" w14:textId="77777777" w:rsidR="00737086" w:rsidRPr="000836F5" w:rsidRDefault="00737086" w:rsidP="000836F5">
    <w:pPr>
      <w:ind w:left="2832"/>
      <w:rPr>
        <w:rFonts w:ascii="Raleway" w:hAnsi="Raleway" w:cs="Arial"/>
        <w:b/>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086"/>
    <w:rsid w:val="002E1E7A"/>
    <w:rsid w:val="004B3519"/>
    <w:rsid w:val="00560071"/>
    <w:rsid w:val="005B75F2"/>
    <w:rsid w:val="005E11DB"/>
    <w:rsid w:val="007343BC"/>
    <w:rsid w:val="00737086"/>
    <w:rsid w:val="007818AC"/>
    <w:rsid w:val="00AB449B"/>
    <w:rsid w:val="00DF6E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527C"/>
  <w15:chartTrackingRefBased/>
  <w15:docId w15:val="{9B517E4F-5B75-4EBF-A23D-8D702EA4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7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7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708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708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708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70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70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70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708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708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708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708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708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708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708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708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708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7086"/>
    <w:rPr>
      <w:rFonts w:eastAsiaTheme="majorEastAsia" w:cstheme="majorBidi"/>
      <w:color w:val="272727" w:themeColor="text1" w:themeTint="D8"/>
    </w:rPr>
  </w:style>
  <w:style w:type="paragraph" w:styleId="Ttulo">
    <w:name w:val="Title"/>
    <w:basedOn w:val="Normal"/>
    <w:next w:val="Normal"/>
    <w:link w:val="TtuloCar"/>
    <w:uiPriority w:val="10"/>
    <w:qFormat/>
    <w:rsid w:val="00737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70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708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708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7086"/>
    <w:pPr>
      <w:spacing w:before="160"/>
      <w:jc w:val="center"/>
    </w:pPr>
    <w:rPr>
      <w:i/>
      <w:iCs/>
      <w:color w:val="404040" w:themeColor="text1" w:themeTint="BF"/>
    </w:rPr>
  </w:style>
  <w:style w:type="character" w:customStyle="1" w:styleId="CitaCar">
    <w:name w:val="Cita Car"/>
    <w:basedOn w:val="Fuentedeprrafopredeter"/>
    <w:link w:val="Cita"/>
    <w:uiPriority w:val="29"/>
    <w:rsid w:val="00737086"/>
    <w:rPr>
      <w:i/>
      <w:iCs/>
      <w:color w:val="404040" w:themeColor="text1" w:themeTint="BF"/>
    </w:rPr>
  </w:style>
  <w:style w:type="paragraph" w:styleId="Prrafodelista">
    <w:name w:val="List Paragraph"/>
    <w:basedOn w:val="Normal"/>
    <w:uiPriority w:val="34"/>
    <w:qFormat/>
    <w:rsid w:val="00737086"/>
    <w:pPr>
      <w:ind w:left="720"/>
      <w:contextualSpacing/>
    </w:pPr>
  </w:style>
  <w:style w:type="character" w:styleId="nfasisintenso">
    <w:name w:val="Intense Emphasis"/>
    <w:basedOn w:val="Fuentedeprrafopredeter"/>
    <w:uiPriority w:val="21"/>
    <w:qFormat/>
    <w:rsid w:val="00737086"/>
    <w:rPr>
      <w:i/>
      <w:iCs/>
      <w:color w:val="0F4761" w:themeColor="accent1" w:themeShade="BF"/>
    </w:rPr>
  </w:style>
  <w:style w:type="paragraph" w:styleId="Citadestacada">
    <w:name w:val="Intense Quote"/>
    <w:basedOn w:val="Normal"/>
    <w:next w:val="Normal"/>
    <w:link w:val="CitadestacadaCar"/>
    <w:uiPriority w:val="30"/>
    <w:qFormat/>
    <w:rsid w:val="00737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7086"/>
    <w:rPr>
      <w:i/>
      <w:iCs/>
      <w:color w:val="0F4761" w:themeColor="accent1" w:themeShade="BF"/>
    </w:rPr>
  </w:style>
  <w:style w:type="character" w:styleId="Referenciaintensa">
    <w:name w:val="Intense Reference"/>
    <w:basedOn w:val="Fuentedeprrafopredeter"/>
    <w:uiPriority w:val="32"/>
    <w:qFormat/>
    <w:rsid w:val="00737086"/>
    <w:rPr>
      <w:b/>
      <w:bCs/>
      <w:smallCaps/>
      <w:color w:val="0F4761" w:themeColor="accent1" w:themeShade="BF"/>
      <w:spacing w:val="5"/>
    </w:rPr>
  </w:style>
  <w:style w:type="paragraph" w:styleId="Textonotapie">
    <w:name w:val="footnote text"/>
    <w:basedOn w:val="Normal"/>
    <w:link w:val="TextonotapieCar"/>
    <w:uiPriority w:val="99"/>
    <w:semiHidden/>
    <w:unhideWhenUsed/>
    <w:rsid w:val="0073708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37086"/>
    <w:rPr>
      <w:sz w:val="20"/>
      <w:szCs w:val="20"/>
    </w:rPr>
  </w:style>
  <w:style w:type="paragraph" w:styleId="Encabezado">
    <w:name w:val="header"/>
    <w:basedOn w:val="Normal"/>
    <w:link w:val="EncabezadoCar"/>
    <w:unhideWhenUsed/>
    <w:rsid w:val="00737086"/>
    <w:pPr>
      <w:tabs>
        <w:tab w:val="center" w:pos="4419"/>
        <w:tab w:val="right" w:pos="8838"/>
      </w:tabs>
      <w:spacing w:after="0" w:line="240" w:lineRule="auto"/>
      <w:jc w:val="both"/>
    </w:pPr>
    <w:rPr>
      <w:rFonts w:ascii="Arial" w:eastAsia="Times New Roman" w:hAnsi="Arial" w:cs="Times New Roman"/>
      <w:kern w:val="0"/>
      <w:sz w:val="30"/>
      <w:lang w:eastAsia="es-MX"/>
      <w14:ligatures w14:val="none"/>
    </w:rPr>
  </w:style>
  <w:style w:type="character" w:customStyle="1" w:styleId="EncabezadoCar">
    <w:name w:val="Encabezado Car"/>
    <w:basedOn w:val="Fuentedeprrafopredeter"/>
    <w:link w:val="Encabezado"/>
    <w:rsid w:val="00737086"/>
    <w:rPr>
      <w:rFonts w:ascii="Arial" w:eastAsia="Times New Roman" w:hAnsi="Arial" w:cs="Times New Roman"/>
      <w:kern w:val="0"/>
      <w:sz w:val="30"/>
      <w:lang w:eastAsia="es-MX"/>
      <w14:ligatures w14:val="none"/>
    </w:rPr>
  </w:style>
  <w:style w:type="paragraph" w:styleId="Piedepgina">
    <w:name w:val="footer"/>
    <w:basedOn w:val="Normal"/>
    <w:link w:val="PiedepginaCar"/>
    <w:uiPriority w:val="99"/>
    <w:unhideWhenUsed/>
    <w:rsid w:val="00737086"/>
    <w:pPr>
      <w:tabs>
        <w:tab w:val="center" w:pos="4419"/>
        <w:tab w:val="right" w:pos="8838"/>
      </w:tabs>
      <w:spacing w:after="0" w:line="240" w:lineRule="auto"/>
      <w:jc w:val="both"/>
    </w:pPr>
    <w:rPr>
      <w:rFonts w:ascii="Arial" w:eastAsia="Times New Roman" w:hAnsi="Arial" w:cs="Times New Roman"/>
      <w:kern w:val="0"/>
      <w:sz w:val="30"/>
      <w:lang w:eastAsia="es-MX"/>
      <w14:ligatures w14:val="none"/>
    </w:rPr>
  </w:style>
  <w:style w:type="character" w:customStyle="1" w:styleId="PiedepginaCar">
    <w:name w:val="Pie de página Car"/>
    <w:basedOn w:val="Fuentedeprrafopredeter"/>
    <w:link w:val="Piedepgina"/>
    <w:uiPriority w:val="99"/>
    <w:rsid w:val="00737086"/>
    <w:rPr>
      <w:rFonts w:ascii="Arial" w:eastAsia="Times New Roman" w:hAnsi="Arial" w:cs="Times New Roman"/>
      <w:kern w:val="0"/>
      <w:sz w:val="30"/>
      <w:lang w:eastAsia="es-MX"/>
      <w14:ligatures w14:val="none"/>
    </w:rPr>
  </w:style>
  <w:style w:type="character" w:styleId="Refdenotaalpie">
    <w:name w:val="footnote reference"/>
    <w:aliases w:val="Ref. de nota al pie 2,Texto de nota al pie,Appel note de bas de page,Footnotes refss,f,Footnote number,referencia nota al pie,BVI fnr,4_G,16 Point,Superscript 6 Point,Texto nota al pie,julio,Footnote Reference Char3,Stinking Styles6"/>
    <w:basedOn w:val="Fuentedeprrafopredeter"/>
    <w:uiPriority w:val="99"/>
    <w:unhideWhenUsed/>
    <w:qFormat/>
    <w:rsid w:val="00737086"/>
    <w:rPr>
      <w:vertAlign w:val="superscript"/>
    </w:rPr>
  </w:style>
  <w:style w:type="table" w:styleId="Tablaconcuadrcula">
    <w:name w:val="Table Grid"/>
    <w:basedOn w:val="Tablanormal"/>
    <w:uiPriority w:val="39"/>
    <w:rsid w:val="00737086"/>
    <w:pPr>
      <w:spacing w:after="0" w:line="240" w:lineRule="auto"/>
    </w:pPr>
    <w:rPr>
      <w:rFonts w:ascii="Calibri" w:eastAsia="Calibri"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NORMAL">
    <w:name w:val="TEXTO NORMAL"/>
    <w:basedOn w:val="Normal"/>
    <w:link w:val="TEXTONORMALCar"/>
    <w:rsid w:val="00737086"/>
    <w:pPr>
      <w:spacing w:after="0" w:line="360" w:lineRule="auto"/>
      <w:ind w:firstLine="709"/>
      <w:jc w:val="both"/>
    </w:pPr>
    <w:rPr>
      <w:rFonts w:ascii="Arial" w:eastAsia="Times New Roman" w:hAnsi="Arial" w:cs="Arial"/>
      <w:kern w:val="0"/>
      <w:sz w:val="28"/>
      <w:szCs w:val="28"/>
      <w:lang w:eastAsia="es-ES"/>
      <w14:ligatures w14:val="none"/>
    </w:rPr>
  </w:style>
  <w:style w:type="character" w:customStyle="1" w:styleId="TEXTONORMALCar">
    <w:name w:val="TEXTO NORMAL Car"/>
    <w:link w:val="TEXTONORMAL"/>
    <w:rsid w:val="00737086"/>
    <w:rPr>
      <w:rFonts w:ascii="Arial" w:eastAsia="Times New Roman" w:hAnsi="Arial" w:cs="Arial"/>
      <w:kern w:val="0"/>
      <w:sz w:val="28"/>
      <w:szCs w:val="28"/>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486</Words>
  <Characters>2675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ADDA ROSA HOYOS BRITO</dc:creator>
  <cp:keywords/>
  <dc:description/>
  <cp:lastModifiedBy>ADDA ROSA HOYOS BRITO</cp:lastModifiedBy>
  <cp:revision>3</cp:revision>
  <dcterms:created xsi:type="dcterms:W3CDTF">2026-10-23T16:47:00Z</dcterms:created>
  <dcterms:modified xsi:type="dcterms:W3CDTF">2026-10-23T16:49:00Z</dcterms:modified>
</cp:coreProperties>
</file>