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ECDC" w14:textId="1E27EFEE" w:rsidR="00120C0D" w:rsidRPr="00687B32" w:rsidRDefault="00120C0D" w:rsidP="00120C0D">
      <w:pPr>
        <w:pStyle w:val="Textonotapie"/>
        <w:spacing w:line="360" w:lineRule="auto"/>
        <w:jc w:val="both"/>
        <w:rPr>
          <w:rFonts w:ascii="Arial" w:hAnsi="Arial" w:cs="Arial"/>
          <w:b/>
          <w:caps/>
          <w:sz w:val="28"/>
          <w:szCs w:val="28"/>
        </w:rPr>
      </w:pPr>
      <w:r w:rsidRPr="00687B32">
        <w:rPr>
          <w:rFonts w:ascii="Arial" w:hAnsi="Arial" w:cs="Arial"/>
          <w:b/>
          <w:sz w:val="28"/>
          <w:szCs w:val="28"/>
        </w:rPr>
        <w:t xml:space="preserve">VOTO CONCURRENTE QUE EMITE EL MINISTRO </w:t>
      </w:r>
      <w:r>
        <w:rPr>
          <w:rFonts w:ascii="Arial" w:hAnsi="Arial" w:cs="Arial"/>
          <w:b/>
          <w:sz w:val="28"/>
          <w:szCs w:val="28"/>
        </w:rPr>
        <w:t>GIOVANNI AZAEL FIGUEROA MEJÍA</w:t>
      </w:r>
      <w:r w:rsidRPr="00687B32">
        <w:rPr>
          <w:rFonts w:ascii="Arial" w:hAnsi="Arial" w:cs="Arial"/>
          <w:b/>
          <w:sz w:val="28"/>
          <w:szCs w:val="28"/>
        </w:rPr>
        <w:t xml:space="preserve">, EN RELACIÓN CON </w:t>
      </w:r>
      <w:r w:rsidR="00155150">
        <w:rPr>
          <w:rFonts w:ascii="Arial" w:hAnsi="Arial" w:cs="Arial"/>
          <w:b/>
          <w:sz w:val="28"/>
          <w:szCs w:val="28"/>
        </w:rPr>
        <w:t xml:space="preserve">EL </w:t>
      </w:r>
      <w:r w:rsidR="00EB0EA9">
        <w:rPr>
          <w:rFonts w:ascii="Arial" w:hAnsi="Arial" w:cs="Arial"/>
          <w:b/>
          <w:sz w:val="28"/>
          <w:szCs w:val="28"/>
        </w:rPr>
        <w:t>INCIDENTE DE INEJECUCIÓN DE SENTENCIA 3</w:t>
      </w:r>
      <w:r w:rsidR="00946D76">
        <w:rPr>
          <w:rFonts w:ascii="Arial" w:hAnsi="Arial" w:cs="Arial"/>
          <w:b/>
          <w:sz w:val="28"/>
          <w:szCs w:val="28"/>
        </w:rPr>
        <w:t>3</w:t>
      </w:r>
      <w:r w:rsidR="00ED3B2A">
        <w:rPr>
          <w:rFonts w:ascii="Arial" w:hAnsi="Arial" w:cs="Arial"/>
          <w:b/>
          <w:sz w:val="28"/>
          <w:szCs w:val="28"/>
        </w:rPr>
        <w:t>/202</w:t>
      </w:r>
      <w:r w:rsidR="00946D76">
        <w:rPr>
          <w:rFonts w:ascii="Arial" w:hAnsi="Arial" w:cs="Arial"/>
          <w:b/>
          <w:sz w:val="28"/>
          <w:szCs w:val="28"/>
        </w:rPr>
        <w:t>6</w:t>
      </w:r>
      <w:r w:rsidR="00ED3B2A">
        <w:rPr>
          <w:rFonts w:ascii="Arial" w:hAnsi="Arial" w:cs="Arial"/>
          <w:b/>
          <w:sz w:val="28"/>
          <w:szCs w:val="28"/>
        </w:rPr>
        <w:t>.</w:t>
      </w:r>
    </w:p>
    <w:p w14:paraId="687F9C5F" w14:textId="77777777" w:rsidR="00120C0D" w:rsidRPr="00687B32" w:rsidRDefault="00120C0D" w:rsidP="00120C0D">
      <w:pPr>
        <w:pStyle w:val="Prrafodelista"/>
        <w:spacing w:line="360" w:lineRule="auto"/>
        <w:ind w:left="0"/>
        <w:jc w:val="both"/>
        <w:rPr>
          <w:rFonts w:ascii="Arial" w:hAnsi="Arial" w:cs="Arial"/>
          <w:sz w:val="28"/>
          <w:szCs w:val="28"/>
        </w:rPr>
      </w:pPr>
    </w:p>
    <w:p w14:paraId="7AE6BA3D" w14:textId="4EF37A2A" w:rsidR="00743F30" w:rsidRDefault="00120C0D" w:rsidP="009556F1">
      <w:pPr>
        <w:pStyle w:val="Prrafodelista"/>
        <w:spacing w:after="240" w:line="360" w:lineRule="auto"/>
        <w:ind w:left="0"/>
        <w:contextualSpacing w:val="0"/>
        <w:jc w:val="both"/>
        <w:rPr>
          <w:rFonts w:ascii="Arial" w:hAnsi="Arial" w:cs="Arial"/>
          <w:sz w:val="28"/>
          <w:szCs w:val="28"/>
        </w:rPr>
      </w:pPr>
      <w:r w:rsidRPr="00687B32">
        <w:rPr>
          <w:rFonts w:ascii="Arial" w:hAnsi="Arial" w:cs="Arial"/>
          <w:sz w:val="28"/>
          <w:szCs w:val="28"/>
        </w:rPr>
        <w:t xml:space="preserve">En sesión </w:t>
      </w:r>
      <w:r w:rsidR="000C789F">
        <w:rPr>
          <w:rFonts w:ascii="Arial" w:hAnsi="Arial" w:cs="Arial"/>
          <w:sz w:val="28"/>
          <w:szCs w:val="28"/>
        </w:rPr>
        <w:t xml:space="preserve">de </w:t>
      </w:r>
      <w:r w:rsidR="00E61D6F">
        <w:rPr>
          <w:rFonts w:ascii="Arial" w:hAnsi="Arial" w:cs="Arial"/>
          <w:sz w:val="28"/>
          <w:szCs w:val="28"/>
        </w:rPr>
        <w:t>tres</w:t>
      </w:r>
      <w:r w:rsidR="000D1A74">
        <w:rPr>
          <w:rFonts w:ascii="Arial" w:hAnsi="Arial" w:cs="Arial"/>
          <w:sz w:val="28"/>
          <w:szCs w:val="28"/>
        </w:rPr>
        <w:t xml:space="preserve"> de septiembre</w:t>
      </w:r>
      <w:r w:rsidR="004D4983">
        <w:rPr>
          <w:rFonts w:ascii="Arial" w:hAnsi="Arial" w:cs="Arial"/>
          <w:sz w:val="28"/>
          <w:szCs w:val="28"/>
        </w:rPr>
        <w:t xml:space="preserve"> </w:t>
      </w:r>
      <w:r w:rsidRPr="00687B32">
        <w:rPr>
          <w:rFonts w:ascii="Arial" w:hAnsi="Arial" w:cs="Arial"/>
          <w:sz w:val="28"/>
          <w:szCs w:val="28"/>
        </w:rPr>
        <w:t xml:space="preserve">de dos mil </w:t>
      </w:r>
      <w:r w:rsidR="0005562D">
        <w:rPr>
          <w:rFonts w:ascii="Arial" w:hAnsi="Arial" w:cs="Arial"/>
          <w:sz w:val="28"/>
          <w:szCs w:val="28"/>
        </w:rPr>
        <w:t>veintiséis</w:t>
      </w:r>
      <w:r w:rsidRPr="00687B32">
        <w:rPr>
          <w:rFonts w:ascii="Arial" w:hAnsi="Arial" w:cs="Arial"/>
          <w:sz w:val="28"/>
          <w:szCs w:val="28"/>
        </w:rPr>
        <w:t>, l</w:t>
      </w:r>
      <w:r w:rsidR="001B38A0">
        <w:rPr>
          <w:rFonts w:ascii="Arial" w:hAnsi="Arial" w:cs="Arial"/>
          <w:sz w:val="28"/>
          <w:szCs w:val="28"/>
        </w:rPr>
        <w:t>as y l</w:t>
      </w:r>
      <w:r w:rsidRPr="00687B32">
        <w:rPr>
          <w:rFonts w:ascii="Arial" w:hAnsi="Arial" w:cs="Arial"/>
          <w:sz w:val="28"/>
          <w:szCs w:val="28"/>
        </w:rPr>
        <w:t>os integrantes de</w:t>
      </w:r>
      <w:r>
        <w:rPr>
          <w:rFonts w:ascii="Arial" w:hAnsi="Arial" w:cs="Arial"/>
          <w:sz w:val="28"/>
          <w:szCs w:val="28"/>
        </w:rPr>
        <w:t>l Tribunal Pleno</w:t>
      </w:r>
      <w:r w:rsidRPr="00687B32">
        <w:rPr>
          <w:rFonts w:ascii="Arial" w:hAnsi="Arial" w:cs="Arial"/>
          <w:sz w:val="28"/>
          <w:szCs w:val="28"/>
        </w:rPr>
        <w:t xml:space="preserve"> de la Suprema Corte de Justicia de la Nación</w:t>
      </w:r>
      <w:r w:rsidR="00771B72">
        <w:rPr>
          <w:rFonts w:ascii="Arial" w:hAnsi="Arial" w:cs="Arial"/>
          <w:sz w:val="28"/>
          <w:szCs w:val="28"/>
        </w:rPr>
        <w:t xml:space="preserve"> </w:t>
      </w:r>
      <w:r w:rsidRPr="00687B32">
        <w:rPr>
          <w:rFonts w:ascii="Arial" w:hAnsi="Arial" w:cs="Arial"/>
          <w:sz w:val="28"/>
          <w:szCs w:val="28"/>
        </w:rPr>
        <w:t>resolvimos</w:t>
      </w:r>
      <w:r w:rsidR="00771B72">
        <w:rPr>
          <w:rFonts w:ascii="Arial" w:hAnsi="Arial" w:cs="Arial"/>
          <w:sz w:val="28"/>
          <w:szCs w:val="28"/>
        </w:rPr>
        <w:t>,</w:t>
      </w:r>
      <w:r w:rsidRPr="00687B32">
        <w:rPr>
          <w:rFonts w:ascii="Arial" w:hAnsi="Arial" w:cs="Arial"/>
          <w:sz w:val="28"/>
          <w:szCs w:val="28"/>
        </w:rPr>
        <w:t xml:space="preserve"> por </w:t>
      </w:r>
      <w:r w:rsidR="00B34206">
        <w:rPr>
          <w:rFonts w:ascii="Arial" w:hAnsi="Arial" w:cs="Arial"/>
          <w:sz w:val="28"/>
          <w:szCs w:val="28"/>
        </w:rPr>
        <w:t xml:space="preserve">unanimidad de </w:t>
      </w:r>
      <w:r w:rsidR="00946D76">
        <w:rPr>
          <w:rFonts w:ascii="Arial" w:hAnsi="Arial" w:cs="Arial"/>
          <w:sz w:val="28"/>
          <w:szCs w:val="28"/>
        </w:rPr>
        <w:t>ocho</w:t>
      </w:r>
      <w:r w:rsidRPr="00687B32">
        <w:rPr>
          <w:rFonts w:ascii="Arial" w:hAnsi="Arial" w:cs="Arial"/>
          <w:sz w:val="28"/>
          <w:szCs w:val="28"/>
        </w:rPr>
        <w:t xml:space="preserve"> votos</w:t>
      </w:r>
      <w:r w:rsidR="00771B72">
        <w:rPr>
          <w:rFonts w:ascii="Arial" w:hAnsi="Arial" w:cs="Arial"/>
          <w:sz w:val="28"/>
          <w:szCs w:val="28"/>
        </w:rPr>
        <w:t>,</w:t>
      </w:r>
      <w:r>
        <w:rPr>
          <w:rFonts w:ascii="Arial" w:hAnsi="Arial" w:cs="Arial"/>
          <w:sz w:val="28"/>
          <w:szCs w:val="28"/>
        </w:rPr>
        <w:t xml:space="preserve"> </w:t>
      </w:r>
      <w:r w:rsidR="00B34206">
        <w:rPr>
          <w:rFonts w:ascii="Arial" w:hAnsi="Arial" w:cs="Arial"/>
          <w:sz w:val="28"/>
          <w:szCs w:val="28"/>
        </w:rPr>
        <w:t xml:space="preserve">declarar </w:t>
      </w:r>
      <w:r w:rsidR="007B4CAC">
        <w:rPr>
          <w:rFonts w:ascii="Arial" w:hAnsi="Arial" w:cs="Arial"/>
          <w:sz w:val="28"/>
          <w:szCs w:val="28"/>
        </w:rPr>
        <w:t>infundado</w:t>
      </w:r>
      <w:r w:rsidR="00B34206">
        <w:rPr>
          <w:rFonts w:ascii="Arial" w:hAnsi="Arial" w:cs="Arial"/>
          <w:sz w:val="28"/>
          <w:szCs w:val="28"/>
        </w:rPr>
        <w:t xml:space="preserve"> el incidente de inejecución de sentencia </w:t>
      </w:r>
      <w:r w:rsidR="00FA585B">
        <w:rPr>
          <w:rFonts w:ascii="Arial" w:hAnsi="Arial" w:cs="Arial"/>
          <w:sz w:val="28"/>
          <w:szCs w:val="28"/>
        </w:rPr>
        <w:t>citado al rubro</w:t>
      </w:r>
      <w:r w:rsidR="00742090">
        <w:rPr>
          <w:rFonts w:ascii="Arial" w:hAnsi="Arial" w:cs="Arial"/>
          <w:sz w:val="28"/>
          <w:szCs w:val="28"/>
        </w:rPr>
        <w:t>.</w:t>
      </w:r>
    </w:p>
    <w:p w14:paraId="30E4A3DB" w14:textId="73075221" w:rsidR="00120C0D" w:rsidRPr="00743F30" w:rsidRDefault="00120C0D" w:rsidP="009556F1">
      <w:pPr>
        <w:pStyle w:val="Prrafodelista"/>
        <w:spacing w:after="240" w:line="360" w:lineRule="auto"/>
        <w:ind w:left="0"/>
        <w:contextualSpacing w:val="0"/>
        <w:jc w:val="both"/>
        <w:rPr>
          <w:rFonts w:ascii="Arial" w:hAnsi="Arial" w:cs="Arial"/>
          <w:sz w:val="28"/>
          <w:szCs w:val="28"/>
        </w:rPr>
      </w:pPr>
      <w:r w:rsidRPr="00687B32">
        <w:rPr>
          <w:rFonts w:ascii="Arial" w:hAnsi="Arial" w:cs="Arial"/>
          <w:b/>
          <w:sz w:val="28"/>
          <w:szCs w:val="28"/>
        </w:rPr>
        <w:t xml:space="preserve">Razones de la </w:t>
      </w:r>
      <w:r w:rsidR="00A23904">
        <w:rPr>
          <w:rFonts w:ascii="Arial" w:hAnsi="Arial" w:cs="Arial"/>
          <w:b/>
          <w:sz w:val="28"/>
          <w:szCs w:val="28"/>
        </w:rPr>
        <w:t>ejecutoria</w:t>
      </w:r>
    </w:p>
    <w:p w14:paraId="12FD700B" w14:textId="62614C49" w:rsidR="001F5B4B" w:rsidRPr="00743F30" w:rsidRDefault="00B308BD" w:rsidP="00BF0DDD">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rPr>
        <w:t xml:space="preserve">En la ejecutoria se analizó </w:t>
      </w:r>
      <w:r w:rsidR="00BF0DDD" w:rsidRPr="00743F30">
        <w:rPr>
          <w:rFonts w:ascii="Arial" w:hAnsi="Arial" w:cs="Arial"/>
          <w:sz w:val="28"/>
          <w:szCs w:val="28"/>
        </w:rPr>
        <w:t>el posible incumplimiento de la sentencia dictada en un amparo indirecto del índice de</w:t>
      </w:r>
      <w:r w:rsidR="00BB7118" w:rsidRPr="00743F30">
        <w:rPr>
          <w:rFonts w:ascii="Arial" w:hAnsi="Arial" w:cs="Arial"/>
          <w:sz w:val="28"/>
          <w:szCs w:val="28"/>
        </w:rPr>
        <w:t xml:space="preserve"> un Juzgado de Distrito </w:t>
      </w:r>
      <w:r w:rsidR="009144EB" w:rsidRPr="00743F30">
        <w:rPr>
          <w:rFonts w:ascii="Arial" w:hAnsi="Arial" w:cs="Arial"/>
          <w:sz w:val="28"/>
          <w:szCs w:val="28"/>
        </w:rPr>
        <w:t xml:space="preserve">en el Estado de </w:t>
      </w:r>
      <w:r w:rsidR="00EB6A1C" w:rsidRPr="00743F30">
        <w:rPr>
          <w:rFonts w:ascii="Arial" w:hAnsi="Arial" w:cs="Arial"/>
          <w:sz w:val="28"/>
          <w:szCs w:val="28"/>
        </w:rPr>
        <w:t>Sinaloa</w:t>
      </w:r>
      <w:r w:rsidR="009144EB" w:rsidRPr="00743F30">
        <w:rPr>
          <w:rFonts w:ascii="Arial" w:hAnsi="Arial" w:cs="Arial"/>
          <w:sz w:val="28"/>
          <w:szCs w:val="28"/>
        </w:rPr>
        <w:t xml:space="preserve">. </w:t>
      </w:r>
    </w:p>
    <w:p w14:paraId="233589E6" w14:textId="77777777" w:rsidR="003021BF" w:rsidRPr="00743F30" w:rsidRDefault="006132DD" w:rsidP="003021BF">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rPr>
        <w:t xml:space="preserve">Al respecto, se determinó declarar </w:t>
      </w:r>
      <w:r w:rsidR="007F2EFC" w:rsidRPr="00743F30">
        <w:rPr>
          <w:rFonts w:ascii="Arial" w:hAnsi="Arial" w:cs="Arial"/>
          <w:sz w:val="28"/>
          <w:szCs w:val="28"/>
        </w:rPr>
        <w:t>infundado</w:t>
      </w:r>
      <w:r w:rsidRPr="00743F30">
        <w:rPr>
          <w:rFonts w:ascii="Arial" w:hAnsi="Arial" w:cs="Arial"/>
          <w:sz w:val="28"/>
          <w:szCs w:val="28"/>
        </w:rPr>
        <w:t xml:space="preserve"> el incidente de inejecución de sentencia y dejar sin efectos la resolución emitida por el Tribunal Colegiado de Circuito</w:t>
      </w:r>
      <w:r w:rsidRPr="00743F30">
        <w:rPr>
          <w:rFonts w:ascii="Arial" w:hAnsi="Arial" w:cs="Arial"/>
          <w:sz w:val="28"/>
          <w:szCs w:val="28"/>
          <w:lang w:val="es-ES_tradnl"/>
        </w:rPr>
        <w:t xml:space="preserve">, </w:t>
      </w:r>
      <w:r w:rsidRPr="00743F30">
        <w:rPr>
          <w:rFonts w:ascii="Arial" w:hAnsi="Arial" w:cs="Arial"/>
          <w:sz w:val="28"/>
          <w:szCs w:val="28"/>
        </w:rPr>
        <w:t xml:space="preserve">toda vez que de las constancias remitidas a este Alto Tribunal </w:t>
      </w:r>
      <w:r w:rsidR="007F2EFC" w:rsidRPr="00743F30">
        <w:rPr>
          <w:rFonts w:ascii="Arial" w:hAnsi="Arial" w:cs="Arial"/>
          <w:sz w:val="28"/>
          <w:szCs w:val="28"/>
          <w:lang w:val="es-ES"/>
        </w:rPr>
        <w:t>no se advierte una actitud contumaz o evasiva por parte de las autoridades involucradas en el cumplimiento de la ejecutoria</w:t>
      </w:r>
      <w:r w:rsidRPr="00743F30">
        <w:rPr>
          <w:rFonts w:ascii="Arial" w:hAnsi="Arial" w:cs="Arial"/>
          <w:sz w:val="28"/>
          <w:szCs w:val="28"/>
        </w:rPr>
        <w:t xml:space="preserve">. </w:t>
      </w:r>
    </w:p>
    <w:p w14:paraId="634954D2" w14:textId="0F47D741" w:rsidR="003021BF" w:rsidRPr="00743F30" w:rsidRDefault="003021BF" w:rsidP="00743F30">
      <w:pPr>
        <w:spacing w:after="240" w:line="360" w:lineRule="auto"/>
        <w:jc w:val="both"/>
        <w:rPr>
          <w:rFonts w:ascii="Arial" w:hAnsi="Arial" w:cs="Arial"/>
          <w:b/>
          <w:bCs/>
          <w:sz w:val="28"/>
          <w:szCs w:val="28"/>
        </w:rPr>
      </w:pPr>
      <w:r w:rsidRPr="00743F30">
        <w:rPr>
          <w:rFonts w:ascii="Arial" w:hAnsi="Arial" w:cs="Arial"/>
          <w:b/>
          <w:bCs/>
          <w:sz w:val="28"/>
          <w:szCs w:val="28"/>
        </w:rPr>
        <w:t>Razones del voto concurrente</w:t>
      </w:r>
    </w:p>
    <w:p w14:paraId="00325839" w14:textId="6EC193D7" w:rsidR="00F26E2A" w:rsidRPr="00743F30" w:rsidRDefault="006132DD" w:rsidP="003021BF">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rPr>
        <w:t>Si bien coincid</w:t>
      </w:r>
      <w:r w:rsidR="00351397" w:rsidRPr="00743F30">
        <w:rPr>
          <w:rFonts w:ascii="Arial" w:hAnsi="Arial" w:cs="Arial"/>
          <w:sz w:val="28"/>
          <w:szCs w:val="28"/>
        </w:rPr>
        <w:t>o</w:t>
      </w:r>
      <w:r w:rsidRPr="00743F30">
        <w:rPr>
          <w:rFonts w:ascii="Arial" w:hAnsi="Arial" w:cs="Arial"/>
          <w:sz w:val="28"/>
          <w:szCs w:val="28"/>
        </w:rPr>
        <w:t xml:space="preserve"> con el sentido de la ejecutoria, </w:t>
      </w:r>
      <w:r w:rsidR="006346FD" w:rsidRPr="00743F30">
        <w:rPr>
          <w:rFonts w:ascii="Arial" w:hAnsi="Arial" w:cs="Arial"/>
          <w:sz w:val="28"/>
          <w:szCs w:val="28"/>
        </w:rPr>
        <w:t>disiento de algunas consideraciones que en ella se expresan</w:t>
      </w:r>
      <w:r w:rsidR="003021BF" w:rsidRPr="00743F30">
        <w:rPr>
          <w:rFonts w:ascii="Arial" w:hAnsi="Arial" w:cs="Arial"/>
          <w:sz w:val="28"/>
          <w:szCs w:val="28"/>
        </w:rPr>
        <w:t xml:space="preserve"> y</w:t>
      </w:r>
      <w:r w:rsidR="00351397" w:rsidRPr="00743F30">
        <w:rPr>
          <w:rFonts w:ascii="Arial" w:hAnsi="Arial" w:cs="Arial"/>
          <w:sz w:val="28"/>
          <w:szCs w:val="28"/>
        </w:rPr>
        <w:t xml:space="preserve">, en mi opinión, </w:t>
      </w:r>
      <w:r w:rsidR="003021BF" w:rsidRPr="00743F30">
        <w:rPr>
          <w:rFonts w:ascii="Arial" w:hAnsi="Arial" w:cs="Arial"/>
          <w:sz w:val="28"/>
          <w:szCs w:val="28"/>
        </w:rPr>
        <w:t xml:space="preserve">al devolver los autos, se </w:t>
      </w:r>
      <w:r w:rsidR="00351397" w:rsidRPr="00743F30">
        <w:rPr>
          <w:rFonts w:ascii="Arial" w:hAnsi="Arial" w:cs="Arial"/>
          <w:sz w:val="28"/>
          <w:szCs w:val="28"/>
        </w:rPr>
        <w:t>debieron establecer</w:t>
      </w:r>
      <w:r w:rsidR="003021BF" w:rsidRPr="00743F30">
        <w:rPr>
          <w:rFonts w:ascii="Arial" w:hAnsi="Arial" w:cs="Arial"/>
          <w:sz w:val="28"/>
          <w:szCs w:val="28"/>
        </w:rPr>
        <w:t xml:space="preserve"> lineamientos</w:t>
      </w:r>
      <w:r w:rsidR="00F26E2A" w:rsidRPr="00743F30">
        <w:rPr>
          <w:rFonts w:ascii="Arial" w:hAnsi="Arial" w:cs="Arial"/>
          <w:sz w:val="28"/>
          <w:szCs w:val="28"/>
        </w:rPr>
        <w:t xml:space="preserve"> específicos para el cumplimiento </w:t>
      </w:r>
      <w:r w:rsidR="00C6357F" w:rsidRPr="00743F30">
        <w:rPr>
          <w:rFonts w:ascii="Arial" w:hAnsi="Arial" w:cs="Arial"/>
          <w:sz w:val="28"/>
          <w:szCs w:val="28"/>
        </w:rPr>
        <w:t>del fallo protector.</w:t>
      </w:r>
    </w:p>
    <w:p w14:paraId="29A6CD04" w14:textId="77777777" w:rsidR="005D5F21" w:rsidRPr="00743F30" w:rsidRDefault="00B07F87" w:rsidP="005D5F21">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rPr>
        <w:t xml:space="preserve"> </w:t>
      </w:r>
      <w:r w:rsidR="005134C6" w:rsidRPr="00743F30">
        <w:rPr>
          <w:rFonts w:ascii="Arial" w:hAnsi="Arial" w:cs="Arial"/>
          <w:sz w:val="28"/>
          <w:szCs w:val="28"/>
          <w:lang w:eastAsia="es-ES"/>
        </w:rPr>
        <w:t xml:space="preserve">Al respecto, cabe recordar que la protección constitucional se concedió para que </w:t>
      </w:r>
      <w:r w:rsidR="005D5F21" w:rsidRPr="00743F30">
        <w:rPr>
          <w:rFonts w:ascii="Arial" w:hAnsi="Arial" w:cs="Arial"/>
          <w:sz w:val="28"/>
          <w:szCs w:val="28"/>
          <w:lang w:eastAsia="es-ES"/>
        </w:rPr>
        <w:t xml:space="preserve">un </w:t>
      </w:r>
      <w:r w:rsidR="005134C6" w:rsidRPr="00743F30">
        <w:rPr>
          <w:rFonts w:ascii="Arial" w:hAnsi="Arial" w:cs="Arial"/>
          <w:sz w:val="28"/>
          <w:szCs w:val="28"/>
          <w:lang w:eastAsia="es-ES"/>
        </w:rPr>
        <w:t xml:space="preserve">Magistrado de la Sala Regional Zona Norte del Tribunal de Justicia Administrativa del Estado de Sinaloa, </w:t>
      </w:r>
      <w:r w:rsidR="005134C6" w:rsidRPr="00743F30">
        <w:rPr>
          <w:rFonts w:ascii="Arial" w:hAnsi="Arial" w:cs="Arial"/>
          <w:sz w:val="28"/>
          <w:szCs w:val="28"/>
          <w:u w:val="single"/>
          <w:lang w:eastAsia="es-ES"/>
        </w:rPr>
        <w:t>ejecutara cabalmente</w:t>
      </w:r>
      <w:r w:rsidR="005134C6" w:rsidRPr="00743F30">
        <w:rPr>
          <w:rFonts w:ascii="Arial" w:hAnsi="Arial" w:cs="Arial"/>
          <w:sz w:val="28"/>
          <w:szCs w:val="28"/>
          <w:lang w:eastAsia="es-ES"/>
        </w:rPr>
        <w:t xml:space="preserve"> la sentencia dictada en </w:t>
      </w:r>
      <w:r w:rsidR="005D5F21" w:rsidRPr="00743F30">
        <w:rPr>
          <w:rFonts w:ascii="Arial" w:hAnsi="Arial" w:cs="Arial"/>
          <w:sz w:val="28"/>
          <w:szCs w:val="28"/>
          <w:lang w:eastAsia="es-ES"/>
        </w:rPr>
        <w:t>un</w:t>
      </w:r>
      <w:r w:rsidR="005134C6" w:rsidRPr="00743F30">
        <w:rPr>
          <w:rFonts w:ascii="Arial" w:hAnsi="Arial" w:cs="Arial"/>
          <w:sz w:val="28"/>
          <w:szCs w:val="28"/>
          <w:lang w:eastAsia="es-ES"/>
        </w:rPr>
        <w:t xml:space="preserve"> juicio administrativo. Asimismo, se concedió para que las autoridades </w:t>
      </w:r>
      <w:r w:rsidR="005134C6" w:rsidRPr="00743F30">
        <w:rPr>
          <w:rFonts w:ascii="Arial" w:hAnsi="Arial" w:cs="Arial"/>
          <w:sz w:val="28"/>
          <w:szCs w:val="28"/>
          <w:lang w:eastAsia="es-ES"/>
        </w:rPr>
        <w:lastRenderedPageBreak/>
        <w:t>demandadas en dicho juicio</w:t>
      </w:r>
      <w:r w:rsidR="005D5F21" w:rsidRPr="00743F30">
        <w:rPr>
          <w:rFonts w:cs="Arial"/>
          <w:lang w:eastAsia="es-ES"/>
        </w:rPr>
        <w:t xml:space="preserve"> </w:t>
      </w:r>
      <w:r w:rsidR="005134C6" w:rsidRPr="00743F30">
        <w:rPr>
          <w:rFonts w:ascii="Arial" w:hAnsi="Arial" w:cs="Arial"/>
          <w:sz w:val="28"/>
          <w:szCs w:val="28"/>
          <w:lang w:eastAsia="es-ES"/>
        </w:rPr>
        <w:t>dieran cumplimiento a la resolución definitiva mediante el pago de la indemnización prevista en el artículo 123, apartado B, fracción III de la Constitución.</w:t>
      </w:r>
    </w:p>
    <w:p w14:paraId="04403FC6" w14:textId="77777777" w:rsidR="00A8780B" w:rsidRPr="00743F30" w:rsidRDefault="005134C6" w:rsidP="00A8780B">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lang w:eastAsia="es-ES"/>
        </w:rPr>
        <w:t>Bajo esta línea, las autoridades responsables remitieron las constancias que acredita</w:t>
      </w:r>
      <w:r w:rsidR="008E31CF" w:rsidRPr="00743F30">
        <w:rPr>
          <w:rFonts w:ascii="Arial" w:hAnsi="Arial" w:cs="Arial"/>
          <w:sz w:val="28"/>
          <w:szCs w:val="28"/>
          <w:lang w:eastAsia="es-ES"/>
        </w:rPr>
        <w:t>ron</w:t>
      </w:r>
      <w:r w:rsidRPr="00743F30">
        <w:rPr>
          <w:rFonts w:ascii="Arial" w:hAnsi="Arial" w:cs="Arial"/>
          <w:sz w:val="28"/>
          <w:szCs w:val="28"/>
          <w:lang w:eastAsia="es-ES"/>
        </w:rPr>
        <w:t xml:space="preserve"> el pago de la cantidad correspondiente a la suerte principal de la indemnización laboral.</w:t>
      </w:r>
      <w:r w:rsidR="008E31CF" w:rsidRPr="00743F30">
        <w:rPr>
          <w:rFonts w:ascii="Arial" w:hAnsi="Arial" w:cs="Arial"/>
          <w:sz w:val="28"/>
          <w:szCs w:val="28"/>
          <w:lang w:eastAsia="es-ES"/>
        </w:rPr>
        <w:t xml:space="preserve"> </w:t>
      </w:r>
      <w:r w:rsidRPr="00743F30">
        <w:rPr>
          <w:rFonts w:ascii="Arial" w:hAnsi="Arial" w:cs="Arial"/>
          <w:sz w:val="28"/>
          <w:szCs w:val="28"/>
          <w:lang w:eastAsia="es-ES"/>
        </w:rPr>
        <w:t>Sin embargo, la Sala Regional únicamente declaró parcialmente cumplida la ejecutoria, debido a que permanec</w:t>
      </w:r>
      <w:r w:rsidR="00A8780B" w:rsidRPr="00743F30">
        <w:rPr>
          <w:rFonts w:ascii="Arial" w:hAnsi="Arial" w:cs="Arial"/>
          <w:sz w:val="28"/>
          <w:szCs w:val="28"/>
          <w:lang w:eastAsia="es-ES"/>
        </w:rPr>
        <w:t>ía</w:t>
      </w:r>
      <w:r w:rsidRPr="00743F30">
        <w:rPr>
          <w:rFonts w:ascii="Arial" w:hAnsi="Arial" w:cs="Arial"/>
          <w:sz w:val="28"/>
          <w:szCs w:val="28"/>
          <w:lang w:eastAsia="es-ES"/>
        </w:rPr>
        <w:t xml:space="preserve"> pendiente la liquidación de las actualizaciones. Por tal motivo, el Juez de Distrito emitió diversos autos </w:t>
      </w:r>
      <w:r w:rsidR="00A8780B" w:rsidRPr="00743F30">
        <w:rPr>
          <w:rFonts w:ascii="Arial" w:hAnsi="Arial" w:cs="Arial"/>
          <w:sz w:val="28"/>
          <w:szCs w:val="28"/>
          <w:lang w:eastAsia="es-ES"/>
        </w:rPr>
        <w:t>a través de</w:t>
      </w:r>
      <w:r w:rsidRPr="00743F30">
        <w:rPr>
          <w:rFonts w:ascii="Arial" w:hAnsi="Arial" w:cs="Arial"/>
          <w:sz w:val="28"/>
          <w:szCs w:val="28"/>
          <w:lang w:eastAsia="es-ES"/>
        </w:rPr>
        <w:t xml:space="preserve"> los cuales requirió a las autoridades responsables y vinculadas el acatamiento </w:t>
      </w:r>
      <w:r w:rsidRPr="00743F30">
        <w:rPr>
          <w:rFonts w:ascii="Arial" w:hAnsi="Arial" w:cs="Arial"/>
          <w:sz w:val="28"/>
          <w:szCs w:val="28"/>
          <w:u w:val="single"/>
          <w:lang w:eastAsia="es-ES"/>
        </w:rPr>
        <w:t>íntegro</w:t>
      </w:r>
      <w:r w:rsidRPr="00743F30">
        <w:rPr>
          <w:rFonts w:ascii="Arial" w:hAnsi="Arial" w:cs="Arial"/>
          <w:sz w:val="28"/>
          <w:szCs w:val="28"/>
          <w:lang w:eastAsia="es-ES"/>
        </w:rPr>
        <w:t xml:space="preserve"> de la ejecutoria.</w:t>
      </w:r>
      <w:r w:rsidRPr="00743F30">
        <w:rPr>
          <w:rStyle w:val="Refdenotaalpie"/>
          <w:rFonts w:cs="Arial"/>
          <w:lang w:eastAsia="es-ES"/>
        </w:rPr>
        <w:t xml:space="preserve"> </w:t>
      </w:r>
    </w:p>
    <w:p w14:paraId="152512C6" w14:textId="3FF50DCA" w:rsidR="00603DAF" w:rsidRPr="00743F30" w:rsidRDefault="005134C6" w:rsidP="00603DAF">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lang w:eastAsia="es-ES"/>
        </w:rPr>
        <w:t xml:space="preserve">Ante ese panorama, coincido con la </w:t>
      </w:r>
      <w:r w:rsidR="0047760E" w:rsidRPr="00743F30">
        <w:rPr>
          <w:rFonts w:ascii="Arial" w:hAnsi="Arial" w:cs="Arial"/>
          <w:sz w:val="28"/>
          <w:szCs w:val="28"/>
          <w:lang w:eastAsia="es-ES"/>
        </w:rPr>
        <w:t>ejecutoria</w:t>
      </w:r>
      <w:r w:rsidRPr="00743F30">
        <w:rPr>
          <w:rFonts w:ascii="Arial" w:hAnsi="Arial" w:cs="Arial"/>
          <w:sz w:val="28"/>
          <w:szCs w:val="28"/>
          <w:lang w:eastAsia="es-ES"/>
        </w:rPr>
        <w:t xml:space="preserve"> respecto a que las autoridades </w:t>
      </w:r>
      <w:r w:rsidR="00A512D5">
        <w:rPr>
          <w:rFonts w:ascii="Arial" w:hAnsi="Arial" w:cs="Arial"/>
          <w:sz w:val="28"/>
          <w:szCs w:val="28"/>
          <w:lang w:eastAsia="es-ES"/>
        </w:rPr>
        <w:t>evidenciaron</w:t>
      </w:r>
      <w:r w:rsidRPr="00743F30">
        <w:rPr>
          <w:rFonts w:ascii="Arial" w:hAnsi="Arial" w:cs="Arial"/>
          <w:sz w:val="28"/>
          <w:szCs w:val="28"/>
          <w:lang w:eastAsia="es-ES"/>
        </w:rPr>
        <w:t xml:space="preserve"> voluntad de acatamiento. No obstante, </w:t>
      </w:r>
      <w:r w:rsidR="0047760E" w:rsidRPr="00743F30">
        <w:rPr>
          <w:rFonts w:ascii="Arial" w:hAnsi="Arial" w:cs="Arial"/>
          <w:sz w:val="28"/>
          <w:szCs w:val="28"/>
          <w:lang w:eastAsia="es-ES"/>
        </w:rPr>
        <w:t xml:space="preserve"> desde mi punto de vista resultaba necesario que </w:t>
      </w:r>
      <w:r w:rsidRPr="00743F30">
        <w:rPr>
          <w:rFonts w:ascii="Arial" w:hAnsi="Arial" w:cs="Arial"/>
          <w:sz w:val="28"/>
          <w:szCs w:val="28"/>
        </w:rPr>
        <w:t>la devolución del expediente se acompañ</w:t>
      </w:r>
      <w:r w:rsidR="0047760E" w:rsidRPr="00743F30">
        <w:rPr>
          <w:rFonts w:ascii="Arial" w:hAnsi="Arial" w:cs="Arial"/>
          <w:sz w:val="28"/>
          <w:szCs w:val="28"/>
        </w:rPr>
        <w:t>ara</w:t>
      </w:r>
      <w:r w:rsidRPr="00743F30">
        <w:rPr>
          <w:rFonts w:ascii="Arial" w:hAnsi="Arial" w:cs="Arial"/>
          <w:sz w:val="28"/>
          <w:szCs w:val="28"/>
        </w:rPr>
        <w:t xml:space="preserve"> de parámetros específicos que facilit</w:t>
      </w:r>
      <w:r w:rsidR="00603DAF" w:rsidRPr="00743F30">
        <w:rPr>
          <w:rFonts w:ascii="Arial" w:hAnsi="Arial" w:cs="Arial"/>
          <w:sz w:val="28"/>
          <w:szCs w:val="28"/>
        </w:rPr>
        <w:t xml:space="preserve">aran </w:t>
      </w:r>
      <w:r w:rsidRPr="00743F30">
        <w:rPr>
          <w:rFonts w:ascii="Arial" w:hAnsi="Arial" w:cs="Arial"/>
          <w:sz w:val="28"/>
          <w:szCs w:val="28"/>
        </w:rPr>
        <w:t xml:space="preserve">la liquidación de las actualizaciones pendientes, lo </w:t>
      </w:r>
      <w:r w:rsidR="00603DAF" w:rsidRPr="00743F30">
        <w:rPr>
          <w:rFonts w:ascii="Arial" w:hAnsi="Arial" w:cs="Arial"/>
          <w:sz w:val="28"/>
          <w:szCs w:val="28"/>
        </w:rPr>
        <w:t>que permitiría</w:t>
      </w:r>
      <w:r w:rsidRPr="00743F30">
        <w:rPr>
          <w:rFonts w:ascii="Arial" w:hAnsi="Arial" w:cs="Arial"/>
          <w:sz w:val="28"/>
          <w:szCs w:val="28"/>
        </w:rPr>
        <w:t xml:space="preserve"> alcanzar la plena ejecución del fallo, sobre todo porque el Tribunal de Sinaloa ya </w:t>
      </w:r>
      <w:r w:rsidR="00603DAF" w:rsidRPr="00743F30">
        <w:rPr>
          <w:rFonts w:ascii="Arial" w:hAnsi="Arial" w:cs="Arial"/>
          <w:sz w:val="28"/>
          <w:szCs w:val="28"/>
        </w:rPr>
        <w:t xml:space="preserve">había </w:t>
      </w:r>
      <w:r w:rsidRPr="00743F30">
        <w:rPr>
          <w:rFonts w:ascii="Arial" w:hAnsi="Arial" w:cs="Arial"/>
          <w:sz w:val="28"/>
          <w:szCs w:val="28"/>
        </w:rPr>
        <w:t>determin</w:t>
      </w:r>
      <w:r w:rsidR="00603DAF" w:rsidRPr="00743F30">
        <w:rPr>
          <w:rFonts w:ascii="Arial" w:hAnsi="Arial" w:cs="Arial"/>
          <w:sz w:val="28"/>
          <w:szCs w:val="28"/>
        </w:rPr>
        <w:t xml:space="preserve">ado </w:t>
      </w:r>
      <w:r w:rsidRPr="00743F30">
        <w:rPr>
          <w:rFonts w:ascii="Arial" w:hAnsi="Arial" w:cs="Arial"/>
          <w:sz w:val="28"/>
          <w:szCs w:val="28"/>
        </w:rPr>
        <w:t>el cálculo correspondiente.</w:t>
      </w:r>
    </w:p>
    <w:p w14:paraId="598FB57C" w14:textId="29595AB8" w:rsidR="00603DAF" w:rsidRPr="00743F30" w:rsidRDefault="005134C6" w:rsidP="00603DAF">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lang w:eastAsia="es-ES"/>
        </w:rPr>
        <w:t xml:space="preserve">Por otra parte, me aparto del párrafo 24 </w:t>
      </w:r>
      <w:r w:rsidR="00603DAF" w:rsidRPr="00743F30">
        <w:rPr>
          <w:rFonts w:ascii="Arial" w:hAnsi="Arial" w:cs="Arial"/>
          <w:sz w:val="28"/>
          <w:szCs w:val="28"/>
          <w:lang w:eastAsia="es-ES"/>
        </w:rPr>
        <w:t>de la ejecutoria</w:t>
      </w:r>
      <w:r w:rsidRPr="00743F30">
        <w:rPr>
          <w:rFonts w:ascii="Arial" w:hAnsi="Arial" w:cs="Arial"/>
          <w:sz w:val="28"/>
          <w:szCs w:val="28"/>
          <w:lang w:eastAsia="es-ES"/>
        </w:rPr>
        <w:t xml:space="preserve">, pues no coincido en que el objetivo del incidente de inejecución de sentencia sea determinar si se configura un desacato, sino evaluar si subsiste un </w:t>
      </w:r>
      <w:r w:rsidR="007644C1">
        <w:rPr>
          <w:rFonts w:ascii="Arial" w:hAnsi="Arial" w:cs="Arial"/>
          <w:sz w:val="28"/>
          <w:szCs w:val="28"/>
          <w:lang w:eastAsia="es-ES"/>
        </w:rPr>
        <w:t>in</w:t>
      </w:r>
      <w:r w:rsidRPr="00743F30">
        <w:rPr>
          <w:rFonts w:ascii="Arial" w:hAnsi="Arial" w:cs="Arial"/>
          <w:sz w:val="28"/>
          <w:szCs w:val="28"/>
          <w:lang w:eastAsia="es-ES"/>
        </w:rPr>
        <w:t>cumplimiento injustificado de la ejecutoria de amparo, mientras que el desacato, y en su caso, las sanciones correspondientes, constituyen las consecuencias jurídicas de acreditación dicha omisión.</w:t>
      </w:r>
    </w:p>
    <w:p w14:paraId="6A9FDF51" w14:textId="5EFBCB35" w:rsidR="001112C3" w:rsidRPr="00743F30" w:rsidRDefault="005134C6" w:rsidP="00603DAF">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lang w:eastAsia="es-ES"/>
        </w:rPr>
        <w:t xml:space="preserve">Finalmente, y en congruencia con mi criterio reiterado, me separo de los párrafos 27, 52 y 53, así como del resolutivo tercero, en los </w:t>
      </w:r>
      <w:r w:rsidRPr="00743F30">
        <w:rPr>
          <w:rFonts w:ascii="Arial" w:hAnsi="Arial" w:cs="Arial"/>
          <w:sz w:val="28"/>
          <w:szCs w:val="28"/>
          <w:lang w:eastAsia="es-ES"/>
        </w:rPr>
        <w:lastRenderedPageBreak/>
        <w:t xml:space="preserve">que se </w:t>
      </w:r>
      <w:r w:rsidR="00A332EB" w:rsidRPr="00743F30">
        <w:rPr>
          <w:rFonts w:ascii="Arial" w:hAnsi="Arial" w:cs="Arial"/>
          <w:sz w:val="28"/>
          <w:szCs w:val="28"/>
          <w:lang w:eastAsia="es-ES"/>
        </w:rPr>
        <w:t>determinó</w:t>
      </w:r>
      <w:r w:rsidRPr="00743F30">
        <w:rPr>
          <w:rFonts w:ascii="Arial" w:hAnsi="Arial" w:cs="Arial"/>
          <w:sz w:val="28"/>
          <w:szCs w:val="28"/>
          <w:lang w:eastAsia="es-ES"/>
        </w:rPr>
        <w:t xml:space="preserve"> dejar sin efecto las multas impuestas por el órgano jurisdiccional. Considero que el análisis de las multas rebasa la materia propia del incidente de inejecución de sentencia, pues su impugnación corresponde tramitarla mediante el recurso de queja o de inconformidad.</w:t>
      </w:r>
    </w:p>
    <w:p w14:paraId="145F02AF" w14:textId="7161E893" w:rsidR="006132DD" w:rsidRPr="00743F30" w:rsidRDefault="006132DD" w:rsidP="006132DD">
      <w:pPr>
        <w:pStyle w:val="Prrafodelista"/>
        <w:numPr>
          <w:ilvl w:val="0"/>
          <w:numId w:val="1"/>
        </w:numPr>
        <w:spacing w:after="240" w:line="360" w:lineRule="auto"/>
        <w:ind w:left="426" w:hanging="426"/>
        <w:contextualSpacing w:val="0"/>
        <w:jc w:val="both"/>
        <w:rPr>
          <w:rFonts w:ascii="Arial" w:hAnsi="Arial" w:cs="Arial"/>
          <w:sz w:val="28"/>
          <w:szCs w:val="28"/>
        </w:rPr>
      </w:pPr>
      <w:r w:rsidRPr="00743F30">
        <w:rPr>
          <w:rFonts w:ascii="Arial" w:hAnsi="Arial" w:cs="Arial"/>
          <w:sz w:val="28"/>
          <w:szCs w:val="28"/>
        </w:rPr>
        <w:t>De ahí que estim</w:t>
      </w:r>
      <w:r w:rsidR="00603DAF" w:rsidRPr="00743F30">
        <w:rPr>
          <w:rFonts w:ascii="Arial" w:hAnsi="Arial" w:cs="Arial"/>
          <w:sz w:val="28"/>
          <w:szCs w:val="28"/>
        </w:rPr>
        <w:t>ara</w:t>
      </w:r>
      <w:r w:rsidRPr="00743F30">
        <w:rPr>
          <w:rFonts w:ascii="Arial" w:hAnsi="Arial" w:cs="Arial"/>
          <w:sz w:val="28"/>
          <w:szCs w:val="28"/>
        </w:rPr>
        <w:t xml:space="preserve"> pertinente hacer estas precisiones en el presente voto.</w:t>
      </w:r>
    </w:p>
    <w:p w14:paraId="77E2F4A6" w14:textId="77777777" w:rsidR="00743F30" w:rsidRPr="00BD42D5" w:rsidRDefault="00743F30" w:rsidP="00743F30">
      <w:pPr>
        <w:pStyle w:val="Prrafodelista"/>
        <w:spacing w:after="240" w:line="360" w:lineRule="auto"/>
        <w:ind w:left="426"/>
        <w:contextualSpacing w:val="0"/>
        <w:jc w:val="both"/>
        <w:rPr>
          <w:rFonts w:ascii="Arial" w:hAnsi="Arial" w:cs="Arial"/>
          <w:bCs/>
          <w:sz w:val="28"/>
          <w:szCs w:val="28"/>
        </w:rPr>
      </w:pPr>
    </w:p>
    <w:p w14:paraId="3AE67B3C" w14:textId="77777777" w:rsidR="00A02071" w:rsidRPr="00A90B8D" w:rsidRDefault="00A02071" w:rsidP="00B308BD">
      <w:pPr>
        <w:tabs>
          <w:tab w:val="left" w:pos="720"/>
        </w:tabs>
        <w:spacing w:line="360" w:lineRule="auto"/>
        <w:jc w:val="center"/>
        <w:rPr>
          <w:rFonts w:ascii="Arial" w:hAnsi="Arial" w:cs="Arial"/>
          <w:b/>
          <w:sz w:val="28"/>
          <w:szCs w:val="28"/>
        </w:rPr>
      </w:pPr>
    </w:p>
    <w:p w14:paraId="35314D15" w14:textId="2067D79B" w:rsidR="005147B2" w:rsidRPr="00A67793" w:rsidRDefault="00B308BD" w:rsidP="00A67793">
      <w:pPr>
        <w:tabs>
          <w:tab w:val="left" w:pos="720"/>
        </w:tabs>
        <w:spacing w:line="360" w:lineRule="auto"/>
        <w:jc w:val="center"/>
        <w:rPr>
          <w:rFonts w:ascii="Arial" w:hAnsi="Arial" w:cs="Arial"/>
          <w:b/>
          <w:sz w:val="28"/>
          <w:szCs w:val="28"/>
        </w:rPr>
      </w:pPr>
      <w:r w:rsidRPr="006B0F3C">
        <w:rPr>
          <w:rFonts w:ascii="Arial" w:hAnsi="Arial" w:cs="Arial"/>
          <w:b/>
          <w:sz w:val="28"/>
          <w:szCs w:val="28"/>
        </w:rPr>
        <w:t>MINISTRO GIOVANNI AZAEL FIGUEROA MEJÍA</w:t>
      </w:r>
    </w:p>
    <w:p w14:paraId="3F44B689" w14:textId="77777777" w:rsidR="00F46D79" w:rsidRDefault="00F46D79" w:rsidP="00475431">
      <w:pPr>
        <w:pStyle w:val="corte4fondo"/>
        <w:ind w:firstLine="0"/>
        <w:rPr>
          <w:rFonts w:cs="Arial"/>
          <w:sz w:val="28"/>
          <w:szCs w:val="28"/>
        </w:rPr>
      </w:pPr>
    </w:p>
    <w:p w14:paraId="04247055" w14:textId="77777777" w:rsidR="00475431" w:rsidRDefault="00475431" w:rsidP="00923230">
      <w:pPr>
        <w:pStyle w:val="corte4fondo"/>
        <w:ind w:firstLine="0"/>
        <w:jc w:val="right"/>
        <w:rPr>
          <w:rFonts w:cs="Arial"/>
          <w:sz w:val="28"/>
          <w:szCs w:val="28"/>
        </w:rPr>
      </w:pPr>
    </w:p>
    <w:p w14:paraId="7BD01646" w14:textId="04F6138C" w:rsidR="0076296F" w:rsidRDefault="00B308BD" w:rsidP="00475431">
      <w:pPr>
        <w:pStyle w:val="corte4fondo"/>
        <w:ind w:firstLine="0"/>
        <w:jc w:val="right"/>
      </w:pPr>
      <w:r w:rsidRPr="00687B32">
        <w:rPr>
          <w:rFonts w:cs="Arial"/>
          <w:sz w:val="28"/>
          <w:szCs w:val="28"/>
        </w:rPr>
        <w:t>NRSC/</w:t>
      </w:r>
      <w:r w:rsidR="008A2047">
        <w:rPr>
          <w:rFonts w:cs="Arial"/>
          <w:sz w:val="28"/>
          <w:szCs w:val="28"/>
        </w:rPr>
        <w:t>sgtv</w:t>
      </w:r>
    </w:p>
    <w:sectPr w:rsidR="0076296F" w:rsidSect="00743BE9">
      <w:headerReference w:type="default" r:id="rId8"/>
      <w:footerReference w:type="default" r:id="rId9"/>
      <w:pgSz w:w="12242" w:h="20163" w:code="5"/>
      <w:pgMar w:top="2836" w:right="1752" w:bottom="2410" w:left="1701" w:header="1134" w:footer="137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05404" w14:textId="77777777" w:rsidR="00463DDC" w:rsidRDefault="00463DDC" w:rsidP="00120C0D">
      <w:r>
        <w:separator/>
      </w:r>
    </w:p>
  </w:endnote>
  <w:endnote w:type="continuationSeparator" w:id="0">
    <w:p w14:paraId="77CFFA99" w14:textId="77777777" w:rsidR="00463DDC" w:rsidRDefault="00463DDC" w:rsidP="0012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212180"/>
      <w:docPartObj>
        <w:docPartGallery w:val="Page Numbers (Bottom of Page)"/>
        <w:docPartUnique/>
      </w:docPartObj>
    </w:sdtPr>
    <w:sdtEndPr>
      <w:rPr>
        <w:rFonts w:ascii="Arial" w:hAnsi="Arial" w:cs="Arial"/>
        <w:sz w:val="24"/>
      </w:rPr>
    </w:sdtEndPr>
    <w:sdtContent>
      <w:p w14:paraId="65816C38" w14:textId="77777777" w:rsidR="00120C0D" w:rsidRPr="005E51BF" w:rsidRDefault="00120C0D">
        <w:pPr>
          <w:pStyle w:val="Piedepgina"/>
          <w:jc w:val="right"/>
          <w:rPr>
            <w:rFonts w:ascii="Arial" w:hAnsi="Arial" w:cs="Arial"/>
            <w:sz w:val="24"/>
          </w:rPr>
        </w:pPr>
        <w:r w:rsidRPr="005E51BF">
          <w:rPr>
            <w:rFonts w:ascii="Arial" w:hAnsi="Arial" w:cs="Arial"/>
            <w:sz w:val="24"/>
          </w:rPr>
          <w:fldChar w:fldCharType="begin"/>
        </w:r>
        <w:r w:rsidRPr="005E51BF">
          <w:rPr>
            <w:rFonts w:ascii="Arial" w:hAnsi="Arial" w:cs="Arial"/>
            <w:sz w:val="24"/>
          </w:rPr>
          <w:instrText>PAGE   \* MERGEFORMAT</w:instrText>
        </w:r>
        <w:r w:rsidRPr="005E51BF">
          <w:rPr>
            <w:rFonts w:ascii="Arial" w:hAnsi="Arial" w:cs="Arial"/>
            <w:sz w:val="24"/>
          </w:rPr>
          <w:fldChar w:fldCharType="separate"/>
        </w:r>
        <w:r w:rsidRPr="00087A14">
          <w:rPr>
            <w:rFonts w:ascii="Arial" w:hAnsi="Arial" w:cs="Arial"/>
            <w:noProof/>
            <w:sz w:val="24"/>
            <w:lang w:val="es-ES"/>
          </w:rPr>
          <w:t>9</w:t>
        </w:r>
        <w:r w:rsidRPr="005E51BF">
          <w:rPr>
            <w:rFonts w:ascii="Arial" w:hAnsi="Arial" w:cs="Arial"/>
            <w:sz w:val="24"/>
          </w:rPr>
          <w:fldChar w:fldCharType="end"/>
        </w:r>
      </w:p>
    </w:sdtContent>
  </w:sdt>
  <w:p w14:paraId="31217D08" w14:textId="77777777" w:rsidR="00120C0D" w:rsidRDefault="00120C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0262" w14:textId="77777777" w:rsidR="00463DDC" w:rsidRDefault="00463DDC" w:rsidP="00120C0D">
      <w:r>
        <w:separator/>
      </w:r>
    </w:p>
  </w:footnote>
  <w:footnote w:type="continuationSeparator" w:id="0">
    <w:p w14:paraId="37FAAE06" w14:textId="77777777" w:rsidR="00463DDC" w:rsidRDefault="00463DDC" w:rsidP="00120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B9F7" w14:textId="77777777" w:rsidR="00120C0D" w:rsidRDefault="00120C0D" w:rsidP="00FA6A3E">
    <w:pPr>
      <w:pStyle w:val="Encabezado"/>
      <w:tabs>
        <w:tab w:val="clear" w:pos="8504"/>
      </w:tabs>
      <w:jc w:val="right"/>
      <w:rPr>
        <w:rFonts w:ascii="Arial" w:hAnsi="Arial" w:cs="Arial"/>
        <w:b/>
        <w:bCs/>
        <w:sz w:val="24"/>
        <w:szCs w:val="24"/>
      </w:rPr>
    </w:pPr>
  </w:p>
  <w:p w14:paraId="2B71E324" w14:textId="77777777" w:rsidR="00120C0D" w:rsidRDefault="00120C0D" w:rsidP="00FA6A3E">
    <w:pPr>
      <w:pStyle w:val="Encabezado"/>
      <w:tabs>
        <w:tab w:val="clear" w:pos="8504"/>
      </w:tabs>
      <w:jc w:val="right"/>
      <w:rPr>
        <w:rFonts w:ascii="Arial" w:hAnsi="Arial" w:cs="Arial"/>
        <w:b/>
        <w:bCs/>
        <w:sz w:val="24"/>
        <w:szCs w:val="24"/>
      </w:rPr>
    </w:pPr>
  </w:p>
  <w:p w14:paraId="4B23AE93" w14:textId="77777777" w:rsidR="00120C0D" w:rsidRDefault="00120C0D" w:rsidP="00FA6A3E">
    <w:pPr>
      <w:pStyle w:val="Encabezado"/>
      <w:tabs>
        <w:tab w:val="clear" w:pos="8504"/>
      </w:tabs>
      <w:jc w:val="right"/>
      <w:rPr>
        <w:rFonts w:ascii="Arial" w:hAnsi="Arial" w:cs="Arial"/>
        <w:b/>
        <w:bCs/>
        <w:sz w:val="24"/>
        <w:szCs w:val="24"/>
      </w:rPr>
    </w:pPr>
  </w:p>
  <w:p w14:paraId="32ED16B8" w14:textId="77777777" w:rsidR="00120C0D" w:rsidRPr="00687ECC" w:rsidRDefault="00120C0D" w:rsidP="00FA6A3E">
    <w:pPr>
      <w:pStyle w:val="Encabezado"/>
      <w:tabs>
        <w:tab w:val="clear" w:pos="8504"/>
      </w:tabs>
      <w:jc w:val="right"/>
      <w:rPr>
        <w:rFonts w:ascii="Arial" w:hAnsi="Arial" w:cs="Arial"/>
        <w:b/>
        <w:bCs/>
        <w:sz w:val="28"/>
        <w:szCs w:val="24"/>
      </w:rPr>
    </w:pPr>
    <w:r w:rsidRPr="00687ECC">
      <w:rPr>
        <w:rFonts w:ascii="Arial" w:hAnsi="Arial" w:cs="Arial"/>
        <w:b/>
        <w:bCs/>
        <w:sz w:val="28"/>
        <w:szCs w:val="24"/>
      </w:rPr>
      <w:t xml:space="preserve">VOTO </w:t>
    </w:r>
    <w:r>
      <w:rPr>
        <w:rFonts w:ascii="Arial" w:hAnsi="Arial" w:cs="Arial"/>
        <w:b/>
        <w:bCs/>
        <w:sz w:val="28"/>
        <w:szCs w:val="24"/>
      </w:rPr>
      <w:t>CONCURRENTE</w:t>
    </w:r>
  </w:p>
  <w:p w14:paraId="4C8D581A" w14:textId="13A032F8" w:rsidR="00120C0D" w:rsidRPr="00687ECC" w:rsidRDefault="00944C29" w:rsidP="00FA6A3E">
    <w:pPr>
      <w:pStyle w:val="Encabezado"/>
      <w:tabs>
        <w:tab w:val="clear" w:pos="8504"/>
      </w:tabs>
      <w:jc w:val="right"/>
      <w:rPr>
        <w:rFonts w:ascii="Arial" w:hAnsi="Arial" w:cs="Arial"/>
        <w:b/>
        <w:bCs/>
        <w:sz w:val="28"/>
        <w:szCs w:val="24"/>
      </w:rPr>
    </w:pPr>
    <w:r>
      <w:rPr>
        <w:rFonts w:ascii="Arial" w:hAnsi="Arial" w:cs="Arial"/>
        <w:b/>
        <w:sz w:val="28"/>
        <w:szCs w:val="28"/>
      </w:rPr>
      <w:t xml:space="preserve">INCIDENTE DE INEJECUCIÓN DE SENTENCIA </w:t>
    </w:r>
    <w:r w:rsidR="00541D20">
      <w:rPr>
        <w:rFonts w:ascii="Arial" w:hAnsi="Arial" w:cs="Arial"/>
        <w:b/>
        <w:sz w:val="28"/>
        <w:szCs w:val="28"/>
      </w:rPr>
      <w:t>3</w:t>
    </w:r>
    <w:r w:rsidR="00946D76">
      <w:rPr>
        <w:rFonts w:ascii="Arial" w:hAnsi="Arial" w:cs="Arial"/>
        <w:b/>
        <w:sz w:val="28"/>
        <w:szCs w:val="28"/>
      </w:rPr>
      <w:t>3</w:t>
    </w:r>
    <w:r w:rsidR="009E5252">
      <w:rPr>
        <w:rFonts w:ascii="Arial" w:hAnsi="Arial" w:cs="Arial"/>
        <w:b/>
        <w:sz w:val="28"/>
        <w:szCs w:val="28"/>
      </w:rPr>
      <w:t>/202</w:t>
    </w:r>
    <w:r w:rsidR="00946D76">
      <w:rPr>
        <w:rFonts w:ascii="Arial" w:hAnsi="Arial" w:cs="Arial"/>
        <w:b/>
        <w:sz w:val="28"/>
        <w:szCs w:val="28"/>
      </w:rPr>
      <w:t>6</w:t>
    </w:r>
  </w:p>
  <w:p w14:paraId="6579AD51" w14:textId="77777777" w:rsidR="00120C0D" w:rsidRPr="0043292D" w:rsidRDefault="00120C0D" w:rsidP="00FA6A3E">
    <w:pPr>
      <w:pStyle w:val="Encabezado"/>
      <w:tabs>
        <w:tab w:val="clear" w:pos="8504"/>
      </w:tabs>
      <w:jc w:val="right"/>
      <w:rPr>
        <w:rFonts w:ascii="Arial" w:hAnsi="Arial" w:cs="Arial"/>
        <w:b/>
        <w:bCs/>
        <w:sz w:val="24"/>
        <w:szCs w:val="24"/>
      </w:rPr>
    </w:pPr>
  </w:p>
  <w:p w14:paraId="07FAEE65" w14:textId="77777777" w:rsidR="00120C0D" w:rsidRDefault="00120C0D" w:rsidP="00FA6A3E">
    <w:pPr>
      <w:pStyle w:val="Encabezado"/>
      <w:tabs>
        <w:tab w:val="clear" w:pos="8504"/>
      </w:tabs>
      <w:ind w:right="51"/>
      <w:jc w:val="right"/>
    </w:pPr>
  </w:p>
  <w:p w14:paraId="409856BB" w14:textId="77777777" w:rsidR="00120C0D" w:rsidRDefault="00120C0D" w:rsidP="00FA6A3E">
    <w:pPr>
      <w:pStyle w:val="Encabezado"/>
      <w:tabs>
        <w:tab w:val="clear" w:pos="8504"/>
      </w:tabs>
      <w:ind w:right="5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86C50"/>
    <w:multiLevelType w:val="hybridMultilevel"/>
    <w:tmpl w:val="571C21DE"/>
    <w:lvl w:ilvl="0" w:tplc="926493F2">
      <w:start w:val="1"/>
      <w:numFmt w:val="decimal"/>
      <w:lvlText w:val="%1."/>
      <w:lvlJc w:val="left"/>
      <w:pPr>
        <w:ind w:left="750" w:hanging="390"/>
      </w:pPr>
      <w:rPr>
        <w:rFonts w:ascii="Arial" w:eastAsiaTheme="minorHAns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C1A14E1"/>
    <w:multiLevelType w:val="hybridMultilevel"/>
    <w:tmpl w:val="F738BAF0"/>
    <w:lvl w:ilvl="0" w:tplc="20E07BA2">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D8D11EC"/>
    <w:multiLevelType w:val="hybridMultilevel"/>
    <w:tmpl w:val="305EE850"/>
    <w:lvl w:ilvl="0" w:tplc="D436BAE6">
      <w:start w:val="1"/>
      <w:numFmt w:val="decimal"/>
      <w:lvlText w:val="%1."/>
      <w:lvlJc w:val="left"/>
      <w:pPr>
        <w:ind w:left="720" w:hanging="360"/>
      </w:pPr>
      <w:rPr>
        <w:b/>
        <w:color w:val="auto"/>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E6E4777"/>
    <w:multiLevelType w:val="hybridMultilevel"/>
    <w:tmpl w:val="A3767ADA"/>
    <w:lvl w:ilvl="0" w:tplc="8DB6013A">
      <w:start w:val="1"/>
      <w:numFmt w:val="decimal"/>
      <w:lvlText w:val="%1."/>
      <w:lvlJc w:val="left"/>
      <w:pPr>
        <w:ind w:left="720" w:hanging="360"/>
      </w:pPr>
      <w:rPr>
        <w:rFonts w:ascii="Arial" w:hAnsi="Arial" w:cs="Arial" w:hint="default"/>
        <w:b/>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9519138">
    <w:abstractNumId w:val="3"/>
  </w:num>
  <w:num w:numId="2" w16cid:durableId="1842423812">
    <w:abstractNumId w:val="2"/>
  </w:num>
  <w:num w:numId="3" w16cid:durableId="467287399">
    <w:abstractNumId w:val="1"/>
  </w:num>
  <w:num w:numId="4" w16cid:durableId="450780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C0D"/>
    <w:rsid w:val="00013873"/>
    <w:rsid w:val="00023681"/>
    <w:rsid w:val="00042B2D"/>
    <w:rsid w:val="00043047"/>
    <w:rsid w:val="00043E5B"/>
    <w:rsid w:val="000450C8"/>
    <w:rsid w:val="0005562D"/>
    <w:rsid w:val="0007308B"/>
    <w:rsid w:val="00082B16"/>
    <w:rsid w:val="000C58EE"/>
    <w:rsid w:val="000C789F"/>
    <w:rsid w:val="000D1A74"/>
    <w:rsid w:val="000F2ED7"/>
    <w:rsid w:val="000F6520"/>
    <w:rsid w:val="001053CD"/>
    <w:rsid w:val="001070B3"/>
    <w:rsid w:val="001112C3"/>
    <w:rsid w:val="00120C0D"/>
    <w:rsid w:val="00142899"/>
    <w:rsid w:val="0015337A"/>
    <w:rsid w:val="00155150"/>
    <w:rsid w:val="0016118B"/>
    <w:rsid w:val="00161AA3"/>
    <w:rsid w:val="00166799"/>
    <w:rsid w:val="001816D6"/>
    <w:rsid w:val="00185474"/>
    <w:rsid w:val="001A2535"/>
    <w:rsid w:val="001B38A0"/>
    <w:rsid w:val="001B78B9"/>
    <w:rsid w:val="001C0C03"/>
    <w:rsid w:val="001C5CD8"/>
    <w:rsid w:val="001D2BF7"/>
    <w:rsid w:val="001F5B4B"/>
    <w:rsid w:val="00200DA9"/>
    <w:rsid w:val="002240AE"/>
    <w:rsid w:val="00226698"/>
    <w:rsid w:val="002337D0"/>
    <w:rsid w:val="002B2290"/>
    <w:rsid w:val="002B25E3"/>
    <w:rsid w:val="002C2E18"/>
    <w:rsid w:val="002D1134"/>
    <w:rsid w:val="002D2524"/>
    <w:rsid w:val="002D44D4"/>
    <w:rsid w:val="003021BF"/>
    <w:rsid w:val="003204F9"/>
    <w:rsid w:val="00332671"/>
    <w:rsid w:val="00336F19"/>
    <w:rsid w:val="0034298B"/>
    <w:rsid w:val="00351397"/>
    <w:rsid w:val="00352B83"/>
    <w:rsid w:val="00362ACB"/>
    <w:rsid w:val="0038444B"/>
    <w:rsid w:val="00391F41"/>
    <w:rsid w:val="003C5B88"/>
    <w:rsid w:val="003F0F97"/>
    <w:rsid w:val="0041078B"/>
    <w:rsid w:val="00446D58"/>
    <w:rsid w:val="00446D7D"/>
    <w:rsid w:val="004524C8"/>
    <w:rsid w:val="00463DDC"/>
    <w:rsid w:val="00475431"/>
    <w:rsid w:val="0047760E"/>
    <w:rsid w:val="00490149"/>
    <w:rsid w:val="004B1F24"/>
    <w:rsid w:val="004B5052"/>
    <w:rsid w:val="004C1A48"/>
    <w:rsid w:val="004C1BFF"/>
    <w:rsid w:val="004D4983"/>
    <w:rsid w:val="004E47DA"/>
    <w:rsid w:val="005134C6"/>
    <w:rsid w:val="0051364E"/>
    <w:rsid w:val="005147B2"/>
    <w:rsid w:val="00541D20"/>
    <w:rsid w:val="00565FE3"/>
    <w:rsid w:val="00583DAB"/>
    <w:rsid w:val="00587097"/>
    <w:rsid w:val="00595293"/>
    <w:rsid w:val="005A64F0"/>
    <w:rsid w:val="005C559C"/>
    <w:rsid w:val="005D5F21"/>
    <w:rsid w:val="00603DAF"/>
    <w:rsid w:val="006103F8"/>
    <w:rsid w:val="006132DD"/>
    <w:rsid w:val="00614A82"/>
    <w:rsid w:val="0061617F"/>
    <w:rsid w:val="006346FD"/>
    <w:rsid w:val="00685B4A"/>
    <w:rsid w:val="006902AF"/>
    <w:rsid w:val="006B0FAF"/>
    <w:rsid w:val="006B3280"/>
    <w:rsid w:val="006C1E0A"/>
    <w:rsid w:val="006C333E"/>
    <w:rsid w:val="006C5AA7"/>
    <w:rsid w:val="006D0636"/>
    <w:rsid w:val="006E1085"/>
    <w:rsid w:val="006E6248"/>
    <w:rsid w:val="0070617D"/>
    <w:rsid w:val="00711BAE"/>
    <w:rsid w:val="00740F47"/>
    <w:rsid w:val="00742090"/>
    <w:rsid w:val="00743BE9"/>
    <w:rsid w:val="00743F30"/>
    <w:rsid w:val="00751B2C"/>
    <w:rsid w:val="007618C9"/>
    <w:rsid w:val="0076296F"/>
    <w:rsid w:val="007644C1"/>
    <w:rsid w:val="00771B72"/>
    <w:rsid w:val="00775240"/>
    <w:rsid w:val="007837DE"/>
    <w:rsid w:val="0078483D"/>
    <w:rsid w:val="00794CC7"/>
    <w:rsid w:val="007A6878"/>
    <w:rsid w:val="007B3227"/>
    <w:rsid w:val="007B4CAC"/>
    <w:rsid w:val="007C1BDD"/>
    <w:rsid w:val="007D1257"/>
    <w:rsid w:val="007D7343"/>
    <w:rsid w:val="007E2444"/>
    <w:rsid w:val="007F02B6"/>
    <w:rsid w:val="007F2048"/>
    <w:rsid w:val="007F2EFC"/>
    <w:rsid w:val="00815351"/>
    <w:rsid w:val="00821CEB"/>
    <w:rsid w:val="00830DB1"/>
    <w:rsid w:val="00862AB3"/>
    <w:rsid w:val="00881112"/>
    <w:rsid w:val="00893E83"/>
    <w:rsid w:val="008971FB"/>
    <w:rsid w:val="008A2047"/>
    <w:rsid w:val="008A2628"/>
    <w:rsid w:val="008A53C7"/>
    <w:rsid w:val="008C5AE9"/>
    <w:rsid w:val="008E0D37"/>
    <w:rsid w:val="008E31CF"/>
    <w:rsid w:val="008E4B8D"/>
    <w:rsid w:val="009144EB"/>
    <w:rsid w:val="009215FD"/>
    <w:rsid w:val="00923230"/>
    <w:rsid w:val="00923748"/>
    <w:rsid w:val="00944C29"/>
    <w:rsid w:val="00946D76"/>
    <w:rsid w:val="00954BDA"/>
    <w:rsid w:val="009556F1"/>
    <w:rsid w:val="0096285B"/>
    <w:rsid w:val="00965236"/>
    <w:rsid w:val="00974097"/>
    <w:rsid w:val="00974099"/>
    <w:rsid w:val="009E5252"/>
    <w:rsid w:val="009F5797"/>
    <w:rsid w:val="009F7919"/>
    <w:rsid w:val="00A02071"/>
    <w:rsid w:val="00A14A31"/>
    <w:rsid w:val="00A23904"/>
    <w:rsid w:val="00A332EB"/>
    <w:rsid w:val="00A37E22"/>
    <w:rsid w:val="00A512D5"/>
    <w:rsid w:val="00A535E5"/>
    <w:rsid w:val="00A57FBF"/>
    <w:rsid w:val="00A62358"/>
    <w:rsid w:val="00A67793"/>
    <w:rsid w:val="00A73016"/>
    <w:rsid w:val="00A82C3C"/>
    <w:rsid w:val="00A8780B"/>
    <w:rsid w:val="00AA66B5"/>
    <w:rsid w:val="00AD2753"/>
    <w:rsid w:val="00AF18F9"/>
    <w:rsid w:val="00AF3368"/>
    <w:rsid w:val="00B0345C"/>
    <w:rsid w:val="00B07A7F"/>
    <w:rsid w:val="00B07F87"/>
    <w:rsid w:val="00B13714"/>
    <w:rsid w:val="00B25E7A"/>
    <w:rsid w:val="00B308BD"/>
    <w:rsid w:val="00B34206"/>
    <w:rsid w:val="00B60E67"/>
    <w:rsid w:val="00B64F1E"/>
    <w:rsid w:val="00B726CA"/>
    <w:rsid w:val="00B76C5D"/>
    <w:rsid w:val="00B9076A"/>
    <w:rsid w:val="00B911A3"/>
    <w:rsid w:val="00BB7118"/>
    <w:rsid w:val="00BC70DB"/>
    <w:rsid w:val="00BE3758"/>
    <w:rsid w:val="00BE6E31"/>
    <w:rsid w:val="00BF0468"/>
    <w:rsid w:val="00BF0DDD"/>
    <w:rsid w:val="00C06AE3"/>
    <w:rsid w:val="00C209B8"/>
    <w:rsid w:val="00C27B74"/>
    <w:rsid w:val="00C40544"/>
    <w:rsid w:val="00C54EDF"/>
    <w:rsid w:val="00C6357F"/>
    <w:rsid w:val="00C636F2"/>
    <w:rsid w:val="00C8682B"/>
    <w:rsid w:val="00CA0441"/>
    <w:rsid w:val="00CA39CD"/>
    <w:rsid w:val="00CB497B"/>
    <w:rsid w:val="00CD5CA2"/>
    <w:rsid w:val="00CE7BF9"/>
    <w:rsid w:val="00D13BF3"/>
    <w:rsid w:val="00D24639"/>
    <w:rsid w:val="00D424A3"/>
    <w:rsid w:val="00D62529"/>
    <w:rsid w:val="00D876F3"/>
    <w:rsid w:val="00D91729"/>
    <w:rsid w:val="00DA31C4"/>
    <w:rsid w:val="00DA495F"/>
    <w:rsid w:val="00DB3D51"/>
    <w:rsid w:val="00DD2386"/>
    <w:rsid w:val="00E136A4"/>
    <w:rsid w:val="00E44DDE"/>
    <w:rsid w:val="00E44F9C"/>
    <w:rsid w:val="00E61D6F"/>
    <w:rsid w:val="00E67107"/>
    <w:rsid w:val="00EA53C5"/>
    <w:rsid w:val="00EB0EA9"/>
    <w:rsid w:val="00EB6A1C"/>
    <w:rsid w:val="00EC600F"/>
    <w:rsid w:val="00ED3B2A"/>
    <w:rsid w:val="00EE01D9"/>
    <w:rsid w:val="00EE6838"/>
    <w:rsid w:val="00EE692A"/>
    <w:rsid w:val="00F04CE2"/>
    <w:rsid w:val="00F103D4"/>
    <w:rsid w:val="00F26E2A"/>
    <w:rsid w:val="00F320AB"/>
    <w:rsid w:val="00F44A94"/>
    <w:rsid w:val="00F46D79"/>
    <w:rsid w:val="00F71951"/>
    <w:rsid w:val="00F96F67"/>
    <w:rsid w:val="00F971DB"/>
    <w:rsid w:val="00FA585B"/>
    <w:rsid w:val="00FA6A3E"/>
    <w:rsid w:val="00FA7F76"/>
    <w:rsid w:val="00FB72D3"/>
    <w:rsid w:val="00FC0FA1"/>
    <w:rsid w:val="00FD4C1C"/>
    <w:rsid w:val="00FD6D84"/>
    <w:rsid w:val="00FE61A8"/>
    <w:rsid w:val="00FE64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02BD"/>
  <w15:chartTrackingRefBased/>
  <w15:docId w15:val="{BA00BB31-2C1F-4F57-8B9C-560157D9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C0D"/>
    <w:pPr>
      <w:spacing w:after="0" w:line="240" w:lineRule="auto"/>
    </w:pPr>
    <w:rPr>
      <w:rFonts w:ascii="Times New Roman" w:eastAsia="Times New Roman" w:hAnsi="Times New Roman" w:cs="Times New Roman"/>
      <w:kern w:val="0"/>
      <w:sz w:val="20"/>
      <w:szCs w:val="20"/>
      <w:lang w:eastAsia="es-MX"/>
    </w:rPr>
  </w:style>
  <w:style w:type="paragraph" w:styleId="Ttulo1">
    <w:name w:val="heading 1"/>
    <w:basedOn w:val="Normal"/>
    <w:next w:val="Normal"/>
    <w:link w:val="Ttulo1Car"/>
    <w:uiPriority w:val="9"/>
    <w:qFormat/>
    <w:rsid w:val="00120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20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20C0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20C0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20C0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20C0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20C0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20C0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20C0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0C0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20C0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20C0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20C0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20C0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20C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20C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20C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20C0D"/>
    <w:rPr>
      <w:rFonts w:eastAsiaTheme="majorEastAsia" w:cstheme="majorBidi"/>
      <w:color w:val="272727" w:themeColor="text1" w:themeTint="D8"/>
    </w:rPr>
  </w:style>
  <w:style w:type="paragraph" w:styleId="Ttulo">
    <w:name w:val="Title"/>
    <w:basedOn w:val="Normal"/>
    <w:next w:val="Normal"/>
    <w:link w:val="TtuloCar"/>
    <w:uiPriority w:val="10"/>
    <w:qFormat/>
    <w:rsid w:val="00120C0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20C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20C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20C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20C0D"/>
    <w:pPr>
      <w:spacing w:before="160"/>
      <w:jc w:val="center"/>
    </w:pPr>
    <w:rPr>
      <w:i/>
      <w:iCs/>
      <w:color w:val="404040" w:themeColor="text1" w:themeTint="BF"/>
    </w:rPr>
  </w:style>
  <w:style w:type="character" w:customStyle="1" w:styleId="CitaCar">
    <w:name w:val="Cita Car"/>
    <w:basedOn w:val="Fuentedeprrafopredeter"/>
    <w:link w:val="Cita"/>
    <w:uiPriority w:val="29"/>
    <w:rsid w:val="00120C0D"/>
    <w:rPr>
      <w:i/>
      <w:iCs/>
      <w:color w:val="404040" w:themeColor="text1" w:themeTint="BF"/>
    </w:rPr>
  </w:style>
  <w:style w:type="paragraph" w:styleId="Prrafodelista">
    <w:name w:val="List Paragraph"/>
    <w:aliases w:val="Cita texto,Footnote,Párrafo de lista1,List Paragraph1,Colorful List - Accent 11,TEXTO GENERAL SENTENCIAS,List Paragraph,Dot pt,No Spacing1,List Paragraph Char Char Char,Indicator Text,Numbered Para 1,Cuadrícula clara - Énfasis 31,D,DH"/>
    <w:basedOn w:val="Normal"/>
    <w:link w:val="PrrafodelistaCar"/>
    <w:qFormat/>
    <w:rsid w:val="00120C0D"/>
    <w:pPr>
      <w:ind w:left="720"/>
      <w:contextualSpacing/>
    </w:pPr>
  </w:style>
  <w:style w:type="character" w:styleId="nfasisintenso">
    <w:name w:val="Intense Emphasis"/>
    <w:basedOn w:val="Fuentedeprrafopredeter"/>
    <w:uiPriority w:val="21"/>
    <w:qFormat/>
    <w:rsid w:val="00120C0D"/>
    <w:rPr>
      <w:i/>
      <w:iCs/>
      <w:color w:val="0F4761" w:themeColor="accent1" w:themeShade="BF"/>
    </w:rPr>
  </w:style>
  <w:style w:type="paragraph" w:styleId="Citadestacada">
    <w:name w:val="Intense Quote"/>
    <w:basedOn w:val="Normal"/>
    <w:next w:val="Normal"/>
    <w:link w:val="CitadestacadaCar"/>
    <w:uiPriority w:val="30"/>
    <w:qFormat/>
    <w:rsid w:val="00120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20C0D"/>
    <w:rPr>
      <w:i/>
      <w:iCs/>
      <w:color w:val="0F4761" w:themeColor="accent1" w:themeShade="BF"/>
    </w:rPr>
  </w:style>
  <w:style w:type="character" w:styleId="Referenciaintensa">
    <w:name w:val="Intense Reference"/>
    <w:basedOn w:val="Fuentedeprrafopredeter"/>
    <w:uiPriority w:val="32"/>
    <w:qFormat/>
    <w:rsid w:val="00120C0D"/>
    <w:rPr>
      <w:b/>
      <w:bCs/>
      <w:smallCaps/>
      <w:color w:val="0F4761" w:themeColor="accent1" w:themeShade="BF"/>
      <w:spacing w:val="5"/>
    </w:rPr>
  </w:style>
  <w:style w:type="paragraph" w:styleId="Encabezado">
    <w:name w:val="header"/>
    <w:basedOn w:val="Normal"/>
    <w:link w:val="EncabezadoCar"/>
    <w:rsid w:val="00120C0D"/>
    <w:pPr>
      <w:tabs>
        <w:tab w:val="center" w:pos="4252"/>
        <w:tab w:val="right" w:pos="8504"/>
      </w:tabs>
    </w:pPr>
  </w:style>
  <w:style w:type="character" w:customStyle="1" w:styleId="EncabezadoCar">
    <w:name w:val="Encabezado Car"/>
    <w:basedOn w:val="Fuentedeprrafopredeter"/>
    <w:link w:val="Encabezado"/>
    <w:rsid w:val="00120C0D"/>
    <w:rPr>
      <w:rFonts w:ascii="Times New Roman" w:eastAsia="Times New Roman" w:hAnsi="Times New Roman" w:cs="Times New Roman"/>
      <w:kern w:val="0"/>
      <w:sz w:val="20"/>
      <w:szCs w:val="20"/>
      <w:lang w:eastAsia="es-MX"/>
    </w:rPr>
  </w:style>
  <w:style w:type="paragraph" w:styleId="Piedepgina">
    <w:name w:val="footer"/>
    <w:basedOn w:val="Normal"/>
    <w:link w:val="PiedepginaCar1"/>
    <w:uiPriority w:val="99"/>
    <w:rsid w:val="00120C0D"/>
    <w:pPr>
      <w:tabs>
        <w:tab w:val="center" w:pos="4252"/>
        <w:tab w:val="right" w:pos="8504"/>
      </w:tabs>
    </w:pPr>
    <w:rPr>
      <w:lang w:val="es-ES_tradnl"/>
    </w:rPr>
  </w:style>
  <w:style w:type="character" w:customStyle="1" w:styleId="PiedepginaCar">
    <w:name w:val="Pie de página Car"/>
    <w:basedOn w:val="Fuentedeprrafopredeter"/>
    <w:uiPriority w:val="99"/>
    <w:semiHidden/>
    <w:rsid w:val="00120C0D"/>
    <w:rPr>
      <w:rFonts w:ascii="Times New Roman" w:eastAsia="Times New Roman" w:hAnsi="Times New Roman" w:cs="Times New Roman"/>
      <w:kern w:val="0"/>
      <w:sz w:val="20"/>
      <w:szCs w:val="20"/>
      <w:lang w:eastAsia="es-MX"/>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Car3 Car"/>
    <w:basedOn w:val="Normal"/>
    <w:link w:val="TextonotapieCar"/>
    <w:qFormat/>
    <w:rsid w:val="00120C0D"/>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qFormat/>
    <w:rsid w:val="00120C0D"/>
    <w:rPr>
      <w:rFonts w:ascii="Times New Roman" w:eastAsia="Times New Roman" w:hAnsi="Times New Roman" w:cs="Times New Roman"/>
      <w:kern w:val="0"/>
      <w:sz w:val="20"/>
      <w:szCs w:val="20"/>
      <w:lang w:eastAsia="es-MX"/>
    </w:rPr>
  </w:style>
  <w:style w:type="character" w:customStyle="1" w:styleId="PiedepginaCar1">
    <w:name w:val="Pie de página Car1"/>
    <w:basedOn w:val="Fuentedeprrafopredeter"/>
    <w:link w:val="Piedepgina"/>
    <w:uiPriority w:val="99"/>
    <w:rsid w:val="00120C0D"/>
    <w:rPr>
      <w:rFonts w:ascii="Times New Roman" w:eastAsia="Times New Roman" w:hAnsi="Times New Roman" w:cs="Times New Roman"/>
      <w:kern w:val="0"/>
      <w:sz w:val="20"/>
      <w:szCs w:val="20"/>
      <w:lang w:val="es-ES_tradnl" w:eastAsia="es-MX"/>
    </w:rPr>
  </w:style>
  <w:style w:type="character" w:customStyle="1" w:styleId="PrrafodelistaCar">
    <w:name w:val="Párrafo de lista Car"/>
    <w:aliases w:val="Cita texto Car,Footnote Car,Párrafo de lista1 Car,List Paragraph1 Car,Colorful List - Accent 11 Car,TEXTO GENERAL SENTENCIAS Car,List Paragraph Car,Dot pt Car,No Spacing1 Car,List Paragraph Char Char Char Car,Indicator Text Car"/>
    <w:link w:val="Prrafodelista"/>
    <w:qFormat/>
    <w:locked/>
    <w:rsid w:val="00120C0D"/>
  </w:style>
  <w:style w:type="character" w:customStyle="1" w:styleId="corte4fondoCar1">
    <w:name w:val="corte4 fondo Car1"/>
    <w:link w:val="corte4fondo"/>
    <w:qFormat/>
    <w:locked/>
    <w:rsid w:val="00120C0D"/>
    <w:rPr>
      <w:rFonts w:ascii="Arial" w:eastAsia="Times New Roman" w:hAnsi="Arial" w:cs="Times New Roman"/>
      <w:sz w:val="30"/>
      <w:szCs w:val="20"/>
      <w:lang w:val="es-ES_tradnl" w:eastAsia="es-ES"/>
    </w:rPr>
  </w:style>
  <w:style w:type="paragraph" w:customStyle="1" w:styleId="corte4fondo">
    <w:name w:val="corte4 fondo"/>
    <w:basedOn w:val="Normal"/>
    <w:link w:val="corte4fondoCar1"/>
    <w:qFormat/>
    <w:rsid w:val="00120C0D"/>
    <w:pPr>
      <w:spacing w:line="360" w:lineRule="auto"/>
      <w:ind w:firstLine="709"/>
      <w:jc w:val="both"/>
    </w:pPr>
    <w:rPr>
      <w:rFonts w:ascii="Arial" w:hAnsi="Arial"/>
      <w:kern w:val="2"/>
      <w:sz w:val="30"/>
      <w:lang w:val="es-ES_tradnl"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link w:val="4GChar"/>
    <w:unhideWhenUsed/>
    <w:qFormat/>
    <w:rsid w:val="00120C0D"/>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B308BD"/>
    <w:pPr>
      <w:jc w:val="both"/>
    </w:pPr>
    <w:rPr>
      <w:rFonts w:asciiTheme="minorHAnsi" w:eastAsiaTheme="minorHAnsi" w:hAnsiTheme="minorHAnsi" w:cstheme="minorBidi"/>
      <w:kern w:val="2"/>
      <w:sz w:val="22"/>
      <w:szCs w:val="22"/>
      <w:vertAlign w:val="superscript"/>
      <w:lang w:eastAsia="en-US"/>
    </w:rPr>
  </w:style>
  <w:style w:type="character" w:styleId="Fuerte">
    <w:name w:val="Strong"/>
    <w:basedOn w:val="Fuentedeprrafopredeter"/>
    <w:uiPriority w:val="22"/>
    <w:qFormat/>
    <w:rsid w:val="00B30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10E3E-5CFA-465F-8EBB-784FDB92E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3077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STEODOSIO@mail.scjn.gob.mx</dc:creator>
  <cp:keywords/>
  <dc:description/>
  <cp:lastModifiedBy>SALMA GABRIELA TEODOSIO VIVEROS</cp:lastModifiedBy>
  <cp:revision>2</cp:revision>
  <dcterms:created xsi:type="dcterms:W3CDTF">2026-10-14T20:06:00Z</dcterms:created>
  <dcterms:modified xsi:type="dcterms:W3CDTF">2026-10-14T20:06:00Z</dcterms:modified>
</cp:coreProperties>
</file>