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4061" w14:textId="58BA9F9E" w:rsidR="007560C4" w:rsidRDefault="00F171EB" w:rsidP="00A02568">
      <w:pPr>
        <w:spacing w:after="0" w:line="360" w:lineRule="auto"/>
        <w:jc w:val="both"/>
        <w:rPr>
          <w:rFonts w:ascii="Raleway" w:hAnsi="Raleway"/>
          <w:sz w:val="27"/>
          <w:szCs w:val="27"/>
        </w:rPr>
      </w:pPr>
      <w:r w:rsidRPr="00F171EB">
        <w:rPr>
          <w:rFonts w:ascii="Raleway" w:hAnsi="Raleway"/>
          <w:sz w:val="27"/>
          <w:szCs w:val="27"/>
        </w:rPr>
        <w:t xml:space="preserve">En sesión de </w:t>
      </w:r>
      <w:r w:rsidR="007560C4">
        <w:rPr>
          <w:rFonts w:ascii="Raleway" w:hAnsi="Raleway"/>
          <w:sz w:val="27"/>
          <w:szCs w:val="27"/>
        </w:rPr>
        <w:t xml:space="preserve">nueve de septiembre </w:t>
      </w:r>
      <w:r w:rsidRPr="00F171EB">
        <w:rPr>
          <w:rFonts w:ascii="Raleway" w:hAnsi="Raleway"/>
          <w:sz w:val="27"/>
          <w:szCs w:val="27"/>
        </w:rPr>
        <w:t xml:space="preserve">de dos mil veintiséis, el Pleno de la Suprema Corte de Justicia de la Nación, resolvió por </w:t>
      </w:r>
      <w:r w:rsidR="00316404">
        <w:rPr>
          <w:rFonts w:ascii="Raleway" w:hAnsi="Raleway"/>
          <w:sz w:val="27"/>
          <w:szCs w:val="27"/>
        </w:rPr>
        <w:t>mayoría</w:t>
      </w:r>
      <w:r w:rsidR="00212FFE">
        <w:rPr>
          <w:rFonts w:ascii="Raleway" w:hAnsi="Raleway"/>
          <w:sz w:val="27"/>
          <w:szCs w:val="27"/>
        </w:rPr>
        <w:t xml:space="preserve"> de </w:t>
      </w:r>
      <w:r w:rsidRPr="00F171EB">
        <w:rPr>
          <w:rFonts w:ascii="Raleway" w:hAnsi="Raleway"/>
          <w:sz w:val="27"/>
          <w:szCs w:val="27"/>
        </w:rPr>
        <w:t xml:space="preserve">votos </w:t>
      </w:r>
      <w:r w:rsidR="007560C4">
        <w:rPr>
          <w:rFonts w:ascii="Raleway" w:hAnsi="Raleway"/>
          <w:sz w:val="27"/>
          <w:szCs w:val="27"/>
        </w:rPr>
        <w:t xml:space="preserve">el </w:t>
      </w:r>
      <w:proofErr w:type="spellStart"/>
      <w:r w:rsidR="007560C4">
        <w:rPr>
          <w:rFonts w:ascii="Raleway" w:hAnsi="Raleway"/>
          <w:sz w:val="27"/>
          <w:szCs w:val="27"/>
        </w:rPr>
        <w:t>desechamiento</w:t>
      </w:r>
      <w:proofErr w:type="spellEnd"/>
      <w:r w:rsidR="007560C4">
        <w:rPr>
          <w:rFonts w:ascii="Raleway" w:hAnsi="Raleway"/>
          <w:sz w:val="27"/>
          <w:szCs w:val="27"/>
        </w:rPr>
        <w:t xml:space="preserve"> del recurso de revisión </w:t>
      </w:r>
      <w:r w:rsidR="00F21329">
        <w:rPr>
          <w:rFonts w:ascii="Raleway" w:hAnsi="Raleway"/>
          <w:sz w:val="27"/>
          <w:szCs w:val="27"/>
        </w:rPr>
        <w:t xml:space="preserve">en amparo directo </w:t>
      </w:r>
      <w:r w:rsidR="00D45749">
        <w:rPr>
          <w:rFonts w:ascii="Raleway" w:hAnsi="Raleway"/>
          <w:sz w:val="27"/>
          <w:szCs w:val="27"/>
        </w:rPr>
        <w:t>1442/2026</w:t>
      </w:r>
      <w:r w:rsidR="00F558F7">
        <w:rPr>
          <w:rFonts w:ascii="Raleway" w:hAnsi="Raleway"/>
          <w:sz w:val="27"/>
          <w:szCs w:val="27"/>
        </w:rPr>
        <w:t xml:space="preserve">. </w:t>
      </w:r>
      <w:r w:rsidR="007560C4" w:rsidRPr="007560C4">
        <w:rPr>
          <w:rFonts w:ascii="Raleway" w:hAnsi="Raleway"/>
          <w:sz w:val="27"/>
          <w:szCs w:val="27"/>
        </w:rPr>
        <w:t xml:space="preserve">Respetuosamente, no comparto la decisión </w:t>
      </w:r>
      <w:r w:rsidR="000F6875">
        <w:rPr>
          <w:rFonts w:ascii="Raleway" w:hAnsi="Raleway"/>
          <w:sz w:val="27"/>
          <w:szCs w:val="27"/>
        </w:rPr>
        <w:t>adoptada por la mayoría de mis pares</w:t>
      </w:r>
      <w:r w:rsidR="007560C4" w:rsidRPr="007560C4">
        <w:rPr>
          <w:rFonts w:ascii="Raleway" w:hAnsi="Raleway"/>
          <w:sz w:val="27"/>
          <w:szCs w:val="27"/>
        </w:rPr>
        <w:t>.</w:t>
      </w:r>
    </w:p>
    <w:p w14:paraId="7D665769" w14:textId="77777777" w:rsidR="000F6875" w:rsidRPr="007560C4" w:rsidRDefault="000F6875" w:rsidP="00A02568">
      <w:pPr>
        <w:widowControl w:val="0"/>
        <w:spacing w:after="0" w:line="360" w:lineRule="auto"/>
        <w:jc w:val="both"/>
        <w:rPr>
          <w:rFonts w:ascii="Raleway" w:hAnsi="Raleway"/>
          <w:sz w:val="27"/>
          <w:szCs w:val="27"/>
        </w:rPr>
      </w:pPr>
    </w:p>
    <w:p w14:paraId="2A71B24A" w14:textId="7777777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La mayoría consideró que en el asunto no subsistía una cuestión propiamente constitucional, porque la controversia se relacionaba únicamente con la interpretación del artículo 117 de la Ley Nacional del Sistema Integral de Justicia Penal para Adolescentes y, en particular, con las consecuencias jurídicas que produce el incumplimiento del plazo máximo de seis meses previsto en esa disposición.</w:t>
      </w:r>
    </w:p>
    <w:p w14:paraId="37027A42" w14:textId="77777777" w:rsidR="00077971" w:rsidRPr="007560C4" w:rsidRDefault="00077971" w:rsidP="00A02568">
      <w:pPr>
        <w:widowControl w:val="0"/>
        <w:spacing w:after="0" w:line="360" w:lineRule="auto"/>
        <w:jc w:val="both"/>
        <w:rPr>
          <w:rFonts w:ascii="Raleway" w:hAnsi="Raleway"/>
          <w:sz w:val="27"/>
          <w:szCs w:val="27"/>
        </w:rPr>
      </w:pPr>
    </w:p>
    <w:p w14:paraId="10355363" w14:textId="1F631109" w:rsidR="007560C4" w:rsidRDefault="00974D58" w:rsidP="00A02568">
      <w:pPr>
        <w:widowControl w:val="0"/>
        <w:spacing w:after="0" w:line="360" w:lineRule="auto"/>
        <w:jc w:val="both"/>
        <w:rPr>
          <w:rFonts w:ascii="Raleway" w:hAnsi="Raleway"/>
          <w:sz w:val="27"/>
          <w:szCs w:val="27"/>
        </w:rPr>
      </w:pPr>
      <w:r>
        <w:rPr>
          <w:rFonts w:ascii="Raleway" w:hAnsi="Raleway"/>
          <w:sz w:val="27"/>
          <w:szCs w:val="27"/>
        </w:rPr>
        <w:t xml:space="preserve">No comparto esa </w:t>
      </w:r>
      <w:r w:rsidR="007560C4" w:rsidRPr="007560C4">
        <w:rPr>
          <w:rFonts w:ascii="Raleway" w:hAnsi="Raleway"/>
          <w:sz w:val="27"/>
          <w:szCs w:val="27"/>
        </w:rPr>
        <w:t>conclusión.</w:t>
      </w:r>
      <w:r w:rsidR="00D007B2">
        <w:rPr>
          <w:rFonts w:ascii="Raleway" w:hAnsi="Raleway"/>
          <w:sz w:val="27"/>
          <w:szCs w:val="27"/>
        </w:rPr>
        <w:t xml:space="preserve"> </w:t>
      </w:r>
      <w:r w:rsidR="007560C4" w:rsidRPr="007560C4">
        <w:rPr>
          <w:rFonts w:ascii="Raleway" w:hAnsi="Raleway"/>
          <w:sz w:val="27"/>
          <w:szCs w:val="27"/>
        </w:rPr>
        <w:t xml:space="preserve">Desde mi perspectiva, si los agravios se analizan a partir de </w:t>
      </w:r>
      <w:r w:rsidR="00D007B2">
        <w:rPr>
          <w:rFonts w:ascii="Raleway" w:hAnsi="Raleway"/>
          <w:sz w:val="27"/>
          <w:szCs w:val="27"/>
        </w:rPr>
        <w:t>la</w:t>
      </w:r>
      <w:r w:rsidR="007560C4" w:rsidRPr="007560C4">
        <w:rPr>
          <w:rFonts w:ascii="Raleway" w:hAnsi="Raleway"/>
          <w:sz w:val="27"/>
          <w:szCs w:val="27"/>
        </w:rPr>
        <w:t xml:space="preserve"> causa de pedir, la recurrente no plantea solamente un problema de interpretación de la legislación secundaria. Lo que solicita es que se determine el alcance del artículo 117 de la Ley Nacional a la luz de los principios que, conforme al artículo 18 de la Constitución Federal, rigen el sistema integral de justicia penal para adolescentes, especialmente los de mínima intervención, excepcionalidad y celeridad procesal.</w:t>
      </w:r>
    </w:p>
    <w:p w14:paraId="7B751D6F" w14:textId="77777777" w:rsidR="00D007B2" w:rsidRPr="007560C4" w:rsidRDefault="00D007B2" w:rsidP="00A02568">
      <w:pPr>
        <w:widowControl w:val="0"/>
        <w:spacing w:after="0" w:line="360" w:lineRule="auto"/>
        <w:jc w:val="both"/>
        <w:rPr>
          <w:rFonts w:ascii="Raleway" w:hAnsi="Raleway"/>
          <w:sz w:val="27"/>
          <w:szCs w:val="27"/>
        </w:rPr>
      </w:pPr>
    </w:p>
    <w:p w14:paraId="68CCA426" w14:textId="7B3D476F"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 xml:space="preserve">En otras palabras, la cuestión no consiste únicamente en definir qué dice la ley sobre el </w:t>
      </w:r>
      <w:r w:rsidR="00333149">
        <w:rPr>
          <w:rFonts w:ascii="Raleway" w:hAnsi="Raleway"/>
          <w:sz w:val="27"/>
          <w:szCs w:val="27"/>
        </w:rPr>
        <w:t xml:space="preserve">plazo </w:t>
      </w:r>
      <w:r w:rsidRPr="007560C4">
        <w:rPr>
          <w:rFonts w:ascii="Raleway" w:hAnsi="Raleway"/>
          <w:sz w:val="27"/>
          <w:szCs w:val="27"/>
        </w:rPr>
        <w:t>de seis meses</w:t>
      </w:r>
      <w:r w:rsidR="00333149">
        <w:rPr>
          <w:rFonts w:ascii="Raleway" w:hAnsi="Raleway"/>
          <w:sz w:val="27"/>
          <w:szCs w:val="27"/>
        </w:rPr>
        <w:t xml:space="preserve"> para que una persona adolescente sea procesada y se dicte sentencia</w:t>
      </w:r>
      <w:r w:rsidRPr="007560C4">
        <w:rPr>
          <w:rFonts w:ascii="Raleway" w:hAnsi="Raleway"/>
          <w:sz w:val="27"/>
          <w:szCs w:val="27"/>
        </w:rPr>
        <w:t>, sino en establecer qué protección constitucional debe reconocerse a una persona adolescente cuando el Estado no concluye el proceso penal dentro del plazo especialmente previsto para ella.</w:t>
      </w:r>
    </w:p>
    <w:p w14:paraId="6C438FA9" w14:textId="77777777" w:rsidR="002A0156" w:rsidRPr="007560C4" w:rsidRDefault="002A0156" w:rsidP="00A02568">
      <w:pPr>
        <w:widowControl w:val="0"/>
        <w:spacing w:after="0" w:line="360" w:lineRule="auto"/>
        <w:jc w:val="both"/>
        <w:rPr>
          <w:rFonts w:ascii="Raleway" w:hAnsi="Raleway"/>
          <w:sz w:val="27"/>
          <w:szCs w:val="27"/>
        </w:rPr>
      </w:pPr>
    </w:p>
    <w:p w14:paraId="7101AC86" w14:textId="2C06AD81"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Considero que esta cuestión justificaba la procedencia del recurso.</w:t>
      </w:r>
      <w:r w:rsidR="002A0156">
        <w:rPr>
          <w:rFonts w:ascii="Raleway" w:hAnsi="Raleway"/>
          <w:sz w:val="27"/>
          <w:szCs w:val="27"/>
        </w:rPr>
        <w:t xml:space="preserve"> </w:t>
      </w:r>
      <w:r w:rsidRPr="007560C4">
        <w:rPr>
          <w:rFonts w:ascii="Raleway" w:hAnsi="Raleway"/>
          <w:sz w:val="27"/>
          <w:szCs w:val="27"/>
        </w:rPr>
        <w:t xml:space="preserve">El sistema de justicia penal para adolescentes tiene características </w:t>
      </w:r>
      <w:r w:rsidRPr="007560C4">
        <w:rPr>
          <w:rFonts w:ascii="Raleway" w:hAnsi="Raleway"/>
          <w:sz w:val="27"/>
          <w:szCs w:val="27"/>
        </w:rPr>
        <w:lastRenderedPageBreak/>
        <w:t>propias. El artículo 18 constitucional exige un tratamiento especializado y una intervención estatal que afecte en la menor medida posible los derechos de las personas adolescentes. Dentro de ese modelo, la celeridad del procedimiento no constituye solamente una regla de organización procesal, sino una garantía relacionada con las condiciones particulares de desarrollo de las personas sujetas a este sistema.</w:t>
      </w:r>
    </w:p>
    <w:p w14:paraId="405CD4D9" w14:textId="77777777" w:rsidR="00CC31FE" w:rsidRPr="007560C4" w:rsidRDefault="00CC31FE" w:rsidP="00A02568">
      <w:pPr>
        <w:widowControl w:val="0"/>
        <w:spacing w:after="0" w:line="360" w:lineRule="auto"/>
        <w:jc w:val="both"/>
        <w:rPr>
          <w:rFonts w:ascii="Raleway" w:hAnsi="Raleway"/>
          <w:sz w:val="27"/>
          <w:szCs w:val="27"/>
        </w:rPr>
      </w:pPr>
    </w:p>
    <w:p w14:paraId="6844948D" w14:textId="7777777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Por ello, cuando la legislación establece que el proceso deberá resolverse dentro de un plazo máximo de seis meses, salvo que la propia persona adolescente solicite su ampliación por resultarle favorable, surge una cuestión constitucional relevante cuando dicho plazo es superado por causas que no le son atribuibles.</w:t>
      </w:r>
    </w:p>
    <w:p w14:paraId="04FDA52B" w14:textId="77777777" w:rsidR="00D54262" w:rsidRPr="007560C4" w:rsidRDefault="00D54262" w:rsidP="00A02568">
      <w:pPr>
        <w:widowControl w:val="0"/>
        <w:spacing w:after="0" w:line="360" w:lineRule="auto"/>
        <w:jc w:val="both"/>
        <w:rPr>
          <w:rFonts w:ascii="Raleway" w:hAnsi="Raleway"/>
          <w:sz w:val="27"/>
          <w:szCs w:val="27"/>
        </w:rPr>
      </w:pPr>
    </w:p>
    <w:p w14:paraId="2A03D970" w14:textId="7777777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La pregunta que, en mi opinión, correspondía resolver era si los principios constitucionales que rigen la justicia penal para adolescentes permiten considerar que el vencimiento de ese plazo carece de alguna consecuencia efectiva sobre la continuación del proceso o si, por el contrario, el carácter especializado del sistema exige reconocer una protección reforzada frente a una dilación atribuible al Estado.</w:t>
      </w:r>
    </w:p>
    <w:p w14:paraId="0F47281B" w14:textId="77777777" w:rsidR="00D54262" w:rsidRPr="007560C4" w:rsidRDefault="00D54262" w:rsidP="00A02568">
      <w:pPr>
        <w:widowControl w:val="0"/>
        <w:spacing w:after="0" w:line="360" w:lineRule="auto"/>
        <w:jc w:val="both"/>
        <w:rPr>
          <w:rFonts w:ascii="Raleway" w:hAnsi="Raleway"/>
          <w:sz w:val="27"/>
          <w:szCs w:val="27"/>
        </w:rPr>
      </w:pPr>
    </w:p>
    <w:p w14:paraId="58A2BE5C" w14:textId="79D28F5A"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 xml:space="preserve">No adelanto con ello que el transcurso de los seis meses deba generar necesariamente la </w:t>
      </w:r>
      <w:r w:rsidR="00523E8B">
        <w:rPr>
          <w:rFonts w:ascii="Raleway" w:hAnsi="Raleway"/>
          <w:sz w:val="27"/>
          <w:szCs w:val="27"/>
        </w:rPr>
        <w:t>extinción de la pretensión punitiva</w:t>
      </w:r>
      <w:r w:rsidRPr="007560C4">
        <w:rPr>
          <w:rFonts w:ascii="Raleway" w:hAnsi="Raleway"/>
          <w:sz w:val="27"/>
          <w:szCs w:val="27"/>
        </w:rPr>
        <w:t>.</w:t>
      </w:r>
      <w:r w:rsidR="00523E8B">
        <w:rPr>
          <w:rFonts w:ascii="Raleway" w:hAnsi="Raleway"/>
          <w:sz w:val="27"/>
          <w:szCs w:val="27"/>
        </w:rPr>
        <w:t xml:space="preserve"> </w:t>
      </w:r>
      <w:r w:rsidRPr="007560C4">
        <w:rPr>
          <w:rFonts w:ascii="Raleway" w:hAnsi="Raleway"/>
          <w:sz w:val="27"/>
          <w:szCs w:val="27"/>
        </w:rPr>
        <w:t>Precisamente ésa era una cuestión que debía ser analizada en el fondo del asunto.</w:t>
      </w:r>
      <w:r w:rsidR="00523E8B">
        <w:rPr>
          <w:rFonts w:ascii="Raleway" w:hAnsi="Raleway"/>
          <w:sz w:val="27"/>
          <w:szCs w:val="27"/>
        </w:rPr>
        <w:t xml:space="preserve"> </w:t>
      </w:r>
      <w:r w:rsidRPr="007560C4">
        <w:rPr>
          <w:rFonts w:ascii="Raleway" w:hAnsi="Raleway"/>
          <w:sz w:val="27"/>
          <w:szCs w:val="27"/>
        </w:rPr>
        <w:t>Era necesario determinar si la consecuencia sostenida por la recurrente resulta</w:t>
      </w:r>
      <w:r w:rsidR="00D45749">
        <w:rPr>
          <w:rFonts w:ascii="Raleway" w:hAnsi="Raleway"/>
          <w:sz w:val="27"/>
          <w:szCs w:val="27"/>
        </w:rPr>
        <w:t>ba</w:t>
      </w:r>
      <w:r w:rsidRPr="007560C4">
        <w:rPr>
          <w:rFonts w:ascii="Raleway" w:hAnsi="Raleway"/>
          <w:sz w:val="27"/>
          <w:szCs w:val="27"/>
        </w:rPr>
        <w:t xml:space="preserve"> compatible con el artículo 18 constitucional y con el artículo 40 de la Convención sobre los Derechos del Niño, que reconoce el derecho de toda persona adolescente acusada de infringir la ley penal a que su asunto sea resuelto sin demora.</w:t>
      </w:r>
    </w:p>
    <w:p w14:paraId="342BD841" w14:textId="77777777" w:rsidR="004B49A7" w:rsidRPr="007560C4" w:rsidRDefault="004B49A7" w:rsidP="00A02568">
      <w:pPr>
        <w:widowControl w:val="0"/>
        <w:spacing w:after="0" w:line="360" w:lineRule="auto"/>
        <w:jc w:val="both"/>
        <w:rPr>
          <w:rFonts w:ascii="Raleway" w:hAnsi="Raleway"/>
          <w:sz w:val="27"/>
          <w:szCs w:val="27"/>
        </w:rPr>
      </w:pPr>
    </w:p>
    <w:p w14:paraId="6AE5FFC6" w14:textId="3470C5DF"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 xml:space="preserve">Por esa razón, tampoco considero que el amparo directo en revisión </w:t>
      </w:r>
      <w:r w:rsidRPr="007560C4">
        <w:rPr>
          <w:rFonts w:ascii="Raleway" w:hAnsi="Raleway"/>
          <w:sz w:val="27"/>
          <w:szCs w:val="27"/>
        </w:rPr>
        <w:lastRenderedPageBreak/>
        <w:t>7244/2024 resolviera la problemática planteada en este asunto</w:t>
      </w:r>
      <w:r w:rsidR="0094370A">
        <w:rPr>
          <w:rFonts w:ascii="Raleway" w:hAnsi="Raleway"/>
          <w:sz w:val="27"/>
          <w:szCs w:val="27"/>
        </w:rPr>
        <w:t xml:space="preserve">, como se </w:t>
      </w:r>
      <w:r w:rsidR="002F4697">
        <w:rPr>
          <w:rFonts w:ascii="Raleway" w:hAnsi="Raleway"/>
          <w:sz w:val="27"/>
          <w:szCs w:val="27"/>
        </w:rPr>
        <w:t>mencionó en la discusión del asunto</w:t>
      </w:r>
      <w:r w:rsidRPr="007560C4">
        <w:rPr>
          <w:rFonts w:ascii="Raleway" w:hAnsi="Raleway"/>
          <w:sz w:val="27"/>
          <w:szCs w:val="27"/>
        </w:rPr>
        <w:t>.</w:t>
      </w:r>
      <w:r w:rsidR="004B49A7">
        <w:rPr>
          <w:rFonts w:ascii="Raleway" w:hAnsi="Raleway"/>
          <w:sz w:val="27"/>
          <w:szCs w:val="27"/>
        </w:rPr>
        <w:t xml:space="preserve"> </w:t>
      </w:r>
      <w:r w:rsidRPr="007560C4">
        <w:rPr>
          <w:rFonts w:ascii="Raleway" w:hAnsi="Raleway"/>
          <w:sz w:val="27"/>
          <w:szCs w:val="27"/>
        </w:rPr>
        <w:t xml:space="preserve">En aquel precedente, la </w:t>
      </w:r>
      <w:r w:rsidR="00D45749">
        <w:rPr>
          <w:rFonts w:ascii="Raleway" w:hAnsi="Raleway"/>
          <w:sz w:val="27"/>
          <w:szCs w:val="27"/>
        </w:rPr>
        <w:t xml:space="preserve">extinta </w:t>
      </w:r>
      <w:r w:rsidRPr="007560C4">
        <w:rPr>
          <w:rFonts w:ascii="Raleway" w:hAnsi="Raleway"/>
          <w:sz w:val="27"/>
          <w:szCs w:val="27"/>
        </w:rPr>
        <w:t xml:space="preserve">Primera Sala analizó el estándar constitucional del plazo razonable aplicable a los procesos penales seguidos contra personas adolescentes. El asunto partía de circunstancias sustancialmente distintas: </w:t>
      </w:r>
      <w:r w:rsidR="00234382">
        <w:rPr>
          <w:rFonts w:ascii="Raleway" w:hAnsi="Raleway"/>
          <w:sz w:val="27"/>
          <w:szCs w:val="27"/>
        </w:rPr>
        <w:t xml:space="preserve">durante la secuela procesal, el adolescente solicitó la ampliación del plazo establecido en el artículo 117 de la Ley y la inconformidad </w:t>
      </w:r>
      <w:r w:rsidR="005D4615">
        <w:rPr>
          <w:rFonts w:ascii="Raleway" w:hAnsi="Raleway"/>
          <w:sz w:val="27"/>
          <w:szCs w:val="27"/>
        </w:rPr>
        <w:t xml:space="preserve">con su prolongación, a su juicio excesiva, se presentó cuando </w:t>
      </w:r>
      <w:r w:rsidRPr="000D04B0">
        <w:rPr>
          <w:rFonts w:ascii="Raleway" w:hAnsi="Raleway"/>
          <w:sz w:val="27"/>
          <w:szCs w:val="27"/>
          <w:u w:val="single"/>
        </w:rPr>
        <w:t>ya se había dictado una sentencia definitiva</w:t>
      </w:r>
      <w:r w:rsidR="005D4615">
        <w:rPr>
          <w:rFonts w:ascii="Raleway" w:hAnsi="Raleway"/>
          <w:sz w:val="27"/>
          <w:szCs w:val="27"/>
        </w:rPr>
        <w:t>. L</w:t>
      </w:r>
      <w:r w:rsidRPr="007560C4">
        <w:rPr>
          <w:rFonts w:ascii="Raleway" w:hAnsi="Raleway"/>
          <w:sz w:val="27"/>
          <w:szCs w:val="27"/>
        </w:rPr>
        <w:t xml:space="preserve">a controversia </w:t>
      </w:r>
      <w:r w:rsidR="005D4615">
        <w:rPr>
          <w:rFonts w:ascii="Raleway" w:hAnsi="Raleway"/>
          <w:sz w:val="27"/>
          <w:szCs w:val="27"/>
        </w:rPr>
        <w:t xml:space="preserve">entonces </w:t>
      </w:r>
      <w:r w:rsidRPr="007560C4">
        <w:rPr>
          <w:rFonts w:ascii="Raleway" w:hAnsi="Raleway"/>
          <w:sz w:val="27"/>
          <w:szCs w:val="27"/>
        </w:rPr>
        <w:t>consist</w:t>
      </w:r>
      <w:r w:rsidR="005D4615">
        <w:rPr>
          <w:rFonts w:ascii="Raleway" w:hAnsi="Raleway"/>
          <w:sz w:val="27"/>
          <w:szCs w:val="27"/>
        </w:rPr>
        <w:t>ió</w:t>
      </w:r>
      <w:r w:rsidRPr="007560C4">
        <w:rPr>
          <w:rFonts w:ascii="Raleway" w:hAnsi="Raleway"/>
          <w:sz w:val="27"/>
          <w:szCs w:val="27"/>
        </w:rPr>
        <w:t xml:space="preserve"> en determinar si la prolongación del proceso constituía una demora innecesaria.</w:t>
      </w:r>
    </w:p>
    <w:p w14:paraId="4839F00E" w14:textId="77777777" w:rsidR="000D04B0" w:rsidRPr="007560C4" w:rsidRDefault="000D04B0" w:rsidP="00A02568">
      <w:pPr>
        <w:widowControl w:val="0"/>
        <w:spacing w:after="0" w:line="360" w:lineRule="auto"/>
        <w:jc w:val="both"/>
        <w:rPr>
          <w:rFonts w:ascii="Raleway" w:hAnsi="Raleway"/>
          <w:sz w:val="27"/>
          <w:szCs w:val="27"/>
        </w:rPr>
      </w:pPr>
    </w:p>
    <w:p w14:paraId="486645F7" w14:textId="410A080C" w:rsidR="007560C4" w:rsidRP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De manera especialmente relevante, en el amparo directo en revisión 7244/2024 la</w:t>
      </w:r>
      <w:r w:rsidR="00D45749">
        <w:rPr>
          <w:rFonts w:ascii="Raleway" w:hAnsi="Raleway"/>
          <w:sz w:val="27"/>
          <w:szCs w:val="27"/>
        </w:rPr>
        <w:t xml:space="preserve"> extinta</w:t>
      </w:r>
      <w:r w:rsidRPr="007560C4">
        <w:rPr>
          <w:rFonts w:ascii="Raleway" w:hAnsi="Raleway"/>
          <w:sz w:val="27"/>
          <w:szCs w:val="27"/>
        </w:rPr>
        <w:t xml:space="preserve"> Primera Sala señaló expresamente que no sería materia de estudio determinar los alcances jurídicos del incumplimiento del artículo 117 de la Ley Nacional, por considerar entonces que esa cuestión correspondía al ámbito de legalidad.</w:t>
      </w:r>
    </w:p>
    <w:p w14:paraId="7846B458" w14:textId="77777777" w:rsidR="00A81D05" w:rsidRDefault="00A81D05" w:rsidP="00A02568">
      <w:pPr>
        <w:widowControl w:val="0"/>
        <w:spacing w:after="0" w:line="360" w:lineRule="auto"/>
        <w:jc w:val="both"/>
        <w:rPr>
          <w:rFonts w:ascii="Raleway" w:hAnsi="Raleway"/>
          <w:sz w:val="27"/>
          <w:szCs w:val="27"/>
        </w:rPr>
      </w:pPr>
    </w:p>
    <w:p w14:paraId="1696F2FE" w14:textId="6E6D75A2" w:rsidR="007560C4" w:rsidRP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Por ello, aquel precedente no definió cuál debe ser la consecuencia jurídica cuando el plazo máximo de seis meses es superado sin que la persona adolescente haya solicitado su ampliación.</w:t>
      </w:r>
    </w:p>
    <w:p w14:paraId="45352CB2" w14:textId="77777777" w:rsidR="00A81D05" w:rsidRDefault="00A81D05" w:rsidP="00A02568">
      <w:pPr>
        <w:widowControl w:val="0"/>
        <w:spacing w:after="0" w:line="360" w:lineRule="auto"/>
        <w:jc w:val="both"/>
        <w:rPr>
          <w:rFonts w:ascii="Raleway" w:hAnsi="Raleway"/>
          <w:sz w:val="27"/>
          <w:szCs w:val="27"/>
        </w:rPr>
      </w:pPr>
    </w:p>
    <w:p w14:paraId="43A00F0E" w14:textId="18DD605D" w:rsidR="007560C4" w:rsidRP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El caso que ahora nos ocupa presenta precisamente esa cuestión.</w:t>
      </w:r>
      <w:r w:rsidR="00A81D05">
        <w:rPr>
          <w:rFonts w:ascii="Raleway" w:hAnsi="Raleway"/>
          <w:sz w:val="27"/>
          <w:szCs w:val="27"/>
        </w:rPr>
        <w:t xml:space="preserve"> </w:t>
      </w:r>
      <w:r w:rsidRPr="007560C4">
        <w:rPr>
          <w:rFonts w:ascii="Raleway" w:hAnsi="Raleway"/>
          <w:sz w:val="27"/>
          <w:szCs w:val="27"/>
        </w:rPr>
        <w:t>Aquí no existió una solicitud de ampliación formulada por la adolescente. Por el contrario, el proceso excedió el plazo legal por circunstancias relacionadas con la actuación de las autoridades y, antes de que se dictara sentencia, se declaró prescrita la acción penal.</w:t>
      </w:r>
    </w:p>
    <w:p w14:paraId="56B4CD80" w14:textId="77777777" w:rsidR="00303B51" w:rsidRDefault="00303B51" w:rsidP="00A02568">
      <w:pPr>
        <w:widowControl w:val="0"/>
        <w:spacing w:after="0" w:line="360" w:lineRule="auto"/>
        <w:jc w:val="both"/>
        <w:rPr>
          <w:rFonts w:ascii="Raleway" w:hAnsi="Raleway"/>
          <w:sz w:val="27"/>
          <w:szCs w:val="27"/>
        </w:rPr>
      </w:pPr>
    </w:p>
    <w:p w14:paraId="1DDB74AB" w14:textId="52219AD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 xml:space="preserve">Por tanto, </w:t>
      </w:r>
      <w:r w:rsidR="00C4343D">
        <w:rPr>
          <w:rFonts w:ascii="Raleway" w:hAnsi="Raleway"/>
          <w:sz w:val="27"/>
          <w:szCs w:val="27"/>
        </w:rPr>
        <w:t xml:space="preserve">estimo que </w:t>
      </w:r>
      <w:r w:rsidRPr="007560C4">
        <w:rPr>
          <w:rFonts w:ascii="Raleway" w:hAnsi="Raleway"/>
          <w:sz w:val="27"/>
          <w:szCs w:val="27"/>
        </w:rPr>
        <w:t>el problema constitucional es distinto.</w:t>
      </w:r>
      <w:r w:rsidR="00303B51">
        <w:rPr>
          <w:rFonts w:ascii="Raleway" w:hAnsi="Raleway"/>
          <w:sz w:val="27"/>
          <w:szCs w:val="27"/>
        </w:rPr>
        <w:t xml:space="preserve"> </w:t>
      </w:r>
      <w:r w:rsidRPr="007560C4">
        <w:rPr>
          <w:rFonts w:ascii="Raleway" w:hAnsi="Raleway"/>
          <w:sz w:val="27"/>
          <w:szCs w:val="27"/>
        </w:rPr>
        <w:t xml:space="preserve">No se trataba de volver a definir cuándo existe una demora innecesaria, sino de establecer cuál es el alcance constitucional de la protección que </w:t>
      </w:r>
      <w:r w:rsidRPr="007560C4">
        <w:rPr>
          <w:rFonts w:ascii="Raleway" w:hAnsi="Raleway"/>
          <w:sz w:val="27"/>
          <w:szCs w:val="27"/>
        </w:rPr>
        <w:lastRenderedPageBreak/>
        <w:t>deriva del plazo máximo previsto para una persona adolescente cuando éste se incumple por causas ajenas a ella.</w:t>
      </w:r>
    </w:p>
    <w:p w14:paraId="215F8DD0" w14:textId="77777777" w:rsidR="00C635F1" w:rsidRPr="007560C4" w:rsidRDefault="00C635F1" w:rsidP="00A02568">
      <w:pPr>
        <w:widowControl w:val="0"/>
        <w:spacing w:after="0" w:line="360" w:lineRule="auto"/>
        <w:jc w:val="both"/>
        <w:rPr>
          <w:rFonts w:ascii="Raleway" w:hAnsi="Raleway"/>
          <w:sz w:val="27"/>
          <w:szCs w:val="27"/>
        </w:rPr>
      </w:pPr>
    </w:p>
    <w:p w14:paraId="2A0EFD5C" w14:textId="1A5EBFA3"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Esta diferencia impedía, en mi opinión, considerar que el problema ya hubiera sido resuelto por esta Suprema Corte</w:t>
      </w:r>
      <w:r w:rsidR="00C635F1">
        <w:rPr>
          <w:rFonts w:ascii="Raleway" w:hAnsi="Raleway"/>
          <w:sz w:val="27"/>
          <w:szCs w:val="27"/>
        </w:rPr>
        <w:t>, por lo tanto, t</w:t>
      </w:r>
      <w:r w:rsidRPr="007560C4">
        <w:rPr>
          <w:rFonts w:ascii="Raleway" w:hAnsi="Raleway"/>
          <w:sz w:val="27"/>
          <w:szCs w:val="27"/>
        </w:rPr>
        <w:t>ampoco comparto la consideración conforme a la cual estudiar esta cuestión podría perjudicar a la recurrente porque la finalidad de la norma es proteger su desarrollo psicoemocional.</w:t>
      </w:r>
    </w:p>
    <w:p w14:paraId="253D92C8" w14:textId="77777777" w:rsidR="00C635F1" w:rsidRPr="007560C4" w:rsidRDefault="00C635F1" w:rsidP="00A02568">
      <w:pPr>
        <w:widowControl w:val="0"/>
        <w:spacing w:after="0" w:line="360" w:lineRule="auto"/>
        <w:jc w:val="both"/>
        <w:rPr>
          <w:rFonts w:ascii="Raleway" w:hAnsi="Raleway"/>
          <w:sz w:val="27"/>
          <w:szCs w:val="27"/>
        </w:rPr>
      </w:pPr>
    </w:p>
    <w:p w14:paraId="1C1A7BA1" w14:textId="7777777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La protección de una persona adolescente no puede utilizarse como razón para impedirle obtener una respuesta sobre el alcance de los derechos que precisamente invoca en su favor. Por el contrario, el análisis constitucional permitiría determinar con certeza cuáles son los límites temporales de la intervención punitiva del Estado dentro de un sistema que constitucionalmente debe caracterizarse por la mínima intervención y la celeridad.</w:t>
      </w:r>
    </w:p>
    <w:p w14:paraId="53753D03" w14:textId="77777777" w:rsidR="00EE0328" w:rsidRPr="007560C4" w:rsidRDefault="00EE0328" w:rsidP="00A02568">
      <w:pPr>
        <w:widowControl w:val="0"/>
        <w:spacing w:after="0" w:line="360" w:lineRule="auto"/>
        <w:jc w:val="both"/>
        <w:rPr>
          <w:rFonts w:ascii="Raleway" w:hAnsi="Raleway"/>
          <w:sz w:val="27"/>
          <w:szCs w:val="27"/>
        </w:rPr>
      </w:pPr>
    </w:p>
    <w:p w14:paraId="542750C0" w14:textId="4C466E52" w:rsidR="007560C4" w:rsidRDefault="007560C4" w:rsidP="00827147">
      <w:pPr>
        <w:widowControl w:val="0"/>
        <w:spacing w:after="0" w:line="360" w:lineRule="auto"/>
        <w:jc w:val="both"/>
        <w:rPr>
          <w:rFonts w:ascii="Raleway" w:hAnsi="Raleway"/>
          <w:sz w:val="27"/>
          <w:szCs w:val="27"/>
        </w:rPr>
      </w:pPr>
      <w:r w:rsidRPr="007560C4">
        <w:rPr>
          <w:rFonts w:ascii="Raleway" w:hAnsi="Raleway"/>
          <w:sz w:val="27"/>
          <w:szCs w:val="27"/>
        </w:rPr>
        <w:t>Considero, además, que se encontraba satisfecho el requisito de interés excepcional</w:t>
      </w:r>
      <w:r w:rsidR="004423F8">
        <w:rPr>
          <w:rFonts w:ascii="Raleway" w:hAnsi="Raleway"/>
          <w:sz w:val="27"/>
          <w:szCs w:val="27"/>
        </w:rPr>
        <w:t>, con la distinción del precedente que</w:t>
      </w:r>
      <w:r w:rsidR="00827147">
        <w:rPr>
          <w:rFonts w:ascii="Raleway" w:hAnsi="Raleway"/>
          <w:sz w:val="27"/>
          <w:szCs w:val="27"/>
        </w:rPr>
        <w:t>, sostengo que e</w:t>
      </w:r>
      <w:r w:rsidRPr="007560C4">
        <w:rPr>
          <w:rFonts w:ascii="Raleway" w:hAnsi="Raleway"/>
          <w:sz w:val="27"/>
          <w:szCs w:val="27"/>
        </w:rPr>
        <w:t xml:space="preserve">sta Suprema Corte no ha definido si el derecho de una persona adolescente a ser juzgada dentro del plazo especialmente establecido por la legislación genera alguna consecuencia específica cuando ese plazo es incumplido por el Estado, ni cómo debe </w:t>
      </w:r>
      <w:r w:rsidR="00827147">
        <w:rPr>
          <w:rFonts w:ascii="Raleway" w:hAnsi="Raleway"/>
          <w:sz w:val="27"/>
          <w:szCs w:val="27"/>
        </w:rPr>
        <w:t>dialogar</w:t>
      </w:r>
      <w:r w:rsidRPr="007560C4">
        <w:rPr>
          <w:rFonts w:ascii="Raleway" w:hAnsi="Raleway"/>
          <w:sz w:val="27"/>
          <w:szCs w:val="27"/>
        </w:rPr>
        <w:t xml:space="preserve"> esa garantía con la continuidad del proceso, los derechos de la víctima y las reglas legales sobre </w:t>
      </w:r>
      <w:r w:rsidR="007D47C9">
        <w:rPr>
          <w:rFonts w:ascii="Raleway" w:hAnsi="Raleway"/>
          <w:sz w:val="27"/>
          <w:szCs w:val="27"/>
        </w:rPr>
        <w:t xml:space="preserve">la </w:t>
      </w:r>
      <w:r w:rsidR="00AF0659">
        <w:rPr>
          <w:rFonts w:ascii="Raleway" w:hAnsi="Raleway"/>
          <w:sz w:val="27"/>
          <w:szCs w:val="27"/>
        </w:rPr>
        <w:t>extinción de la pretensión punitiva</w:t>
      </w:r>
      <w:r w:rsidRPr="007560C4">
        <w:rPr>
          <w:rFonts w:ascii="Raleway" w:hAnsi="Raleway"/>
          <w:sz w:val="27"/>
          <w:szCs w:val="27"/>
        </w:rPr>
        <w:t>.</w:t>
      </w:r>
    </w:p>
    <w:p w14:paraId="6E78A5DD" w14:textId="77777777" w:rsidR="007D47C9" w:rsidRPr="007560C4" w:rsidRDefault="007D47C9" w:rsidP="00827147">
      <w:pPr>
        <w:widowControl w:val="0"/>
        <w:spacing w:after="0" w:line="360" w:lineRule="auto"/>
        <w:jc w:val="both"/>
        <w:rPr>
          <w:rFonts w:ascii="Raleway" w:hAnsi="Raleway"/>
          <w:sz w:val="27"/>
          <w:szCs w:val="27"/>
        </w:rPr>
      </w:pPr>
    </w:p>
    <w:p w14:paraId="0351C3E6" w14:textId="77777777" w:rsid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t>Se trata, por tanto, de una cuestión que trasciende las particularidades del caso y que resulta relevante para precisar el alcance de los principios constitucionales que rigen el sistema integral de justicia penal para adolescentes.</w:t>
      </w:r>
    </w:p>
    <w:p w14:paraId="20CD6040" w14:textId="77777777" w:rsidR="00AF0659" w:rsidRPr="007560C4" w:rsidRDefault="00AF0659" w:rsidP="00A02568">
      <w:pPr>
        <w:widowControl w:val="0"/>
        <w:spacing w:after="0" w:line="360" w:lineRule="auto"/>
        <w:jc w:val="both"/>
        <w:rPr>
          <w:rFonts w:ascii="Raleway" w:hAnsi="Raleway"/>
          <w:sz w:val="27"/>
          <w:szCs w:val="27"/>
        </w:rPr>
      </w:pPr>
    </w:p>
    <w:p w14:paraId="72D5027A" w14:textId="77777777" w:rsidR="007560C4" w:rsidRPr="007560C4" w:rsidRDefault="007560C4" w:rsidP="00A02568">
      <w:pPr>
        <w:widowControl w:val="0"/>
        <w:spacing w:after="0" w:line="360" w:lineRule="auto"/>
        <w:jc w:val="both"/>
        <w:rPr>
          <w:rFonts w:ascii="Raleway" w:hAnsi="Raleway"/>
          <w:sz w:val="27"/>
          <w:szCs w:val="27"/>
        </w:rPr>
      </w:pPr>
      <w:r w:rsidRPr="007560C4">
        <w:rPr>
          <w:rFonts w:ascii="Raleway" w:hAnsi="Raleway"/>
          <w:sz w:val="27"/>
          <w:szCs w:val="27"/>
        </w:rPr>
        <w:lastRenderedPageBreak/>
        <w:t>Por estas razones, considero que el recurso de revisión era procedente y que esta Suprema Corte debía analizar el fondo del planteamiento constitucional.</w:t>
      </w:r>
    </w:p>
    <w:p w14:paraId="4720BC68" w14:textId="77777777" w:rsidR="00AF0659" w:rsidRDefault="00AF0659" w:rsidP="00A02568">
      <w:pPr>
        <w:widowControl w:val="0"/>
        <w:spacing w:after="0" w:line="360" w:lineRule="auto"/>
        <w:jc w:val="both"/>
        <w:rPr>
          <w:rFonts w:ascii="Raleway" w:hAnsi="Raleway"/>
          <w:sz w:val="27"/>
          <w:szCs w:val="27"/>
        </w:rPr>
      </w:pPr>
    </w:p>
    <w:p w14:paraId="5033D652" w14:textId="77777777" w:rsidR="00172617" w:rsidRPr="00C019EF" w:rsidRDefault="00172617" w:rsidP="00A02568">
      <w:pPr>
        <w:spacing w:after="0" w:line="360" w:lineRule="auto"/>
        <w:ind w:firstLine="426"/>
        <w:jc w:val="both"/>
        <w:rPr>
          <w:rFonts w:ascii="Raleway" w:hAnsi="Raleway" w:cs="Arial"/>
          <w:sz w:val="27"/>
          <w:szCs w:val="27"/>
        </w:rPr>
      </w:pPr>
    </w:p>
    <w:p w14:paraId="44E0E229" w14:textId="77777777" w:rsidR="005663A4" w:rsidRPr="00C019EF" w:rsidRDefault="005663A4" w:rsidP="00A02568">
      <w:pPr>
        <w:spacing w:after="0" w:line="360" w:lineRule="auto"/>
        <w:jc w:val="center"/>
        <w:rPr>
          <w:rFonts w:ascii="Raleway" w:hAnsi="Raleway" w:cs="Arial"/>
          <w:b/>
          <w:sz w:val="27"/>
          <w:szCs w:val="27"/>
        </w:rPr>
      </w:pPr>
      <w:r w:rsidRPr="00C019EF">
        <w:rPr>
          <w:rFonts w:ascii="Raleway" w:hAnsi="Raleway" w:cs="Arial"/>
          <w:b/>
          <w:sz w:val="27"/>
          <w:szCs w:val="27"/>
        </w:rPr>
        <w:t>ATENTAMENTE</w:t>
      </w:r>
    </w:p>
    <w:p w14:paraId="025120C1" w14:textId="77777777" w:rsidR="005663A4" w:rsidRPr="00C019EF" w:rsidRDefault="005663A4" w:rsidP="00A02568">
      <w:pPr>
        <w:spacing w:after="0" w:line="360" w:lineRule="auto"/>
        <w:ind w:firstLine="709"/>
        <w:jc w:val="center"/>
        <w:rPr>
          <w:rFonts w:ascii="Raleway" w:hAnsi="Raleway" w:cs="Arial"/>
          <w:bCs/>
          <w:sz w:val="27"/>
          <w:szCs w:val="27"/>
        </w:rPr>
      </w:pPr>
    </w:p>
    <w:p w14:paraId="70612317" w14:textId="39797BA9" w:rsidR="005663A4" w:rsidRDefault="005663A4" w:rsidP="00A02568">
      <w:pPr>
        <w:spacing w:after="0" w:line="360" w:lineRule="auto"/>
        <w:jc w:val="center"/>
        <w:rPr>
          <w:rFonts w:ascii="Raleway" w:hAnsi="Raleway" w:cs="Arial"/>
          <w:b/>
          <w:sz w:val="27"/>
          <w:szCs w:val="27"/>
        </w:rPr>
      </w:pPr>
      <w:r w:rsidRPr="00C019EF">
        <w:rPr>
          <w:rFonts w:ascii="Raleway" w:hAnsi="Raleway" w:cs="Arial"/>
          <w:b/>
          <w:sz w:val="27"/>
          <w:szCs w:val="27"/>
        </w:rPr>
        <w:t>MINISTRA SARA IRENE HERRERÍAS GUERRA</w:t>
      </w:r>
    </w:p>
    <w:p w14:paraId="76FDD9B1" w14:textId="77777777" w:rsidR="0038637F" w:rsidRDefault="0038637F" w:rsidP="00A02568">
      <w:pPr>
        <w:spacing w:after="0" w:line="360" w:lineRule="auto"/>
        <w:rPr>
          <w:rFonts w:ascii="Raleway" w:hAnsi="Raleway" w:cs="Arial"/>
          <w:b/>
          <w:sz w:val="27"/>
          <w:szCs w:val="27"/>
        </w:rPr>
      </w:pPr>
    </w:p>
    <w:p w14:paraId="3FFD856F" w14:textId="77777777" w:rsidR="009F6C63" w:rsidRDefault="009F6C63" w:rsidP="00A02568">
      <w:pPr>
        <w:spacing w:after="0" w:line="360" w:lineRule="auto"/>
        <w:rPr>
          <w:rFonts w:ascii="Raleway" w:hAnsi="Raleway" w:cs="Arial"/>
          <w:b/>
          <w:sz w:val="27"/>
          <w:szCs w:val="27"/>
        </w:rPr>
      </w:pPr>
    </w:p>
    <w:p w14:paraId="15262721" w14:textId="6972B5BF" w:rsidR="0038637F" w:rsidRPr="00C019EF" w:rsidRDefault="0038637F" w:rsidP="00A02568">
      <w:pPr>
        <w:spacing w:after="0" w:line="360" w:lineRule="auto"/>
        <w:rPr>
          <w:rFonts w:ascii="Raleway" w:hAnsi="Raleway"/>
          <w:sz w:val="27"/>
          <w:szCs w:val="27"/>
          <w:lang w:val="es-ES"/>
        </w:rPr>
      </w:pPr>
      <w:proofErr w:type="spellStart"/>
      <w:r>
        <w:rPr>
          <w:rFonts w:ascii="Raleway" w:hAnsi="Raleway" w:cs="Arial"/>
          <w:b/>
          <w:sz w:val="27"/>
          <w:szCs w:val="27"/>
        </w:rPr>
        <w:t>Jmze</w:t>
      </w:r>
      <w:proofErr w:type="spellEnd"/>
      <w:r w:rsidR="009F6C63">
        <w:rPr>
          <w:rFonts w:ascii="Raleway" w:hAnsi="Raleway" w:cs="Arial"/>
          <w:b/>
          <w:sz w:val="27"/>
          <w:szCs w:val="27"/>
        </w:rPr>
        <w:t>/</w:t>
      </w:r>
      <w:proofErr w:type="spellStart"/>
      <w:r w:rsidR="00220991">
        <w:rPr>
          <w:rFonts w:ascii="Raleway" w:hAnsi="Raleway" w:cs="Arial"/>
          <w:b/>
          <w:sz w:val="27"/>
          <w:szCs w:val="27"/>
        </w:rPr>
        <w:t>Gam</w:t>
      </w:r>
      <w:proofErr w:type="spellEnd"/>
    </w:p>
    <w:sectPr w:rsidR="0038637F" w:rsidRPr="00C019EF" w:rsidSect="001E53BA">
      <w:headerReference w:type="default" r:id="rId8"/>
      <w:pgSz w:w="12240" w:h="18720" w:code="14"/>
      <w:pgMar w:top="1417" w:right="1701" w:bottom="1417" w:left="1701"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883D" w14:textId="77777777" w:rsidR="004444F4" w:rsidRDefault="004444F4" w:rsidP="001E53BA">
      <w:pPr>
        <w:spacing w:after="0" w:line="240" w:lineRule="auto"/>
      </w:pPr>
      <w:r>
        <w:separator/>
      </w:r>
    </w:p>
  </w:endnote>
  <w:endnote w:type="continuationSeparator" w:id="0">
    <w:p w14:paraId="6B53D985" w14:textId="77777777" w:rsidR="004444F4" w:rsidRDefault="004444F4" w:rsidP="001E5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C989" w14:textId="77777777" w:rsidR="004444F4" w:rsidRDefault="004444F4" w:rsidP="001E53BA">
      <w:pPr>
        <w:spacing w:after="0" w:line="240" w:lineRule="auto"/>
      </w:pPr>
      <w:r>
        <w:separator/>
      </w:r>
    </w:p>
  </w:footnote>
  <w:footnote w:type="continuationSeparator" w:id="0">
    <w:p w14:paraId="69F734CB" w14:textId="77777777" w:rsidR="004444F4" w:rsidRDefault="004444F4" w:rsidP="001E5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D9BC" w14:textId="6B8AEAF0" w:rsidR="001E53BA" w:rsidRPr="004E6713" w:rsidRDefault="001E53BA" w:rsidP="001E53BA">
    <w:pPr>
      <w:spacing w:after="0" w:line="240" w:lineRule="auto"/>
      <w:ind w:left="3261"/>
      <w:jc w:val="both"/>
      <w:rPr>
        <w:rFonts w:ascii="Raleway" w:hAnsi="Raleway"/>
        <w:b/>
        <w:bCs/>
        <w:sz w:val="27"/>
        <w:szCs w:val="27"/>
      </w:rPr>
    </w:pPr>
    <w:r w:rsidRPr="004E6713">
      <w:rPr>
        <w:rFonts w:ascii="Raleway" w:hAnsi="Raleway"/>
        <w:b/>
        <w:bCs/>
        <w:sz w:val="27"/>
        <w:szCs w:val="27"/>
      </w:rPr>
      <w:t xml:space="preserve">VOTO </w:t>
    </w:r>
    <w:r w:rsidR="000A3AFA">
      <w:rPr>
        <w:rFonts w:ascii="Raleway" w:hAnsi="Raleway"/>
        <w:b/>
        <w:bCs/>
        <w:sz w:val="27"/>
        <w:szCs w:val="27"/>
      </w:rPr>
      <w:t>PARTICULAR</w:t>
    </w:r>
    <w:r w:rsidRPr="004E6713">
      <w:rPr>
        <w:rFonts w:ascii="Raleway" w:hAnsi="Raleway"/>
        <w:b/>
        <w:bCs/>
        <w:sz w:val="27"/>
        <w:szCs w:val="27"/>
      </w:rPr>
      <w:t xml:space="preserve"> QUE FORMULA LA MINISTRA SARA IRENE HERRERÍAS GUERRA EN </w:t>
    </w:r>
    <w:r w:rsidR="000A3AFA">
      <w:rPr>
        <w:rFonts w:ascii="Raleway" w:hAnsi="Raleway"/>
        <w:b/>
        <w:bCs/>
        <w:sz w:val="27"/>
        <w:szCs w:val="27"/>
      </w:rPr>
      <w:t>EL AMPARO DI</w:t>
    </w:r>
    <w:r w:rsidR="00F21329">
      <w:rPr>
        <w:rFonts w:ascii="Raleway" w:hAnsi="Raleway"/>
        <w:b/>
        <w:bCs/>
        <w:sz w:val="27"/>
        <w:szCs w:val="27"/>
      </w:rPr>
      <w:t>R</w:t>
    </w:r>
    <w:r w:rsidR="000A3AFA">
      <w:rPr>
        <w:rFonts w:ascii="Raleway" w:hAnsi="Raleway"/>
        <w:b/>
        <w:bCs/>
        <w:sz w:val="27"/>
        <w:szCs w:val="27"/>
      </w:rPr>
      <w:t>ECTO EN REVISIÓN 1442</w:t>
    </w:r>
    <w:r w:rsidR="00376136">
      <w:rPr>
        <w:rFonts w:ascii="Raleway" w:hAnsi="Raleway"/>
        <w:b/>
        <w:bCs/>
        <w:sz w:val="27"/>
        <w:szCs w:val="27"/>
      </w:rPr>
      <w:t>/202</w:t>
    </w:r>
    <w:r w:rsidR="007560C4">
      <w:rPr>
        <w:rFonts w:ascii="Raleway" w:hAnsi="Raleway"/>
        <w:b/>
        <w:bCs/>
        <w:sz w:val="27"/>
        <w:szCs w:val="27"/>
      </w:rPr>
      <w:t>6</w:t>
    </w:r>
    <w:r w:rsidR="00E905BB">
      <w:rPr>
        <w:rFonts w:ascii="Raleway" w:hAnsi="Raleway"/>
        <w:b/>
        <w:bCs/>
        <w:sz w:val="27"/>
        <w:szCs w:val="27"/>
      </w:rPr>
      <w:t>.</w:t>
    </w:r>
  </w:p>
  <w:p w14:paraId="0A1D9142" w14:textId="77777777" w:rsidR="001E53BA" w:rsidRDefault="001E53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70862"/>
    <w:multiLevelType w:val="hybridMultilevel"/>
    <w:tmpl w:val="EE8E6B0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C3F6CD0"/>
    <w:multiLevelType w:val="hybridMultilevel"/>
    <w:tmpl w:val="704ECED2"/>
    <w:lvl w:ilvl="0" w:tplc="080A000B">
      <w:start w:val="1"/>
      <w:numFmt w:val="bullet"/>
      <w:lvlText w:val=""/>
      <w:lvlJc w:val="left"/>
      <w:pPr>
        <w:ind w:left="795" w:hanging="360"/>
      </w:pPr>
      <w:rPr>
        <w:rFonts w:ascii="Wingdings" w:hAnsi="Wingdings"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num w:numId="1" w16cid:durableId="1196112724">
    <w:abstractNumId w:val="1"/>
  </w:num>
  <w:num w:numId="2" w16cid:durableId="1096710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777"/>
    <w:rsid w:val="0003556A"/>
    <w:rsid w:val="000456BD"/>
    <w:rsid w:val="0005767A"/>
    <w:rsid w:val="00057B73"/>
    <w:rsid w:val="00060B95"/>
    <w:rsid w:val="00066842"/>
    <w:rsid w:val="00075B12"/>
    <w:rsid w:val="00077971"/>
    <w:rsid w:val="00086BE8"/>
    <w:rsid w:val="00095C98"/>
    <w:rsid w:val="000A3AFA"/>
    <w:rsid w:val="000A5B05"/>
    <w:rsid w:val="000B756B"/>
    <w:rsid w:val="000C4F31"/>
    <w:rsid w:val="000D04B0"/>
    <w:rsid w:val="000E646D"/>
    <w:rsid w:val="000F6875"/>
    <w:rsid w:val="00101767"/>
    <w:rsid w:val="00114A9D"/>
    <w:rsid w:val="001162D6"/>
    <w:rsid w:val="001259AB"/>
    <w:rsid w:val="00125E0B"/>
    <w:rsid w:val="00141CF0"/>
    <w:rsid w:val="00172617"/>
    <w:rsid w:val="00177A74"/>
    <w:rsid w:val="0018081F"/>
    <w:rsid w:val="001917F0"/>
    <w:rsid w:val="001A6E80"/>
    <w:rsid w:val="001B600A"/>
    <w:rsid w:val="001B6893"/>
    <w:rsid w:val="001E53BA"/>
    <w:rsid w:val="001F0EFE"/>
    <w:rsid w:val="00212FFE"/>
    <w:rsid w:val="00220193"/>
    <w:rsid w:val="00220991"/>
    <w:rsid w:val="002262A9"/>
    <w:rsid w:val="00234382"/>
    <w:rsid w:val="0023798B"/>
    <w:rsid w:val="00240BF1"/>
    <w:rsid w:val="002430DE"/>
    <w:rsid w:val="002476C8"/>
    <w:rsid w:val="00254BBD"/>
    <w:rsid w:val="0026480E"/>
    <w:rsid w:val="00267669"/>
    <w:rsid w:val="00292C4B"/>
    <w:rsid w:val="00296A2B"/>
    <w:rsid w:val="002A0156"/>
    <w:rsid w:val="002C7B97"/>
    <w:rsid w:val="002C7DB2"/>
    <w:rsid w:val="002D435D"/>
    <w:rsid w:val="002F4697"/>
    <w:rsid w:val="00303B51"/>
    <w:rsid w:val="00304312"/>
    <w:rsid w:val="00313573"/>
    <w:rsid w:val="00316404"/>
    <w:rsid w:val="0032420D"/>
    <w:rsid w:val="00325FF9"/>
    <w:rsid w:val="0033143B"/>
    <w:rsid w:val="00333149"/>
    <w:rsid w:val="00337C62"/>
    <w:rsid w:val="00372478"/>
    <w:rsid w:val="00372E0B"/>
    <w:rsid w:val="00376136"/>
    <w:rsid w:val="00376AC5"/>
    <w:rsid w:val="003860CE"/>
    <w:rsid w:val="0038637F"/>
    <w:rsid w:val="00387A1D"/>
    <w:rsid w:val="003C7F8A"/>
    <w:rsid w:val="003D13AE"/>
    <w:rsid w:val="003D17DF"/>
    <w:rsid w:val="003E7C1F"/>
    <w:rsid w:val="003F176A"/>
    <w:rsid w:val="00400783"/>
    <w:rsid w:val="0041399C"/>
    <w:rsid w:val="00435183"/>
    <w:rsid w:val="00440D63"/>
    <w:rsid w:val="00441B51"/>
    <w:rsid w:val="004423F8"/>
    <w:rsid w:val="00442B29"/>
    <w:rsid w:val="004444F4"/>
    <w:rsid w:val="004524E1"/>
    <w:rsid w:val="00453078"/>
    <w:rsid w:val="00453391"/>
    <w:rsid w:val="00457CC4"/>
    <w:rsid w:val="004662E0"/>
    <w:rsid w:val="00472221"/>
    <w:rsid w:val="00475361"/>
    <w:rsid w:val="0048164C"/>
    <w:rsid w:val="00481DA3"/>
    <w:rsid w:val="004A0292"/>
    <w:rsid w:val="004A611E"/>
    <w:rsid w:val="004A6156"/>
    <w:rsid w:val="004B4351"/>
    <w:rsid w:val="004B49A7"/>
    <w:rsid w:val="004C17E7"/>
    <w:rsid w:val="004C498B"/>
    <w:rsid w:val="004E6713"/>
    <w:rsid w:val="004F09A3"/>
    <w:rsid w:val="004F44F1"/>
    <w:rsid w:val="0050470E"/>
    <w:rsid w:val="00512E56"/>
    <w:rsid w:val="00523E8B"/>
    <w:rsid w:val="005400F3"/>
    <w:rsid w:val="005547EB"/>
    <w:rsid w:val="005663A4"/>
    <w:rsid w:val="00567474"/>
    <w:rsid w:val="00583112"/>
    <w:rsid w:val="00587C33"/>
    <w:rsid w:val="00591A59"/>
    <w:rsid w:val="005A2D3E"/>
    <w:rsid w:val="005A7051"/>
    <w:rsid w:val="005B0C77"/>
    <w:rsid w:val="005C03DF"/>
    <w:rsid w:val="005D0A3D"/>
    <w:rsid w:val="005D0FCC"/>
    <w:rsid w:val="005D4615"/>
    <w:rsid w:val="005D4E3F"/>
    <w:rsid w:val="005E2982"/>
    <w:rsid w:val="005F43F9"/>
    <w:rsid w:val="00601EAB"/>
    <w:rsid w:val="00605A96"/>
    <w:rsid w:val="006226E5"/>
    <w:rsid w:val="00631606"/>
    <w:rsid w:val="00642F99"/>
    <w:rsid w:val="006438FB"/>
    <w:rsid w:val="00647585"/>
    <w:rsid w:val="006500BD"/>
    <w:rsid w:val="00660384"/>
    <w:rsid w:val="006631BA"/>
    <w:rsid w:val="006640E1"/>
    <w:rsid w:val="00670402"/>
    <w:rsid w:val="00686FBB"/>
    <w:rsid w:val="00693387"/>
    <w:rsid w:val="00694920"/>
    <w:rsid w:val="006962BF"/>
    <w:rsid w:val="006B4CE5"/>
    <w:rsid w:val="006B75F3"/>
    <w:rsid w:val="006C1A74"/>
    <w:rsid w:val="006C65B4"/>
    <w:rsid w:val="006D0C58"/>
    <w:rsid w:val="006D4B01"/>
    <w:rsid w:val="006F3EC6"/>
    <w:rsid w:val="006F4A8A"/>
    <w:rsid w:val="0070452B"/>
    <w:rsid w:val="00705346"/>
    <w:rsid w:val="007412A8"/>
    <w:rsid w:val="007560C4"/>
    <w:rsid w:val="00756AA1"/>
    <w:rsid w:val="00764A75"/>
    <w:rsid w:val="0077076E"/>
    <w:rsid w:val="00795F3A"/>
    <w:rsid w:val="00796E3B"/>
    <w:rsid w:val="007D47C9"/>
    <w:rsid w:val="007E64D1"/>
    <w:rsid w:val="007F4AFE"/>
    <w:rsid w:val="00800EAB"/>
    <w:rsid w:val="00805BC6"/>
    <w:rsid w:val="00821BB9"/>
    <w:rsid w:val="00827147"/>
    <w:rsid w:val="00832907"/>
    <w:rsid w:val="008416E3"/>
    <w:rsid w:val="00843605"/>
    <w:rsid w:val="0087362C"/>
    <w:rsid w:val="008745DB"/>
    <w:rsid w:val="00891FAF"/>
    <w:rsid w:val="00892B11"/>
    <w:rsid w:val="00892C01"/>
    <w:rsid w:val="008943F4"/>
    <w:rsid w:val="008A41D0"/>
    <w:rsid w:val="008A627F"/>
    <w:rsid w:val="008C56E5"/>
    <w:rsid w:val="008D1D49"/>
    <w:rsid w:val="008E3622"/>
    <w:rsid w:val="0090161E"/>
    <w:rsid w:val="009213CF"/>
    <w:rsid w:val="009334AE"/>
    <w:rsid w:val="0094370A"/>
    <w:rsid w:val="00946138"/>
    <w:rsid w:val="009477B2"/>
    <w:rsid w:val="009527C9"/>
    <w:rsid w:val="00967567"/>
    <w:rsid w:val="00974D58"/>
    <w:rsid w:val="00980CBF"/>
    <w:rsid w:val="00991C63"/>
    <w:rsid w:val="009A1337"/>
    <w:rsid w:val="009C6E90"/>
    <w:rsid w:val="009E0F0C"/>
    <w:rsid w:val="009E5BEB"/>
    <w:rsid w:val="009F49B7"/>
    <w:rsid w:val="009F6C63"/>
    <w:rsid w:val="009F78A5"/>
    <w:rsid w:val="00A02568"/>
    <w:rsid w:val="00A053A3"/>
    <w:rsid w:val="00A13B46"/>
    <w:rsid w:val="00A16575"/>
    <w:rsid w:val="00A2213E"/>
    <w:rsid w:val="00A35991"/>
    <w:rsid w:val="00A41F52"/>
    <w:rsid w:val="00A427E2"/>
    <w:rsid w:val="00A55CA7"/>
    <w:rsid w:val="00A57013"/>
    <w:rsid w:val="00A57E21"/>
    <w:rsid w:val="00A748EE"/>
    <w:rsid w:val="00A77799"/>
    <w:rsid w:val="00A81D05"/>
    <w:rsid w:val="00A85774"/>
    <w:rsid w:val="00A93705"/>
    <w:rsid w:val="00AB49EB"/>
    <w:rsid w:val="00AC2C6C"/>
    <w:rsid w:val="00AC7E31"/>
    <w:rsid w:val="00AD1E05"/>
    <w:rsid w:val="00AD5BBB"/>
    <w:rsid w:val="00AF0659"/>
    <w:rsid w:val="00B356CF"/>
    <w:rsid w:val="00B6555D"/>
    <w:rsid w:val="00B66E7B"/>
    <w:rsid w:val="00B70924"/>
    <w:rsid w:val="00B71B03"/>
    <w:rsid w:val="00B75ED9"/>
    <w:rsid w:val="00BA64E7"/>
    <w:rsid w:val="00BA6F4D"/>
    <w:rsid w:val="00BB6814"/>
    <w:rsid w:val="00BE4785"/>
    <w:rsid w:val="00BF5448"/>
    <w:rsid w:val="00C019EF"/>
    <w:rsid w:val="00C11DE6"/>
    <w:rsid w:val="00C21A67"/>
    <w:rsid w:val="00C25B06"/>
    <w:rsid w:val="00C4343D"/>
    <w:rsid w:val="00C50D7B"/>
    <w:rsid w:val="00C635F1"/>
    <w:rsid w:val="00C85443"/>
    <w:rsid w:val="00C92182"/>
    <w:rsid w:val="00CA1892"/>
    <w:rsid w:val="00CA7437"/>
    <w:rsid w:val="00CC31FE"/>
    <w:rsid w:val="00CC4687"/>
    <w:rsid w:val="00CF2EB4"/>
    <w:rsid w:val="00D007B2"/>
    <w:rsid w:val="00D45749"/>
    <w:rsid w:val="00D47B11"/>
    <w:rsid w:val="00D526A1"/>
    <w:rsid w:val="00D52E88"/>
    <w:rsid w:val="00D54262"/>
    <w:rsid w:val="00D94307"/>
    <w:rsid w:val="00DB477A"/>
    <w:rsid w:val="00DB6A9F"/>
    <w:rsid w:val="00E13A17"/>
    <w:rsid w:val="00E143AF"/>
    <w:rsid w:val="00E14B91"/>
    <w:rsid w:val="00E27A25"/>
    <w:rsid w:val="00E34999"/>
    <w:rsid w:val="00E36A58"/>
    <w:rsid w:val="00E4496C"/>
    <w:rsid w:val="00E4778E"/>
    <w:rsid w:val="00E51C68"/>
    <w:rsid w:val="00E66A6E"/>
    <w:rsid w:val="00E74713"/>
    <w:rsid w:val="00E905BB"/>
    <w:rsid w:val="00EB169E"/>
    <w:rsid w:val="00ED7777"/>
    <w:rsid w:val="00EE0328"/>
    <w:rsid w:val="00EF1252"/>
    <w:rsid w:val="00EF2162"/>
    <w:rsid w:val="00F02CEF"/>
    <w:rsid w:val="00F10F8D"/>
    <w:rsid w:val="00F171EB"/>
    <w:rsid w:val="00F21329"/>
    <w:rsid w:val="00F2343D"/>
    <w:rsid w:val="00F25653"/>
    <w:rsid w:val="00F2684F"/>
    <w:rsid w:val="00F31673"/>
    <w:rsid w:val="00F41872"/>
    <w:rsid w:val="00F52C0E"/>
    <w:rsid w:val="00F558F7"/>
    <w:rsid w:val="00F613D1"/>
    <w:rsid w:val="00F7209E"/>
    <w:rsid w:val="00F87843"/>
    <w:rsid w:val="00FA5952"/>
    <w:rsid w:val="00FC32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86324"/>
  <w15:chartTrackingRefBased/>
  <w15:docId w15:val="{94242B61-E7AF-4358-BBCD-071C11D69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77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D77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D77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D77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D77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D77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D77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D77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D77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77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D77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D77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D77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D77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D77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77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77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7777"/>
    <w:rPr>
      <w:rFonts w:eastAsiaTheme="majorEastAsia" w:cstheme="majorBidi"/>
      <w:color w:val="272727" w:themeColor="text1" w:themeTint="D8"/>
    </w:rPr>
  </w:style>
  <w:style w:type="paragraph" w:styleId="Ttulo">
    <w:name w:val="Title"/>
    <w:basedOn w:val="Normal"/>
    <w:next w:val="Normal"/>
    <w:link w:val="TtuloCar"/>
    <w:uiPriority w:val="10"/>
    <w:qFormat/>
    <w:rsid w:val="00ED7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77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77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77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7777"/>
    <w:pPr>
      <w:spacing w:before="160"/>
      <w:jc w:val="center"/>
    </w:pPr>
    <w:rPr>
      <w:i/>
      <w:iCs/>
      <w:color w:val="404040" w:themeColor="text1" w:themeTint="BF"/>
    </w:rPr>
  </w:style>
  <w:style w:type="character" w:customStyle="1" w:styleId="CitaCar">
    <w:name w:val="Cita Car"/>
    <w:basedOn w:val="Fuentedeprrafopredeter"/>
    <w:link w:val="Cita"/>
    <w:uiPriority w:val="29"/>
    <w:rsid w:val="00ED7777"/>
    <w:rPr>
      <w:i/>
      <w:iCs/>
      <w:color w:val="404040" w:themeColor="text1" w:themeTint="BF"/>
    </w:rPr>
  </w:style>
  <w:style w:type="paragraph" w:styleId="Prrafodelista">
    <w:name w:val="List Paragraph"/>
    <w:basedOn w:val="Normal"/>
    <w:uiPriority w:val="34"/>
    <w:qFormat/>
    <w:rsid w:val="00ED7777"/>
    <w:pPr>
      <w:ind w:left="720"/>
      <w:contextualSpacing/>
    </w:pPr>
  </w:style>
  <w:style w:type="character" w:styleId="nfasisintenso">
    <w:name w:val="Intense Emphasis"/>
    <w:basedOn w:val="Fuentedeprrafopredeter"/>
    <w:uiPriority w:val="21"/>
    <w:qFormat/>
    <w:rsid w:val="00ED7777"/>
    <w:rPr>
      <w:i/>
      <w:iCs/>
      <w:color w:val="0F4761" w:themeColor="accent1" w:themeShade="BF"/>
    </w:rPr>
  </w:style>
  <w:style w:type="paragraph" w:styleId="Citadestacada">
    <w:name w:val="Intense Quote"/>
    <w:basedOn w:val="Normal"/>
    <w:next w:val="Normal"/>
    <w:link w:val="CitadestacadaCar"/>
    <w:uiPriority w:val="30"/>
    <w:qFormat/>
    <w:rsid w:val="00ED7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D7777"/>
    <w:rPr>
      <w:i/>
      <w:iCs/>
      <w:color w:val="0F4761" w:themeColor="accent1" w:themeShade="BF"/>
    </w:rPr>
  </w:style>
  <w:style w:type="character" w:styleId="Referenciaintensa">
    <w:name w:val="Intense Reference"/>
    <w:basedOn w:val="Fuentedeprrafopredeter"/>
    <w:uiPriority w:val="32"/>
    <w:qFormat/>
    <w:rsid w:val="00ED7777"/>
    <w:rPr>
      <w:b/>
      <w:bCs/>
      <w:smallCaps/>
      <w:color w:val="0F4761" w:themeColor="accent1" w:themeShade="BF"/>
      <w:spacing w:val="5"/>
    </w:rPr>
  </w:style>
  <w:style w:type="paragraph" w:styleId="Encabezado">
    <w:name w:val="header"/>
    <w:basedOn w:val="Normal"/>
    <w:link w:val="EncabezadoCar"/>
    <w:uiPriority w:val="99"/>
    <w:unhideWhenUsed/>
    <w:rsid w:val="001E53B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53BA"/>
  </w:style>
  <w:style w:type="paragraph" w:styleId="Piedepgina">
    <w:name w:val="footer"/>
    <w:basedOn w:val="Normal"/>
    <w:link w:val="PiedepginaCar"/>
    <w:uiPriority w:val="99"/>
    <w:unhideWhenUsed/>
    <w:rsid w:val="001E53B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53BA"/>
  </w:style>
  <w:style w:type="paragraph" w:styleId="Textonotapie">
    <w:name w:val="footnote text"/>
    <w:basedOn w:val="Normal"/>
    <w:link w:val="TextonotapieCar"/>
    <w:uiPriority w:val="99"/>
    <w:semiHidden/>
    <w:unhideWhenUsed/>
    <w:rsid w:val="00A57E2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57E21"/>
    <w:rPr>
      <w:sz w:val="20"/>
      <w:szCs w:val="20"/>
    </w:rPr>
  </w:style>
  <w:style w:type="character" w:styleId="Refdenotaalpie">
    <w:name w:val="footnote reference"/>
    <w:basedOn w:val="Fuentedeprrafopredeter"/>
    <w:uiPriority w:val="99"/>
    <w:semiHidden/>
    <w:unhideWhenUsed/>
    <w:rsid w:val="00A57E21"/>
    <w:rPr>
      <w:vertAlign w:val="superscript"/>
    </w:rPr>
  </w:style>
  <w:style w:type="paragraph" w:styleId="Sinespaciado">
    <w:name w:val="No Spacing"/>
    <w:aliases w:val="RESOLUTIVOS"/>
    <w:link w:val="SinespaciadoCar"/>
    <w:uiPriority w:val="1"/>
    <w:qFormat/>
    <w:rsid w:val="006640E1"/>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SinespaciadoCar">
    <w:name w:val="Sin espaciado Car"/>
    <w:aliases w:val="RESOLUTIVOS Car"/>
    <w:link w:val="Sinespaciado"/>
    <w:uiPriority w:val="1"/>
    <w:rsid w:val="006640E1"/>
    <w:rPr>
      <w:rFonts w:ascii="Times New Roman" w:eastAsia="Times New Roman" w:hAnsi="Times New Roman" w:cs="Times New Roman"/>
      <w:kern w:val="0"/>
      <w:sz w:val="20"/>
      <w:szCs w:val="20"/>
      <w:lang w:val="es-ES" w:eastAsia="es-ES"/>
      <w14:ligatures w14:val="none"/>
    </w:rPr>
  </w:style>
  <w:style w:type="table" w:styleId="Tablaconcuadrcula">
    <w:name w:val="Table Grid"/>
    <w:basedOn w:val="Tablanormal"/>
    <w:uiPriority w:val="59"/>
    <w:rsid w:val="00A427E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23E6D-359B-42D8-B326-797EB445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1086</Words>
  <Characters>5973</Characters>
  <Application>Microsoft Office Word</Application>
  <DocSecurity>4</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Alberto Bugarin Díaz</dc:creator>
  <cp:keywords/>
  <dc:description/>
  <cp:lastModifiedBy>Guadalupe Avendaño Moreno</cp:lastModifiedBy>
  <cp:revision>2</cp:revision>
  <cp:lastPrinted>2026-02-05T01:18:00Z</cp:lastPrinted>
  <dcterms:created xsi:type="dcterms:W3CDTF">2026-10-13T17:49:00Z</dcterms:created>
  <dcterms:modified xsi:type="dcterms:W3CDTF">2026-10-13T17:49:00Z</dcterms:modified>
</cp:coreProperties>
</file>