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8E24F" w14:textId="1C993090" w:rsidR="00460A38" w:rsidRPr="005E2242" w:rsidRDefault="00E7029C" w:rsidP="00E7029C">
      <w:pPr>
        <w:spacing w:after="160" w:line="259" w:lineRule="auto"/>
        <w:rPr>
          <w:rFonts w:cs="Arial"/>
          <w:b/>
          <w:sz w:val="24"/>
          <w:szCs w:val="24"/>
        </w:rPr>
      </w:pPr>
      <w:r w:rsidRPr="005E2242">
        <w:rPr>
          <w:rFonts w:cs="Arial"/>
          <w:b/>
          <w:sz w:val="24"/>
          <w:szCs w:val="24"/>
        </w:rPr>
        <w:t>VOTO CONCURRENTE QUE FORMULA LA MINISTRA LENIA BATRES GUADARRAMA RELATIVO A</w:t>
      </w:r>
      <w:r>
        <w:rPr>
          <w:rFonts w:cs="Arial"/>
          <w:b/>
          <w:sz w:val="24"/>
          <w:szCs w:val="24"/>
        </w:rPr>
        <w:t xml:space="preserve"> </w:t>
      </w:r>
      <w:r w:rsidRPr="005E2242">
        <w:rPr>
          <w:rFonts w:cs="Arial"/>
          <w:b/>
          <w:sz w:val="24"/>
          <w:szCs w:val="24"/>
        </w:rPr>
        <w:t>L</w:t>
      </w:r>
      <w:r>
        <w:rPr>
          <w:rFonts w:cs="Arial"/>
          <w:b/>
          <w:sz w:val="24"/>
          <w:szCs w:val="24"/>
        </w:rPr>
        <w:t>A</w:t>
      </w:r>
      <w:r w:rsidRPr="005E2242">
        <w:rPr>
          <w:rFonts w:cs="Arial"/>
          <w:b/>
          <w:sz w:val="24"/>
          <w:szCs w:val="24"/>
        </w:rPr>
        <w:t xml:space="preserve"> </w:t>
      </w:r>
      <w:r>
        <w:rPr>
          <w:rFonts w:cs="Arial"/>
          <w:b/>
          <w:sz w:val="24"/>
          <w:szCs w:val="24"/>
          <w:lang w:val="es-ES"/>
        </w:rPr>
        <w:t xml:space="preserve">ACCIÓN DE INCONSTITUCIONALIDAD </w:t>
      </w:r>
      <w:r w:rsidR="008E6FBA">
        <w:rPr>
          <w:rFonts w:cs="Arial"/>
          <w:b/>
          <w:sz w:val="24"/>
          <w:szCs w:val="24"/>
          <w:lang w:val="es-ES"/>
        </w:rPr>
        <w:t>6</w:t>
      </w:r>
      <w:r>
        <w:rPr>
          <w:rFonts w:cs="Arial"/>
          <w:b/>
          <w:sz w:val="24"/>
          <w:szCs w:val="24"/>
          <w:lang w:val="es-ES"/>
        </w:rPr>
        <w:t>6</w:t>
      </w:r>
      <w:r w:rsidRPr="005E2242">
        <w:rPr>
          <w:rFonts w:cs="Arial"/>
          <w:b/>
          <w:sz w:val="24"/>
          <w:szCs w:val="24"/>
          <w:lang w:val="es-ES"/>
        </w:rPr>
        <w:t>/202</w:t>
      </w:r>
      <w:r>
        <w:rPr>
          <w:rFonts w:cs="Arial"/>
          <w:b/>
          <w:sz w:val="24"/>
          <w:szCs w:val="24"/>
          <w:lang w:val="es-ES"/>
        </w:rPr>
        <w:t xml:space="preserve">6 Y SUS ACUMULADAS </w:t>
      </w:r>
      <w:r w:rsidR="008E6FBA">
        <w:rPr>
          <w:rFonts w:cs="Arial"/>
          <w:b/>
          <w:sz w:val="24"/>
          <w:szCs w:val="24"/>
          <w:lang w:val="es-ES"/>
        </w:rPr>
        <w:t>82</w:t>
      </w:r>
      <w:r>
        <w:rPr>
          <w:rFonts w:cs="Arial"/>
          <w:b/>
          <w:sz w:val="24"/>
          <w:szCs w:val="24"/>
          <w:lang w:val="es-ES"/>
        </w:rPr>
        <w:t xml:space="preserve">/2026, </w:t>
      </w:r>
      <w:r w:rsidR="008E6FBA">
        <w:rPr>
          <w:rFonts w:cs="Arial"/>
          <w:b/>
          <w:sz w:val="24"/>
          <w:szCs w:val="24"/>
          <w:lang w:val="es-ES"/>
        </w:rPr>
        <w:t>85</w:t>
      </w:r>
      <w:r>
        <w:rPr>
          <w:rFonts w:cs="Arial"/>
          <w:b/>
          <w:sz w:val="24"/>
          <w:szCs w:val="24"/>
          <w:lang w:val="es-ES"/>
        </w:rPr>
        <w:t xml:space="preserve">/2026 Y </w:t>
      </w:r>
      <w:r w:rsidR="008E6FBA">
        <w:rPr>
          <w:rFonts w:cs="Arial"/>
          <w:b/>
          <w:sz w:val="24"/>
          <w:szCs w:val="24"/>
          <w:lang w:val="es-ES"/>
        </w:rPr>
        <w:t>87</w:t>
      </w:r>
      <w:r>
        <w:rPr>
          <w:rFonts w:cs="Arial"/>
          <w:b/>
          <w:sz w:val="24"/>
          <w:szCs w:val="24"/>
          <w:lang w:val="es-ES"/>
        </w:rPr>
        <w:t>/2026</w:t>
      </w:r>
    </w:p>
    <w:p w14:paraId="4A5E04BA" w14:textId="77777777" w:rsidR="008E6FBA" w:rsidRDefault="008E6FBA" w:rsidP="002C06D6">
      <w:pPr>
        <w:spacing w:line="276" w:lineRule="auto"/>
        <w:rPr>
          <w:rFonts w:cs="Arial"/>
          <w:sz w:val="24"/>
          <w:szCs w:val="24"/>
        </w:rPr>
      </w:pPr>
    </w:p>
    <w:p w14:paraId="1AE69683" w14:textId="7734565C" w:rsidR="008E6FBA" w:rsidRDefault="008E6FBA" w:rsidP="002C06D6">
      <w:pPr>
        <w:spacing w:line="276" w:lineRule="auto"/>
        <w:rPr>
          <w:rFonts w:cs="Arial"/>
          <w:sz w:val="24"/>
          <w:szCs w:val="24"/>
        </w:rPr>
      </w:pPr>
      <w:r>
        <w:rPr>
          <w:rFonts w:cs="Arial"/>
          <w:sz w:val="24"/>
          <w:szCs w:val="24"/>
        </w:rPr>
        <w:t xml:space="preserve">Diversos partidos políticos </w:t>
      </w:r>
      <w:r w:rsidRPr="008E6FBA">
        <w:rPr>
          <w:rFonts w:cs="Arial"/>
          <w:sz w:val="24"/>
          <w:szCs w:val="24"/>
        </w:rPr>
        <w:t xml:space="preserve">y </w:t>
      </w:r>
      <w:r>
        <w:rPr>
          <w:rFonts w:cs="Arial"/>
          <w:sz w:val="24"/>
          <w:szCs w:val="24"/>
        </w:rPr>
        <w:t xml:space="preserve">el </w:t>
      </w:r>
      <w:r w:rsidRPr="008E6FBA">
        <w:rPr>
          <w:rFonts w:cs="Arial"/>
          <w:sz w:val="24"/>
          <w:szCs w:val="24"/>
        </w:rPr>
        <w:t xml:space="preserve">Poder Ejecutivo Federal promovieron acción de inconstitucionalidad contra los artículos </w:t>
      </w:r>
      <w:r w:rsidRPr="008E6FBA">
        <w:rPr>
          <w:rFonts w:cs="Arial"/>
          <w:b/>
          <w:bCs/>
          <w:sz w:val="24"/>
          <w:szCs w:val="24"/>
        </w:rPr>
        <w:t>32 Quáter</w:t>
      </w:r>
      <w:r w:rsidRPr="008E6FBA">
        <w:rPr>
          <w:rFonts w:cs="Arial"/>
          <w:sz w:val="24"/>
          <w:szCs w:val="24"/>
        </w:rPr>
        <w:t xml:space="preserve">, numeral </w:t>
      </w:r>
      <w:r w:rsidRPr="008E6FBA">
        <w:rPr>
          <w:rFonts w:cs="Arial"/>
          <w:b/>
          <w:bCs/>
          <w:sz w:val="24"/>
          <w:szCs w:val="24"/>
        </w:rPr>
        <w:t>4</w:t>
      </w:r>
      <w:r w:rsidRPr="008E6FBA">
        <w:rPr>
          <w:rFonts w:cs="Arial"/>
          <w:sz w:val="24"/>
          <w:szCs w:val="24"/>
        </w:rPr>
        <w:t xml:space="preserve">, </w:t>
      </w:r>
      <w:r w:rsidRPr="008E6FBA">
        <w:rPr>
          <w:rFonts w:cs="Arial"/>
          <w:b/>
          <w:bCs/>
          <w:sz w:val="24"/>
          <w:szCs w:val="24"/>
        </w:rPr>
        <w:t>18</w:t>
      </w:r>
      <w:r w:rsidRPr="008E6FBA">
        <w:rPr>
          <w:rFonts w:cs="Arial"/>
          <w:sz w:val="24"/>
          <w:szCs w:val="24"/>
        </w:rPr>
        <w:t xml:space="preserve">, numeral </w:t>
      </w:r>
      <w:r w:rsidRPr="008E6FBA">
        <w:rPr>
          <w:rFonts w:cs="Arial"/>
          <w:b/>
          <w:bCs/>
          <w:sz w:val="24"/>
          <w:szCs w:val="24"/>
        </w:rPr>
        <w:t>2</w:t>
      </w:r>
      <w:r w:rsidRPr="008E6FBA">
        <w:rPr>
          <w:rFonts w:cs="Arial"/>
          <w:sz w:val="24"/>
          <w:szCs w:val="24"/>
        </w:rPr>
        <w:t xml:space="preserve"> y </w:t>
      </w:r>
      <w:r w:rsidR="003A5A96">
        <w:rPr>
          <w:rFonts w:cs="Arial"/>
          <w:b/>
          <w:bCs/>
          <w:sz w:val="24"/>
          <w:szCs w:val="24"/>
        </w:rPr>
        <w:t>QUINTO</w:t>
      </w:r>
      <w:r w:rsidRPr="008E6FBA">
        <w:rPr>
          <w:rFonts w:cs="Arial"/>
          <w:sz w:val="24"/>
          <w:szCs w:val="24"/>
        </w:rPr>
        <w:t xml:space="preserve"> </w:t>
      </w:r>
      <w:r w:rsidR="00024E24" w:rsidRPr="008E6FBA">
        <w:rPr>
          <w:rFonts w:cs="Arial"/>
          <w:b/>
          <w:bCs/>
          <w:sz w:val="24"/>
          <w:szCs w:val="24"/>
        </w:rPr>
        <w:t>Transitorio</w:t>
      </w:r>
      <w:r w:rsidR="00024E24" w:rsidRPr="008E6FBA">
        <w:rPr>
          <w:rFonts w:cs="Arial"/>
          <w:sz w:val="24"/>
          <w:szCs w:val="24"/>
        </w:rPr>
        <w:t xml:space="preserve"> </w:t>
      </w:r>
      <w:r w:rsidR="00024E24">
        <w:rPr>
          <w:rFonts w:cs="Arial"/>
          <w:sz w:val="24"/>
          <w:szCs w:val="24"/>
        </w:rPr>
        <w:t>contenidos</w:t>
      </w:r>
      <w:r w:rsidRPr="008E6FBA">
        <w:rPr>
          <w:rFonts w:cs="Arial"/>
          <w:sz w:val="24"/>
          <w:szCs w:val="24"/>
        </w:rPr>
        <w:t xml:space="preserve"> en el Decreto </w:t>
      </w:r>
      <w:r w:rsidRPr="008E6FBA">
        <w:rPr>
          <w:rFonts w:cs="Arial"/>
          <w:b/>
          <w:bCs/>
          <w:sz w:val="24"/>
          <w:szCs w:val="24"/>
        </w:rPr>
        <w:t>427</w:t>
      </w:r>
      <w:r w:rsidRPr="008E6FBA">
        <w:rPr>
          <w:rFonts w:cs="Arial"/>
          <w:sz w:val="24"/>
          <w:szCs w:val="24"/>
        </w:rPr>
        <w:t xml:space="preserve">, </w:t>
      </w:r>
      <w:r w:rsidRPr="008E6FBA">
        <w:rPr>
          <w:rFonts w:cs="Arial"/>
          <w:bCs/>
          <w:sz w:val="24"/>
          <w:szCs w:val="24"/>
        </w:rPr>
        <w:t>por el que se reforman, adicionan y derogan diversas disposiciones de la Ley Orgánica del Municipio Libre del Estado de Durango y de la Ley de Instituciones y Procedimientos Electorales para el Estado de Durango, publicado el 2 de junio de 2026 en el Periódico Oficial del Gobierno de dicha entidad</w:t>
      </w:r>
      <w:r w:rsidRPr="008E6FBA">
        <w:rPr>
          <w:rFonts w:cs="Arial"/>
          <w:sz w:val="24"/>
          <w:szCs w:val="24"/>
        </w:rPr>
        <w:t>.</w:t>
      </w:r>
    </w:p>
    <w:p w14:paraId="79D1B630" w14:textId="77777777" w:rsidR="008E6FBA" w:rsidRPr="00682735" w:rsidRDefault="008E6FBA" w:rsidP="002C06D6">
      <w:pPr>
        <w:spacing w:line="276" w:lineRule="auto"/>
        <w:rPr>
          <w:rFonts w:cs="Arial"/>
          <w:sz w:val="24"/>
          <w:szCs w:val="24"/>
        </w:rPr>
      </w:pPr>
    </w:p>
    <w:p w14:paraId="26B8B740" w14:textId="2384DC84" w:rsidR="008E6FBA" w:rsidRDefault="008E6FBA" w:rsidP="002C06D6">
      <w:pPr>
        <w:spacing w:line="276" w:lineRule="auto"/>
        <w:rPr>
          <w:rFonts w:cs="Arial"/>
          <w:sz w:val="24"/>
          <w:szCs w:val="24"/>
        </w:rPr>
      </w:pPr>
      <w:r w:rsidRPr="00682735">
        <w:rPr>
          <w:rFonts w:cs="Arial"/>
          <w:sz w:val="24"/>
          <w:szCs w:val="24"/>
        </w:rPr>
        <w:t>En lo referente a los artículos</w:t>
      </w:r>
      <w:r w:rsidRPr="00682735">
        <w:rPr>
          <w:rFonts w:cs="Arial"/>
          <w:b/>
          <w:bCs/>
          <w:sz w:val="24"/>
          <w:szCs w:val="24"/>
        </w:rPr>
        <w:t xml:space="preserve"> 18</w:t>
      </w:r>
      <w:r w:rsidRPr="00682735">
        <w:rPr>
          <w:rFonts w:cs="Arial"/>
          <w:sz w:val="24"/>
          <w:szCs w:val="24"/>
        </w:rPr>
        <w:t xml:space="preserve">, </w:t>
      </w:r>
      <w:r w:rsidRPr="00682735">
        <w:rPr>
          <w:rFonts w:cs="Arial"/>
          <w:b/>
          <w:bCs/>
          <w:sz w:val="24"/>
          <w:szCs w:val="24"/>
        </w:rPr>
        <w:t>numeral 2</w:t>
      </w:r>
      <w:r w:rsidRPr="00682735">
        <w:rPr>
          <w:rFonts w:cs="Arial"/>
          <w:sz w:val="24"/>
          <w:szCs w:val="24"/>
        </w:rPr>
        <w:t xml:space="preserve">, </w:t>
      </w:r>
      <w:r w:rsidRPr="00DE699D">
        <w:rPr>
          <w:rFonts w:cs="Arial"/>
          <w:sz w:val="24"/>
          <w:szCs w:val="24"/>
        </w:rPr>
        <w:t xml:space="preserve">y el </w:t>
      </w:r>
      <w:r w:rsidRPr="00DE699D">
        <w:rPr>
          <w:rFonts w:cs="Arial"/>
          <w:b/>
          <w:bCs/>
          <w:sz w:val="24"/>
          <w:szCs w:val="24"/>
        </w:rPr>
        <w:t>QUINTO</w:t>
      </w:r>
      <w:r w:rsidRPr="00682735">
        <w:rPr>
          <w:rFonts w:cs="Arial"/>
          <w:b/>
          <w:bCs/>
          <w:sz w:val="24"/>
          <w:szCs w:val="24"/>
        </w:rPr>
        <w:t xml:space="preserve"> Transitorio</w:t>
      </w:r>
      <w:r w:rsidR="00682735" w:rsidRPr="00682735">
        <w:rPr>
          <w:rFonts w:cs="Arial"/>
          <w:b/>
          <w:bCs/>
          <w:sz w:val="24"/>
          <w:szCs w:val="24"/>
        </w:rPr>
        <w:t xml:space="preserve"> </w:t>
      </w:r>
      <w:r w:rsidR="00682735" w:rsidRPr="00682735">
        <w:rPr>
          <w:rFonts w:cs="Arial"/>
          <w:sz w:val="24"/>
          <w:szCs w:val="24"/>
        </w:rPr>
        <w:t xml:space="preserve">de la Ley de Instituciones y Procedimientos Electorales para el Estado de Durango, </w:t>
      </w:r>
      <w:r w:rsidR="00682735" w:rsidRPr="00682735">
        <w:rPr>
          <w:rFonts w:cs="Arial"/>
          <w:bCs/>
          <w:sz w:val="24"/>
          <w:szCs w:val="24"/>
        </w:rPr>
        <w:t xml:space="preserve">se </w:t>
      </w:r>
      <w:r w:rsidR="00682735" w:rsidRPr="00682735">
        <w:rPr>
          <w:rFonts w:cs="Arial"/>
          <w:b/>
          <w:bCs/>
          <w:sz w:val="24"/>
          <w:szCs w:val="24"/>
        </w:rPr>
        <w:t>establece una obligación permanente de alternancia de género para la postulación de candidaturas a la gubernatura del Estado</w:t>
      </w:r>
      <w:r w:rsidR="00682735" w:rsidRPr="00682735">
        <w:rPr>
          <w:rFonts w:cs="Arial"/>
          <w:sz w:val="24"/>
          <w:szCs w:val="24"/>
        </w:rPr>
        <w:t>.</w:t>
      </w:r>
    </w:p>
    <w:p w14:paraId="14CFAF29" w14:textId="77777777" w:rsidR="008E6FBA" w:rsidRPr="008E6FBA" w:rsidRDefault="008E6FBA" w:rsidP="002C06D6">
      <w:pPr>
        <w:spacing w:line="276" w:lineRule="auto"/>
        <w:rPr>
          <w:rFonts w:cs="Arial"/>
          <w:sz w:val="24"/>
          <w:szCs w:val="24"/>
        </w:rPr>
      </w:pPr>
    </w:p>
    <w:p w14:paraId="5D96D8C6" w14:textId="47756287" w:rsidR="006D7887" w:rsidRPr="002C06D6" w:rsidRDefault="006D7887" w:rsidP="002C06D6">
      <w:pPr>
        <w:spacing w:line="276" w:lineRule="auto"/>
        <w:rPr>
          <w:rFonts w:cs="Arial"/>
          <w:sz w:val="24"/>
          <w:szCs w:val="24"/>
        </w:rPr>
      </w:pPr>
      <w:r w:rsidRPr="00A16D36">
        <w:rPr>
          <w:sz w:val="24"/>
          <w:szCs w:val="24"/>
        </w:rPr>
        <w:t>En relación con la sentencia aprob</w:t>
      </w:r>
      <w:r>
        <w:rPr>
          <w:sz w:val="24"/>
          <w:szCs w:val="24"/>
        </w:rPr>
        <w:t xml:space="preserve">ada </w:t>
      </w:r>
      <w:r w:rsidR="00D1068F">
        <w:rPr>
          <w:sz w:val="24"/>
          <w:szCs w:val="24"/>
        </w:rPr>
        <w:t xml:space="preserve">por </w:t>
      </w:r>
      <w:r w:rsidRPr="00A16D36">
        <w:rPr>
          <w:sz w:val="24"/>
          <w:szCs w:val="24"/>
        </w:rPr>
        <w:t>el Pleno de la Suprema Corte de Justicia de la Nación</w:t>
      </w:r>
      <w:r>
        <w:rPr>
          <w:sz w:val="24"/>
          <w:szCs w:val="24"/>
        </w:rPr>
        <w:t xml:space="preserve"> en </w:t>
      </w:r>
      <w:r w:rsidRPr="007B5ED1">
        <w:rPr>
          <w:sz w:val="24"/>
          <w:szCs w:val="24"/>
        </w:rPr>
        <w:t xml:space="preserve">sesión de </w:t>
      </w:r>
      <w:r w:rsidR="00682735">
        <w:rPr>
          <w:sz w:val="24"/>
          <w:szCs w:val="24"/>
        </w:rPr>
        <w:t>28</w:t>
      </w:r>
      <w:r w:rsidRPr="007B5ED1">
        <w:rPr>
          <w:sz w:val="24"/>
          <w:szCs w:val="24"/>
        </w:rPr>
        <w:t xml:space="preserve"> de </w:t>
      </w:r>
      <w:r w:rsidR="002C06D6">
        <w:rPr>
          <w:sz w:val="24"/>
          <w:szCs w:val="24"/>
        </w:rPr>
        <w:t>septi</w:t>
      </w:r>
      <w:r w:rsidRPr="007B5ED1">
        <w:rPr>
          <w:sz w:val="24"/>
          <w:szCs w:val="24"/>
        </w:rPr>
        <w:t>embre de 202</w:t>
      </w:r>
      <w:r w:rsidR="002C06D6">
        <w:rPr>
          <w:sz w:val="24"/>
          <w:szCs w:val="24"/>
        </w:rPr>
        <w:t>6</w:t>
      </w:r>
      <w:r w:rsidRPr="007B5ED1">
        <w:rPr>
          <w:sz w:val="24"/>
          <w:szCs w:val="24"/>
        </w:rPr>
        <w:t>,</w:t>
      </w:r>
      <w:r w:rsidRPr="00A16D36">
        <w:rPr>
          <w:sz w:val="24"/>
          <w:szCs w:val="24"/>
        </w:rPr>
        <w:t xml:space="preserve"> formulo el presente </w:t>
      </w:r>
      <w:r>
        <w:rPr>
          <w:sz w:val="24"/>
          <w:szCs w:val="24"/>
        </w:rPr>
        <w:t>voto</w:t>
      </w:r>
      <w:r w:rsidRPr="00A16D36">
        <w:rPr>
          <w:sz w:val="24"/>
          <w:szCs w:val="24"/>
        </w:rPr>
        <w:t xml:space="preserve"> para exponer los motivos de consenso</w:t>
      </w:r>
      <w:r w:rsidR="002C06D6">
        <w:rPr>
          <w:sz w:val="24"/>
          <w:szCs w:val="24"/>
        </w:rPr>
        <w:t xml:space="preserve"> y las consideraciones </w:t>
      </w:r>
      <w:r w:rsidR="00D1068F">
        <w:rPr>
          <w:sz w:val="24"/>
          <w:szCs w:val="24"/>
        </w:rPr>
        <w:t xml:space="preserve">que, a mi juicio, </w:t>
      </w:r>
      <w:r w:rsidR="002C06D6">
        <w:rPr>
          <w:sz w:val="24"/>
          <w:szCs w:val="24"/>
        </w:rPr>
        <w:t>debieron incorporarse</w:t>
      </w:r>
      <w:r w:rsidRPr="00A16D36">
        <w:rPr>
          <w:sz w:val="24"/>
          <w:szCs w:val="24"/>
        </w:rPr>
        <w:t>.</w:t>
      </w:r>
    </w:p>
    <w:p w14:paraId="36F399B0" w14:textId="77777777" w:rsidR="00CD12E2" w:rsidRPr="002D3827" w:rsidRDefault="00CD12E2" w:rsidP="00D321D7">
      <w:pPr>
        <w:spacing w:line="276" w:lineRule="auto"/>
        <w:rPr>
          <w:rFonts w:cs="Arial"/>
          <w:sz w:val="24"/>
          <w:szCs w:val="24"/>
          <w:lang w:val="es-ES_tradnl"/>
        </w:rPr>
      </w:pPr>
    </w:p>
    <w:p w14:paraId="51A5469D" w14:textId="50AC2E33" w:rsidR="0018127E" w:rsidRPr="002D3827" w:rsidRDefault="002D3827" w:rsidP="00D321D7">
      <w:pPr>
        <w:spacing w:line="276" w:lineRule="auto"/>
        <w:rPr>
          <w:rFonts w:cs="Arial"/>
          <w:sz w:val="24"/>
          <w:szCs w:val="24"/>
          <w:lang w:val="es-ES_tradnl"/>
        </w:rPr>
      </w:pPr>
      <w:r>
        <w:rPr>
          <w:rFonts w:cs="Arial"/>
          <w:b/>
          <w:bCs/>
          <w:sz w:val="24"/>
          <w:szCs w:val="24"/>
        </w:rPr>
        <w:t xml:space="preserve">1. </w:t>
      </w:r>
      <w:r w:rsidR="0018127E" w:rsidRPr="002D3827">
        <w:rPr>
          <w:rFonts w:cs="Arial"/>
          <w:b/>
          <w:bCs/>
          <w:sz w:val="24"/>
          <w:szCs w:val="24"/>
        </w:rPr>
        <w:t>Razones de la mayoría</w:t>
      </w:r>
    </w:p>
    <w:p w14:paraId="683838DE" w14:textId="77777777" w:rsidR="0018127E" w:rsidRPr="00C00F92" w:rsidRDefault="0018127E" w:rsidP="00D321D7">
      <w:pPr>
        <w:spacing w:line="276" w:lineRule="auto"/>
        <w:rPr>
          <w:rFonts w:cs="Arial"/>
          <w:sz w:val="24"/>
          <w:szCs w:val="24"/>
          <w:highlight w:val="yellow"/>
        </w:rPr>
      </w:pPr>
    </w:p>
    <w:p w14:paraId="17A4A5FB" w14:textId="60EA73AD" w:rsidR="002C719A" w:rsidRPr="002C719A" w:rsidRDefault="0007627B" w:rsidP="00D321D7">
      <w:pPr>
        <w:spacing w:line="276" w:lineRule="auto"/>
        <w:rPr>
          <w:rFonts w:cs="Arial"/>
          <w:sz w:val="24"/>
          <w:szCs w:val="24"/>
        </w:rPr>
      </w:pPr>
      <w:r w:rsidRPr="002C719A">
        <w:rPr>
          <w:sz w:val="24"/>
          <w:szCs w:val="24"/>
        </w:rPr>
        <w:t xml:space="preserve">En la resolución aprobada por mayoría de seis votos, se determinó que los artículos </w:t>
      </w:r>
      <w:r w:rsidRPr="002C719A">
        <w:rPr>
          <w:rFonts w:cs="Arial"/>
          <w:b/>
          <w:bCs/>
          <w:sz w:val="24"/>
          <w:szCs w:val="24"/>
        </w:rPr>
        <w:t>18</w:t>
      </w:r>
      <w:r w:rsidRPr="002C719A">
        <w:rPr>
          <w:rFonts w:cs="Arial"/>
          <w:sz w:val="24"/>
          <w:szCs w:val="24"/>
        </w:rPr>
        <w:t xml:space="preserve">, </w:t>
      </w:r>
      <w:r w:rsidRPr="002C719A">
        <w:rPr>
          <w:rFonts w:cs="Arial"/>
          <w:b/>
          <w:bCs/>
          <w:sz w:val="24"/>
          <w:szCs w:val="24"/>
        </w:rPr>
        <w:t>numeral 2</w:t>
      </w:r>
      <w:r w:rsidRPr="002C719A">
        <w:rPr>
          <w:rFonts w:cs="Arial"/>
          <w:sz w:val="24"/>
          <w:szCs w:val="24"/>
        </w:rPr>
        <w:t xml:space="preserve">, y el </w:t>
      </w:r>
      <w:r w:rsidRPr="00DE699D">
        <w:rPr>
          <w:rFonts w:cs="Arial"/>
          <w:b/>
          <w:bCs/>
          <w:sz w:val="24"/>
          <w:szCs w:val="24"/>
        </w:rPr>
        <w:t>QUINTO</w:t>
      </w:r>
      <w:r w:rsidRPr="002C719A">
        <w:rPr>
          <w:rFonts w:cs="Arial"/>
          <w:b/>
          <w:bCs/>
          <w:sz w:val="24"/>
          <w:szCs w:val="24"/>
        </w:rPr>
        <w:t xml:space="preserve"> Transitorio </w:t>
      </w:r>
      <w:r w:rsidRPr="002C719A">
        <w:rPr>
          <w:rFonts w:cs="Arial"/>
          <w:sz w:val="24"/>
          <w:szCs w:val="24"/>
        </w:rPr>
        <w:t xml:space="preserve">de la Ley de Instituciones y Procedimientos Electorales para el Estado de Durango, </w:t>
      </w:r>
      <w:r w:rsidR="002C719A" w:rsidRPr="002C719A">
        <w:rPr>
          <w:rFonts w:cs="Arial"/>
          <w:sz w:val="24"/>
          <w:szCs w:val="24"/>
        </w:rPr>
        <w:t xml:space="preserve">dejan de operar únicamente en el ámbito de la paridad de género y proyectan sus efectos sobre el derecho fundamental a ser votado (voto pasivo). </w:t>
      </w:r>
      <w:r w:rsidR="002C719A">
        <w:rPr>
          <w:rFonts w:cs="Arial"/>
          <w:sz w:val="24"/>
          <w:szCs w:val="24"/>
        </w:rPr>
        <w:t xml:space="preserve">Las normas se convierten en una </w:t>
      </w:r>
      <w:r w:rsidR="002C719A" w:rsidRPr="002C719A">
        <w:rPr>
          <w:rFonts w:cs="Arial"/>
          <w:sz w:val="24"/>
          <w:szCs w:val="24"/>
        </w:rPr>
        <w:t>regla que pretende garantizar la paridad</w:t>
      </w:r>
      <w:r w:rsidR="002C719A">
        <w:rPr>
          <w:rFonts w:cs="Arial"/>
          <w:sz w:val="24"/>
          <w:szCs w:val="24"/>
        </w:rPr>
        <w:t>; sin embargo,</w:t>
      </w:r>
      <w:r w:rsidR="002C719A" w:rsidRPr="002C719A">
        <w:rPr>
          <w:rFonts w:cs="Arial"/>
          <w:sz w:val="24"/>
          <w:szCs w:val="24"/>
        </w:rPr>
        <w:t xml:space="preserve"> restring</w:t>
      </w:r>
      <w:r w:rsidR="002C719A">
        <w:rPr>
          <w:rFonts w:cs="Arial"/>
          <w:sz w:val="24"/>
          <w:szCs w:val="24"/>
        </w:rPr>
        <w:t>e</w:t>
      </w:r>
      <w:r w:rsidR="002C719A" w:rsidRPr="002C719A">
        <w:rPr>
          <w:rFonts w:cs="Arial"/>
          <w:sz w:val="24"/>
          <w:szCs w:val="24"/>
        </w:rPr>
        <w:t xml:space="preserve"> de forma injustificada y desproporcionada el ejercicio de otros derechos político-electorales que la propia Constitución tutela</w:t>
      </w:r>
      <w:r w:rsidR="002C719A">
        <w:rPr>
          <w:rFonts w:cs="Arial"/>
          <w:sz w:val="24"/>
          <w:szCs w:val="24"/>
        </w:rPr>
        <w:t>.</w:t>
      </w:r>
    </w:p>
    <w:p w14:paraId="395F383E" w14:textId="77777777" w:rsidR="0007627B" w:rsidRDefault="0007627B" w:rsidP="00D321D7">
      <w:pPr>
        <w:spacing w:line="276" w:lineRule="auto"/>
        <w:rPr>
          <w:rFonts w:cs="Arial"/>
          <w:sz w:val="24"/>
          <w:szCs w:val="24"/>
        </w:rPr>
      </w:pPr>
    </w:p>
    <w:p w14:paraId="60FF5552" w14:textId="77777777" w:rsidR="00D321D7" w:rsidRDefault="002C719A" w:rsidP="00D321D7">
      <w:pPr>
        <w:spacing w:line="276" w:lineRule="auto"/>
        <w:rPr>
          <w:sz w:val="24"/>
          <w:szCs w:val="24"/>
        </w:rPr>
      </w:pPr>
      <w:r w:rsidRPr="002C719A">
        <w:rPr>
          <w:sz w:val="24"/>
          <w:szCs w:val="24"/>
        </w:rPr>
        <w:t xml:space="preserve">De igual manera, </w:t>
      </w:r>
      <w:r>
        <w:rPr>
          <w:rFonts w:cs="Arial"/>
          <w:sz w:val="24"/>
          <w:szCs w:val="24"/>
          <w:lang w:eastAsia="es-MX"/>
        </w:rPr>
        <w:t>excluye</w:t>
      </w:r>
      <w:r w:rsidR="00D321D7">
        <w:rPr>
          <w:rFonts w:cs="Arial"/>
          <w:sz w:val="24"/>
          <w:szCs w:val="24"/>
          <w:lang w:eastAsia="es-MX"/>
        </w:rPr>
        <w:t>n</w:t>
      </w:r>
      <w:r w:rsidRPr="002C719A">
        <w:rPr>
          <w:rFonts w:cs="Arial"/>
          <w:sz w:val="24"/>
          <w:szCs w:val="24"/>
          <w:lang w:eastAsia="es-MX"/>
        </w:rPr>
        <w:t xml:space="preserve"> de la competencia electoral a personas que podrían contender por la titularidad del Poder Ejecutivo estatal por </w:t>
      </w:r>
      <w:r w:rsidRPr="00D321D7">
        <w:rPr>
          <w:rFonts w:cs="Arial"/>
          <w:sz w:val="24"/>
          <w:szCs w:val="24"/>
          <w:lang w:eastAsia="es-MX"/>
        </w:rPr>
        <w:t>razón de su género. Además, las disposiciones impugnadas no sólo inciden en el derecho a ser votado, sino también en el derecho de la ciudadanía a elegir libremente entre las opciones políticas que podrían participar en la elección.</w:t>
      </w:r>
    </w:p>
    <w:p w14:paraId="44FDF74A" w14:textId="77777777" w:rsidR="00D321D7" w:rsidRDefault="00D321D7" w:rsidP="00D321D7">
      <w:pPr>
        <w:spacing w:line="276" w:lineRule="auto"/>
        <w:rPr>
          <w:sz w:val="24"/>
          <w:szCs w:val="24"/>
        </w:rPr>
      </w:pPr>
    </w:p>
    <w:p w14:paraId="624EAAFC" w14:textId="5E049DB5" w:rsidR="00D321D7" w:rsidRPr="00620118" w:rsidRDefault="002C719A" w:rsidP="00D321D7">
      <w:pPr>
        <w:spacing w:line="276" w:lineRule="auto"/>
        <w:rPr>
          <w:sz w:val="24"/>
          <w:szCs w:val="24"/>
        </w:rPr>
      </w:pPr>
      <w:r w:rsidRPr="00D321D7">
        <w:rPr>
          <w:sz w:val="24"/>
          <w:szCs w:val="24"/>
        </w:rPr>
        <w:t xml:space="preserve">Finalmente, </w:t>
      </w:r>
      <w:r w:rsidR="00D321D7" w:rsidRPr="00D321D7">
        <w:rPr>
          <w:rFonts w:cs="Arial"/>
          <w:sz w:val="24"/>
          <w:szCs w:val="24"/>
        </w:rPr>
        <w:t xml:space="preserve">exceden el margen de configuración legislativa reconocido a las entidades federativas al alterar el contenido del principio de paridad y trastocar de forma desproporcionada el núcleo esencial del derecho al voto, en sus vertientes activa y pasiva, además de incidir de forma injustificada en la autodeterminación y </w:t>
      </w:r>
      <w:r w:rsidR="00D321D7" w:rsidRPr="00620118">
        <w:rPr>
          <w:rFonts w:cs="Arial"/>
          <w:sz w:val="24"/>
          <w:szCs w:val="24"/>
        </w:rPr>
        <w:t>autoorganización de los partidos políticos.</w:t>
      </w:r>
    </w:p>
    <w:p w14:paraId="78B0D361" w14:textId="77777777" w:rsidR="00E40716" w:rsidRPr="00620118" w:rsidRDefault="00E40716" w:rsidP="00536AFA">
      <w:pPr>
        <w:spacing w:line="276" w:lineRule="auto"/>
        <w:rPr>
          <w:sz w:val="24"/>
          <w:szCs w:val="24"/>
        </w:rPr>
      </w:pPr>
    </w:p>
    <w:p w14:paraId="54DB8A03" w14:textId="77777777" w:rsidR="00874324" w:rsidRPr="00620118" w:rsidRDefault="00874324" w:rsidP="00874324">
      <w:pPr>
        <w:spacing w:line="276" w:lineRule="auto"/>
        <w:rPr>
          <w:b/>
          <w:sz w:val="24"/>
          <w:szCs w:val="24"/>
        </w:rPr>
      </w:pPr>
      <w:r w:rsidRPr="00620118">
        <w:rPr>
          <w:b/>
          <w:sz w:val="24"/>
          <w:szCs w:val="24"/>
        </w:rPr>
        <w:t xml:space="preserve">2. Razones de la emisión del voto </w:t>
      </w:r>
    </w:p>
    <w:p w14:paraId="4608911C" w14:textId="77777777" w:rsidR="00E40716" w:rsidRPr="00620118" w:rsidRDefault="00E40716" w:rsidP="00536AFA">
      <w:pPr>
        <w:spacing w:line="276" w:lineRule="auto"/>
        <w:rPr>
          <w:sz w:val="24"/>
          <w:szCs w:val="24"/>
        </w:rPr>
      </w:pPr>
    </w:p>
    <w:p w14:paraId="44534836" w14:textId="798229C4" w:rsidR="00620118" w:rsidRDefault="00620118" w:rsidP="00087ED3">
      <w:pPr>
        <w:spacing w:line="276" w:lineRule="auto"/>
        <w:rPr>
          <w:bCs/>
          <w:sz w:val="24"/>
          <w:szCs w:val="24"/>
        </w:rPr>
      </w:pPr>
      <w:r w:rsidRPr="00620118">
        <w:rPr>
          <w:bCs/>
          <w:sz w:val="24"/>
          <w:szCs w:val="24"/>
        </w:rPr>
        <w:t>Comparto el sentido de la resolución; sin embargo, considero que d</w:t>
      </w:r>
      <w:r w:rsidRPr="00620118">
        <w:rPr>
          <w:rFonts w:cs="Arial"/>
          <w:sz w:val="24"/>
          <w:szCs w:val="24"/>
        </w:rPr>
        <w:t>e</w:t>
      </w:r>
      <w:r w:rsidR="00D321D7" w:rsidRPr="00620118">
        <w:rPr>
          <w:rFonts w:cs="Arial"/>
          <w:sz w:val="24"/>
          <w:szCs w:val="24"/>
        </w:rPr>
        <w:t xml:space="preserve">l artículo 1o. </w:t>
      </w:r>
      <w:r w:rsidRPr="00620118">
        <w:rPr>
          <w:rFonts w:cs="Arial"/>
          <w:sz w:val="24"/>
          <w:szCs w:val="24"/>
        </w:rPr>
        <w:t xml:space="preserve">Constitucional </w:t>
      </w:r>
      <w:r w:rsidR="00D321D7" w:rsidRPr="00620118">
        <w:rPr>
          <w:rFonts w:cs="Arial"/>
          <w:sz w:val="24"/>
          <w:szCs w:val="24"/>
        </w:rPr>
        <w:t>se desprende que la protección del</w:t>
      </w:r>
      <w:r w:rsidR="00D321D7" w:rsidRPr="00D321D7">
        <w:rPr>
          <w:rFonts w:cs="Arial"/>
          <w:sz w:val="24"/>
          <w:szCs w:val="24"/>
        </w:rPr>
        <w:t xml:space="preserve"> derecho a la igualdad no constituye una obligación exclusiva de los Congresos estatales o federal; por el contrario, vincula a todas las autoridades dentro del ámbito de sus competencias, quienes deben adoptar las medidas para garantizar el ejercicio de los derechos humanos y eliminar los obstáculos que imp</w:t>
      </w:r>
      <w:r w:rsidR="00D20B8A">
        <w:rPr>
          <w:rFonts w:cs="Arial"/>
          <w:sz w:val="24"/>
          <w:szCs w:val="24"/>
        </w:rPr>
        <w:t>idan</w:t>
      </w:r>
      <w:r w:rsidR="00D321D7" w:rsidRPr="00D321D7">
        <w:rPr>
          <w:rFonts w:cs="Arial"/>
          <w:sz w:val="24"/>
          <w:szCs w:val="24"/>
        </w:rPr>
        <w:t xml:space="preserve"> el ejercicio igual</w:t>
      </w:r>
      <w:r w:rsidR="00D20B8A">
        <w:rPr>
          <w:rFonts w:cs="Arial"/>
          <w:sz w:val="24"/>
          <w:szCs w:val="24"/>
        </w:rPr>
        <w:t>itario</w:t>
      </w:r>
      <w:r w:rsidR="00D321D7" w:rsidRPr="00D321D7">
        <w:rPr>
          <w:rFonts w:cs="Arial"/>
          <w:sz w:val="24"/>
          <w:szCs w:val="24"/>
        </w:rPr>
        <w:t>.</w:t>
      </w:r>
    </w:p>
    <w:p w14:paraId="68F9D8EE" w14:textId="77777777" w:rsidR="00620118" w:rsidRDefault="00620118" w:rsidP="00087ED3">
      <w:pPr>
        <w:spacing w:line="276" w:lineRule="auto"/>
        <w:rPr>
          <w:bCs/>
          <w:sz w:val="24"/>
          <w:szCs w:val="24"/>
        </w:rPr>
      </w:pPr>
    </w:p>
    <w:p w14:paraId="557C177A" w14:textId="1369253C" w:rsidR="00D321D7" w:rsidRPr="00620118" w:rsidRDefault="00D321D7" w:rsidP="00087ED3">
      <w:pPr>
        <w:spacing w:line="276" w:lineRule="auto"/>
        <w:rPr>
          <w:bCs/>
          <w:sz w:val="24"/>
          <w:szCs w:val="24"/>
        </w:rPr>
      </w:pPr>
      <w:r w:rsidRPr="00D321D7">
        <w:rPr>
          <w:rFonts w:cs="Arial"/>
          <w:sz w:val="24"/>
          <w:szCs w:val="24"/>
        </w:rPr>
        <w:t xml:space="preserve">En </w:t>
      </w:r>
      <w:r w:rsidR="00620118">
        <w:rPr>
          <w:rFonts w:cs="Arial"/>
          <w:sz w:val="24"/>
          <w:szCs w:val="24"/>
        </w:rPr>
        <w:t>la</w:t>
      </w:r>
      <w:r w:rsidRPr="00D321D7">
        <w:rPr>
          <w:rFonts w:cs="Arial"/>
          <w:sz w:val="24"/>
          <w:szCs w:val="24"/>
        </w:rPr>
        <w:t xml:space="preserve"> acción de inconstitucionalidad 132/2020, se precisó que</w:t>
      </w:r>
      <w:r w:rsidR="00620118">
        <w:rPr>
          <w:bCs/>
          <w:sz w:val="24"/>
          <w:szCs w:val="24"/>
        </w:rPr>
        <w:t xml:space="preserve"> </w:t>
      </w:r>
      <w:r w:rsidR="00620118" w:rsidRPr="00620118">
        <w:rPr>
          <w:rFonts w:cs="Arial"/>
          <w:sz w:val="24"/>
          <w:szCs w:val="24"/>
        </w:rPr>
        <w:t>la Constitución no establece un catálogo exhaustivo de reglas o medidas para garantizar la paridad de género en las candidaturas a los distintos cargos de elección popular, sino que corresponde a las leyes electorales desarrollar los mecanismos para hacer efectivo este principio. En consecuencia, las legislaturas locales tienen este margen de configuración para establecer medidas que garanti</w:t>
      </w:r>
      <w:r w:rsidR="00D20B8A">
        <w:rPr>
          <w:rFonts w:cs="Arial"/>
          <w:sz w:val="24"/>
          <w:szCs w:val="24"/>
        </w:rPr>
        <w:t>cen</w:t>
      </w:r>
      <w:r w:rsidR="00620118" w:rsidRPr="00620118">
        <w:rPr>
          <w:rFonts w:cs="Arial"/>
          <w:sz w:val="24"/>
          <w:szCs w:val="24"/>
        </w:rPr>
        <w:t xml:space="preserve"> la paridad, siempre que se ajusten a los mandatos, principios y límites previstos en </w:t>
      </w:r>
      <w:r w:rsidR="00D20B8A">
        <w:rPr>
          <w:rFonts w:cs="Arial"/>
          <w:sz w:val="24"/>
          <w:szCs w:val="24"/>
        </w:rPr>
        <w:t xml:space="preserve">la </w:t>
      </w:r>
      <w:r w:rsidR="00620118" w:rsidRPr="00620118">
        <w:rPr>
          <w:rFonts w:cs="Arial"/>
          <w:sz w:val="24"/>
          <w:szCs w:val="24"/>
        </w:rPr>
        <w:t>Constitución.</w:t>
      </w:r>
    </w:p>
    <w:p w14:paraId="7A30500B" w14:textId="77777777" w:rsidR="00D321D7" w:rsidRDefault="00D321D7" w:rsidP="00087ED3">
      <w:pPr>
        <w:spacing w:line="276" w:lineRule="auto"/>
        <w:rPr>
          <w:rFonts w:cs="Arial"/>
          <w:sz w:val="24"/>
          <w:szCs w:val="24"/>
        </w:rPr>
      </w:pPr>
    </w:p>
    <w:p w14:paraId="0472E43D" w14:textId="24319CB0" w:rsidR="00620118" w:rsidRDefault="00D20B8A" w:rsidP="00087ED3">
      <w:pPr>
        <w:spacing w:line="276" w:lineRule="auto"/>
        <w:rPr>
          <w:rFonts w:cs="Arial"/>
          <w:sz w:val="24"/>
          <w:szCs w:val="24"/>
        </w:rPr>
      </w:pPr>
      <w:r>
        <w:rPr>
          <w:rFonts w:cs="Arial"/>
          <w:sz w:val="24"/>
          <w:szCs w:val="24"/>
        </w:rPr>
        <w:t>L</w:t>
      </w:r>
      <w:r w:rsidR="00620118" w:rsidRPr="00620118">
        <w:rPr>
          <w:rFonts w:cs="Arial"/>
          <w:sz w:val="24"/>
          <w:szCs w:val="24"/>
        </w:rPr>
        <w:t xml:space="preserve">as reglas que adopten las entidades federativas deben sujetarse al marco constitucional, respetar los derechos humanos y observar los principios en materia electoral, conforme a los principios de supremacía y reserva constitucional. Toda medida que limite el derecho de las personas a votar y ser votadas, interfiera en la autodeterminación de los partidos políticos o restrinja la libertad democrática debe contar con un fundamento constitucional expreso y preciso. En el caso, la regla impuesta por la legislatura local no se encuentra prevista en nuestra Constitución. </w:t>
      </w:r>
    </w:p>
    <w:p w14:paraId="1DB8102E" w14:textId="77777777" w:rsidR="00620118" w:rsidRDefault="00620118" w:rsidP="00087ED3">
      <w:pPr>
        <w:spacing w:line="276" w:lineRule="auto"/>
        <w:rPr>
          <w:rFonts w:cs="Arial"/>
          <w:sz w:val="24"/>
          <w:szCs w:val="24"/>
        </w:rPr>
      </w:pPr>
    </w:p>
    <w:p w14:paraId="258A42FE" w14:textId="20D2C98D" w:rsidR="00620118" w:rsidRDefault="00620118" w:rsidP="00087ED3">
      <w:pPr>
        <w:spacing w:line="276" w:lineRule="auto"/>
        <w:rPr>
          <w:rFonts w:cs="Arial"/>
          <w:sz w:val="24"/>
          <w:szCs w:val="24"/>
        </w:rPr>
      </w:pPr>
      <w:r w:rsidRPr="00620118">
        <w:rPr>
          <w:rFonts w:cs="Arial"/>
          <w:sz w:val="24"/>
          <w:szCs w:val="24"/>
        </w:rPr>
        <w:t xml:space="preserve">Las normas jurídicas, por su propia naturaleza, deben formularse en términos generales, </w:t>
      </w:r>
      <w:r w:rsidR="00024E24">
        <w:rPr>
          <w:rFonts w:cs="Arial"/>
          <w:sz w:val="24"/>
          <w:szCs w:val="24"/>
        </w:rPr>
        <w:t>abstractos e impersonales</w:t>
      </w:r>
      <w:r w:rsidRPr="006359C0">
        <w:rPr>
          <w:rFonts w:cs="Arial"/>
          <w:sz w:val="24"/>
          <w:szCs w:val="24"/>
        </w:rPr>
        <w:t>.</w:t>
      </w:r>
      <w:r w:rsidRPr="00620118">
        <w:rPr>
          <w:rFonts w:cs="Arial"/>
          <w:sz w:val="24"/>
          <w:szCs w:val="24"/>
        </w:rPr>
        <w:t xml:space="preserve"> Son generales porque sus disposiciones están dirigidas a todas las personas que se encuentran en el supuesto normativo; abstractas porque regulan situaciones previstas de manera general y no casos concretos; e impersonales</w:t>
      </w:r>
      <w:r>
        <w:rPr>
          <w:rFonts w:cs="Arial"/>
          <w:sz w:val="24"/>
          <w:szCs w:val="24"/>
        </w:rPr>
        <w:t xml:space="preserve"> </w:t>
      </w:r>
      <w:r w:rsidRPr="00620118">
        <w:rPr>
          <w:rFonts w:cs="Arial"/>
          <w:sz w:val="24"/>
          <w:szCs w:val="24"/>
        </w:rPr>
        <w:t xml:space="preserve">porque no se dirigen a una persona determinada, sino a un número indeterminado de personas destinatarias. </w:t>
      </w:r>
    </w:p>
    <w:p w14:paraId="51E528A0" w14:textId="77777777" w:rsidR="00620118" w:rsidRDefault="00620118" w:rsidP="00087ED3">
      <w:pPr>
        <w:spacing w:line="276" w:lineRule="auto"/>
        <w:rPr>
          <w:rFonts w:cs="Arial"/>
          <w:sz w:val="24"/>
          <w:szCs w:val="24"/>
        </w:rPr>
      </w:pPr>
    </w:p>
    <w:p w14:paraId="4E826E4B" w14:textId="5FEDACD6" w:rsidR="00620118" w:rsidRDefault="00620118" w:rsidP="00087ED3">
      <w:pPr>
        <w:spacing w:line="276" w:lineRule="auto"/>
        <w:rPr>
          <w:rFonts w:cs="Arial"/>
          <w:sz w:val="24"/>
          <w:szCs w:val="24"/>
        </w:rPr>
      </w:pPr>
      <w:r w:rsidRPr="00620118">
        <w:rPr>
          <w:rFonts w:cs="Arial"/>
          <w:sz w:val="24"/>
          <w:szCs w:val="24"/>
        </w:rPr>
        <w:t xml:space="preserve">La ley debe revestir un carácter general, abstracto e impersonal, de manera que sus consecuencias jurídicas se proyecten sobre una pluralidad indeterminada de personas y situaciones futuras a partir de circunstancias objetivamente previstas en la propia norma. Esas características son indispensables para garantizar la igualdad frente al orden jurídico, evitar privilegios o discriminaciones y dotar de certeza y previsibilidad a la aplicación del derecho. Por ello, el Poder Legislativo no puede diseñar normas destinadas a beneficiar o perjudicar a personas determinadas ni expedir disposiciones para resolver casos concretos previamente identificados; </w:t>
      </w:r>
      <w:r w:rsidR="00D20B8A">
        <w:rPr>
          <w:rFonts w:cs="Arial"/>
          <w:sz w:val="24"/>
          <w:szCs w:val="24"/>
        </w:rPr>
        <w:t xml:space="preserve">a diferencia del </w:t>
      </w:r>
      <w:r w:rsidRPr="00620118">
        <w:rPr>
          <w:rFonts w:cs="Arial"/>
          <w:sz w:val="24"/>
          <w:szCs w:val="24"/>
        </w:rPr>
        <w:t xml:space="preserve">objeto distinto de las acciones afirmativas que buscan resarcir los desequilibrios que las estructuras sociales, económicas e históricas provocan. </w:t>
      </w:r>
    </w:p>
    <w:p w14:paraId="08996E01" w14:textId="77777777" w:rsidR="00620118" w:rsidRDefault="00620118" w:rsidP="00087ED3">
      <w:pPr>
        <w:spacing w:line="276" w:lineRule="auto"/>
        <w:rPr>
          <w:rFonts w:cs="Arial"/>
          <w:sz w:val="24"/>
          <w:szCs w:val="24"/>
        </w:rPr>
      </w:pPr>
    </w:p>
    <w:p w14:paraId="7FF7DEDA" w14:textId="765667CA" w:rsidR="00D321D7" w:rsidRDefault="00620118" w:rsidP="00087ED3">
      <w:pPr>
        <w:spacing w:line="276" w:lineRule="auto"/>
        <w:rPr>
          <w:rFonts w:cs="Arial"/>
          <w:sz w:val="24"/>
          <w:szCs w:val="24"/>
        </w:rPr>
      </w:pPr>
      <w:r w:rsidRPr="00620118">
        <w:rPr>
          <w:rFonts w:cs="Arial"/>
          <w:sz w:val="24"/>
          <w:szCs w:val="24"/>
        </w:rPr>
        <w:t xml:space="preserve">En este sentido, los Poderes Legislativos locales carecen de competencia constitucional para establecer una regla, como en el caso, relativa a la alternancia de género de manera específica en la postulación de personas candidatas a la gubernatura del Estado de Durango. Incluso, en la exposición de motivos de los artículos impugnados, dicha regla permanente carece de justificación para ser incorporada por el Congreso como mecanismo aplicable para </w:t>
      </w:r>
      <w:r w:rsidRPr="00084088">
        <w:rPr>
          <w:rFonts w:cs="Arial"/>
          <w:sz w:val="24"/>
          <w:szCs w:val="24"/>
        </w:rPr>
        <w:t xml:space="preserve">la elección </w:t>
      </w:r>
      <w:r w:rsidR="00024E24">
        <w:rPr>
          <w:rFonts w:cs="Arial"/>
          <w:sz w:val="24"/>
          <w:szCs w:val="24"/>
        </w:rPr>
        <w:t>o su relación con el principio de paridad de género</w:t>
      </w:r>
      <w:r w:rsidR="00024E24" w:rsidRPr="00B7733C">
        <w:rPr>
          <w:rFonts w:cs="Arial"/>
          <w:sz w:val="24"/>
          <w:szCs w:val="24"/>
        </w:rPr>
        <w:t>.</w:t>
      </w:r>
    </w:p>
    <w:p w14:paraId="60DD7475" w14:textId="77777777" w:rsidR="00D20B8A" w:rsidRDefault="00D20B8A" w:rsidP="00087ED3">
      <w:pPr>
        <w:spacing w:line="276" w:lineRule="auto"/>
        <w:rPr>
          <w:rFonts w:cs="Arial"/>
          <w:sz w:val="24"/>
          <w:szCs w:val="24"/>
        </w:rPr>
      </w:pPr>
    </w:p>
    <w:p w14:paraId="7B045733" w14:textId="134A2C14" w:rsidR="00D321D7" w:rsidRDefault="00620118" w:rsidP="00087ED3">
      <w:pPr>
        <w:spacing w:line="276" w:lineRule="auto"/>
        <w:rPr>
          <w:rFonts w:cs="Arial"/>
          <w:sz w:val="24"/>
          <w:szCs w:val="24"/>
        </w:rPr>
      </w:pPr>
      <w:r w:rsidRPr="00620118">
        <w:rPr>
          <w:rFonts w:cs="Arial"/>
          <w:sz w:val="24"/>
          <w:szCs w:val="24"/>
        </w:rPr>
        <w:t>Si bien la Constitución reconoce la paridad como un principio rector del sistema democrático y electoral, ello no implica que los Congresos locales cuenten con facultades para restringir, condicionar o limitar el ejercicio de los derechos político</w:t>
      </w:r>
      <w:r w:rsidR="00D20B8A">
        <w:rPr>
          <w:rFonts w:cs="Arial"/>
          <w:sz w:val="24"/>
          <w:szCs w:val="24"/>
        </w:rPr>
        <w:t>-</w:t>
      </w:r>
      <w:r w:rsidRPr="00620118">
        <w:rPr>
          <w:rFonts w:cs="Arial"/>
          <w:sz w:val="24"/>
          <w:szCs w:val="24"/>
        </w:rPr>
        <w:t xml:space="preserve">electorales de la ciudadanía bajo ese pretexto. Su observancia tendría que realizarse dentro de los límites constitucionales, en armonía con el resto de los derechos y principios que integran el orden constitucional. </w:t>
      </w:r>
    </w:p>
    <w:p w14:paraId="544FBBFD" w14:textId="77777777" w:rsidR="00D321D7" w:rsidRDefault="00D321D7" w:rsidP="00087ED3">
      <w:pPr>
        <w:spacing w:line="276" w:lineRule="auto"/>
        <w:rPr>
          <w:rFonts w:cs="Arial"/>
          <w:sz w:val="24"/>
          <w:szCs w:val="24"/>
        </w:rPr>
      </w:pPr>
    </w:p>
    <w:p w14:paraId="0CA56FC5" w14:textId="77777777" w:rsidR="00D20B8A" w:rsidRDefault="00D20B8A" w:rsidP="00126839">
      <w:pPr>
        <w:spacing w:line="276" w:lineRule="auto"/>
        <w:rPr>
          <w:rFonts w:cs="Arial"/>
          <w:bCs/>
          <w:sz w:val="24"/>
          <w:szCs w:val="24"/>
        </w:rPr>
      </w:pPr>
    </w:p>
    <w:p w14:paraId="74D2D4F5" w14:textId="042B4FEA" w:rsidR="00087ED3" w:rsidRPr="00087ED3" w:rsidRDefault="00087ED3" w:rsidP="00087ED3">
      <w:pPr>
        <w:spacing w:line="276" w:lineRule="auto"/>
        <w:jc w:val="center"/>
        <w:rPr>
          <w:rFonts w:cs="Arial"/>
          <w:sz w:val="24"/>
          <w:szCs w:val="24"/>
        </w:rPr>
      </w:pPr>
      <w:r w:rsidRPr="008A3DF5">
        <w:rPr>
          <w:rFonts w:cs="Arial"/>
          <w:bCs/>
          <w:sz w:val="24"/>
          <w:szCs w:val="24"/>
        </w:rPr>
        <w:t>(Est</w:t>
      </w:r>
      <w:r>
        <w:rPr>
          <w:rFonts w:cs="Arial"/>
          <w:bCs/>
          <w:sz w:val="24"/>
          <w:szCs w:val="24"/>
        </w:rPr>
        <w:t xml:space="preserve">e voto </w:t>
      </w:r>
      <w:r w:rsidRPr="008A3DF5">
        <w:rPr>
          <w:rFonts w:cs="Arial"/>
          <w:bCs/>
          <w:sz w:val="24"/>
          <w:szCs w:val="24"/>
        </w:rPr>
        <w:t>se suscribe con Firma Electrónica Certificada del Poder Judicial de la Federación [FIREL])</w:t>
      </w:r>
    </w:p>
    <w:p w14:paraId="25360243" w14:textId="54E22ED4" w:rsidR="00D17CCA" w:rsidRPr="00667C92" w:rsidRDefault="00460A38" w:rsidP="00D20B8A">
      <w:pPr>
        <w:shd w:val="clear" w:color="auto" w:fill="FFFFFF" w:themeFill="background1"/>
        <w:autoSpaceDE w:val="0"/>
        <w:autoSpaceDN w:val="0"/>
        <w:adjustRightInd w:val="0"/>
        <w:spacing w:line="276" w:lineRule="auto"/>
        <w:jc w:val="center"/>
        <w:rPr>
          <w:rFonts w:cs="Arial"/>
          <w:sz w:val="24"/>
          <w:szCs w:val="24"/>
        </w:rPr>
      </w:pPr>
      <w:r w:rsidRPr="00245B5E">
        <w:rPr>
          <w:rFonts w:cs="Arial"/>
          <w:sz w:val="24"/>
          <w:szCs w:val="24"/>
        </w:rPr>
        <w:t>MINISTRA LENIA BATRES GUADARRAMA</w:t>
      </w:r>
    </w:p>
    <w:sectPr w:rsidR="00D17CCA" w:rsidRPr="00667C92" w:rsidSect="0091765C">
      <w:headerReference w:type="even" r:id="rId8"/>
      <w:headerReference w:type="default" r:id="rId9"/>
      <w:footerReference w:type="even" r:id="rId10"/>
      <w:footerReference w:type="default" r:id="rId11"/>
      <w:headerReference w:type="first" r:id="rId12"/>
      <w:footerReference w:type="first" r:id="rId13"/>
      <w:pgSz w:w="12242" w:h="20163" w:code="5"/>
      <w:pgMar w:top="1418" w:right="1701" w:bottom="1418"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819BB" w14:textId="77777777" w:rsidR="00D057A2" w:rsidRDefault="00D057A2" w:rsidP="00460A38">
      <w:pPr>
        <w:spacing w:line="240" w:lineRule="auto"/>
      </w:pPr>
      <w:r>
        <w:separator/>
      </w:r>
    </w:p>
  </w:endnote>
  <w:endnote w:type="continuationSeparator" w:id="0">
    <w:p w14:paraId="5D9C2E2F" w14:textId="77777777" w:rsidR="00D057A2" w:rsidRDefault="00D057A2" w:rsidP="00460A38">
      <w:pPr>
        <w:spacing w:line="240" w:lineRule="auto"/>
      </w:pPr>
      <w:r>
        <w:continuationSeparator/>
      </w:r>
    </w:p>
  </w:endnote>
  <w:endnote w:type="continuationNotice" w:id="1">
    <w:p w14:paraId="08DFC641" w14:textId="77777777" w:rsidR="00D057A2" w:rsidRDefault="00D057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349493"/>
      <w:docPartObj>
        <w:docPartGallery w:val="Page Numbers (Bottom of Page)"/>
        <w:docPartUnique/>
      </w:docPartObj>
    </w:sdtPr>
    <w:sdtContent>
      <w:p w14:paraId="254912E0" w14:textId="7FD451D4" w:rsidR="0091765C" w:rsidRDefault="0091765C">
        <w:pPr>
          <w:pStyle w:val="Piedepgina"/>
          <w:jc w:val="center"/>
        </w:pPr>
        <w:r>
          <w:fldChar w:fldCharType="begin"/>
        </w:r>
        <w:r>
          <w:instrText>PAGE   \* MERGEFORMAT</w:instrText>
        </w:r>
        <w:r>
          <w:fldChar w:fldCharType="separate"/>
        </w:r>
        <w:r>
          <w:rPr>
            <w:lang w:val="es-ES"/>
          </w:rPr>
          <w:t>2</w:t>
        </w:r>
        <w:r>
          <w:fldChar w:fldCharType="end"/>
        </w:r>
      </w:p>
    </w:sdtContent>
  </w:sdt>
  <w:p w14:paraId="6A8F72CA" w14:textId="77777777" w:rsidR="0091765C" w:rsidRDefault="009176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90876"/>
      <w:docPartObj>
        <w:docPartGallery w:val="Page Numbers (Bottom of Page)"/>
        <w:docPartUnique/>
      </w:docPartObj>
    </w:sdtPr>
    <w:sdtContent>
      <w:p w14:paraId="0DF5EE41" w14:textId="62B0CDA9" w:rsidR="006945BA" w:rsidRDefault="006945BA">
        <w:pPr>
          <w:pStyle w:val="Piedepgina"/>
          <w:jc w:val="center"/>
        </w:pPr>
        <w:r>
          <w:fldChar w:fldCharType="begin"/>
        </w:r>
        <w:r>
          <w:instrText>PAGE   \* MERGEFORMAT</w:instrText>
        </w:r>
        <w:r>
          <w:fldChar w:fldCharType="separate"/>
        </w:r>
        <w:r>
          <w:rPr>
            <w:lang w:val="es-ES"/>
          </w:rPr>
          <w:t>2</w:t>
        </w:r>
        <w:r>
          <w:fldChar w:fldCharType="end"/>
        </w:r>
      </w:p>
    </w:sdtContent>
  </w:sdt>
  <w:p w14:paraId="038B934C" w14:textId="77777777" w:rsidR="006945BA" w:rsidRDefault="006945B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613A" w14:textId="3A49B84B" w:rsidR="0053028F" w:rsidRDefault="0053028F">
    <w:pPr>
      <w:pStyle w:val="Piedepgina"/>
      <w:jc w:val="center"/>
    </w:pPr>
  </w:p>
  <w:p w14:paraId="74BE60D5" w14:textId="77777777" w:rsidR="0053028F" w:rsidRDefault="005302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638DE" w14:textId="77777777" w:rsidR="00D057A2" w:rsidRDefault="00D057A2" w:rsidP="00460A38">
      <w:pPr>
        <w:spacing w:line="240" w:lineRule="auto"/>
      </w:pPr>
      <w:r>
        <w:separator/>
      </w:r>
    </w:p>
  </w:footnote>
  <w:footnote w:type="continuationSeparator" w:id="0">
    <w:p w14:paraId="7C53C525" w14:textId="77777777" w:rsidR="00D057A2" w:rsidRDefault="00D057A2" w:rsidP="00460A38">
      <w:pPr>
        <w:spacing w:line="240" w:lineRule="auto"/>
      </w:pPr>
      <w:r>
        <w:continuationSeparator/>
      </w:r>
    </w:p>
  </w:footnote>
  <w:footnote w:type="continuationNotice" w:id="1">
    <w:p w14:paraId="23FF8900" w14:textId="77777777" w:rsidR="00D057A2" w:rsidRDefault="00D057A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654A" w14:textId="77777777" w:rsidR="00EA46FB" w:rsidRDefault="00D1068F" w:rsidP="00EA46FB">
    <w:pPr>
      <w:pStyle w:val="Encabezado"/>
      <w:jc w:val="right"/>
      <w:rPr>
        <w:rFonts w:cs="Arial"/>
        <w:b/>
        <w:sz w:val="24"/>
        <w:szCs w:val="24"/>
        <w:lang w:val="es-ES"/>
      </w:rPr>
    </w:pPr>
    <w:r>
      <w:rPr>
        <w:rFonts w:cs="Arial"/>
        <w:b/>
        <w:sz w:val="24"/>
        <w:szCs w:val="24"/>
        <w:lang w:val="es-ES"/>
      </w:rPr>
      <w:t xml:space="preserve">Voto concurrente en la </w:t>
    </w:r>
    <w:r w:rsidR="009711B8">
      <w:rPr>
        <w:rFonts w:cs="Arial"/>
        <w:b/>
        <w:sz w:val="24"/>
        <w:szCs w:val="24"/>
        <w:lang w:val="es-ES"/>
      </w:rPr>
      <w:t xml:space="preserve">Acción de Inconstitucionalidad </w:t>
    </w:r>
  </w:p>
  <w:p w14:paraId="0058E261" w14:textId="0CF713B3" w:rsidR="00C741E1" w:rsidRPr="00D1068F" w:rsidRDefault="00EA46FB" w:rsidP="00EA46FB">
    <w:pPr>
      <w:pStyle w:val="Encabezado"/>
      <w:jc w:val="right"/>
      <w:rPr>
        <w:rFonts w:cs="Arial"/>
        <w:b/>
        <w:sz w:val="24"/>
        <w:szCs w:val="24"/>
        <w:lang w:val="es-ES"/>
      </w:rPr>
    </w:pPr>
    <w:r>
      <w:rPr>
        <w:rFonts w:cs="Arial"/>
        <w:b/>
        <w:sz w:val="24"/>
        <w:szCs w:val="24"/>
        <w:lang w:val="es-ES"/>
      </w:rPr>
      <w:t>66</w:t>
    </w:r>
    <w:r w:rsidRPr="005E2242">
      <w:rPr>
        <w:rFonts w:cs="Arial"/>
        <w:b/>
        <w:sz w:val="24"/>
        <w:szCs w:val="24"/>
        <w:lang w:val="es-ES"/>
      </w:rPr>
      <w:t>/202</w:t>
    </w:r>
    <w:r>
      <w:rPr>
        <w:rFonts w:cs="Arial"/>
        <w:b/>
        <w:sz w:val="24"/>
        <w:szCs w:val="24"/>
        <w:lang w:val="es-ES"/>
      </w:rPr>
      <w:t>6 y sus acumuladas 82/2026, 85/2026 y 87/2026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6B4D" w14:textId="77777777" w:rsidR="00D1068F" w:rsidRDefault="00D1068F" w:rsidP="00D1068F">
    <w:pPr>
      <w:pStyle w:val="Encabezado"/>
      <w:jc w:val="right"/>
      <w:rPr>
        <w:rFonts w:cs="Arial"/>
        <w:b/>
        <w:sz w:val="24"/>
        <w:szCs w:val="24"/>
        <w:lang w:val="es-ES"/>
      </w:rPr>
    </w:pPr>
    <w:r>
      <w:rPr>
        <w:rFonts w:cs="Arial"/>
        <w:b/>
        <w:sz w:val="24"/>
        <w:szCs w:val="24"/>
        <w:lang w:val="es-ES"/>
      </w:rPr>
      <w:t xml:space="preserve">Voto concurrente en la Acción de Inconstitucionalidad </w:t>
    </w:r>
  </w:p>
  <w:p w14:paraId="572F8177" w14:textId="4E415133" w:rsidR="0091765C" w:rsidRPr="009711B8" w:rsidRDefault="00D1068F" w:rsidP="00D1068F">
    <w:pPr>
      <w:pStyle w:val="Encabezado"/>
      <w:jc w:val="right"/>
      <w:rPr>
        <w:b/>
        <w:bCs/>
        <w:sz w:val="24"/>
        <w:szCs w:val="24"/>
      </w:rPr>
    </w:pPr>
    <w:r w:rsidRPr="000C0FAE">
      <w:rPr>
        <w:rFonts w:cs="Arial"/>
        <w:b/>
        <w:sz w:val="24"/>
        <w:szCs w:val="24"/>
        <w:highlight w:val="yellow"/>
        <w:lang w:val="es-ES"/>
      </w:rPr>
      <w:t>96</w:t>
    </w:r>
    <w:r w:rsidRPr="005E2242">
      <w:rPr>
        <w:rFonts w:cs="Arial"/>
        <w:b/>
        <w:sz w:val="24"/>
        <w:szCs w:val="24"/>
        <w:lang w:val="es-ES"/>
      </w:rPr>
      <w:t>/202</w:t>
    </w:r>
    <w:r>
      <w:rPr>
        <w:rFonts w:cs="Arial"/>
        <w:b/>
        <w:sz w:val="24"/>
        <w:szCs w:val="24"/>
        <w:lang w:val="es-ES"/>
      </w:rPr>
      <w:t>6 y sus acumuladas 97/2026, 99/2026 y 103/2026</w:t>
    </w:r>
    <w:r w:rsidR="0091765C">
      <w:rPr>
        <w:noProof/>
      </w:rPr>
      <mc:AlternateContent>
        <mc:Choice Requires="wps">
          <w:drawing>
            <wp:anchor distT="0" distB="0" distL="114300" distR="114300" simplePos="0" relativeHeight="251663360" behindDoc="0" locked="0" layoutInCell="1" allowOverlap="1" wp14:anchorId="1E07D32E" wp14:editId="658FF3D2">
              <wp:simplePos x="0" y="0"/>
              <wp:positionH relativeFrom="margin">
                <wp:posOffset>-1056846</wp:posOffset>
              </wp:positionH>
              <wp:positionV relativeFrom="margin">
                <wp:posOffset>8255</wp:posOffset>
              </wp:positionV>
              <wp:extent cx="2339975" cy="1555115"/>
              <wp:effectExtent l="0" t="0" r="0" b="0"/>
              <wp:wrapSquare wrapText="bothSides"/>
              <wp:docPr id="176143170"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FF45A" id="Rectángulo 1" o:spid="_x0000_s1026" style="position:absolute;margin-left:-83.2pt;margin-top:.65pt;width:184.25pt;height:122.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LGKXUd4AAAAKAQAADwAAAGRy&#10;cy9kb3ducmV2LnhtbEyPTUvEMBCG74L/IYzgbTdtXcpSmy4qiMgexFXvaTLbFptJadKP/feOJ73N&#10;8D6880x5WF0vZhxD50lBuk1AIBlvO2oUfH48b/YgQtRkde8JFVwwwKG6vip1Yf1C7zifYiO4hEKh&#10;FbQxDoWUwbTodNj6AYmzsx+djryOjbSjXrjc9TJLklw63RFfaPWATy2a79PkFHz58+PiTE2v8+Wt&#10;m16OozH7o1K3N+vDPYiIa/yD4Vef1aFip9pPZIPoFWzSPN8xy8kdCAayJEtB1Dzs8gxkVcr/L1Q/&#10;AAAA//8DAFBLAQItABQABgAIAAAAIQC2gziS/gAAAOEBAAATAAAAAAAAAAAAAAAAAAAAAABbQ29u&#10;dGVudF9UeXBlc10ueG1sUEsBAi0AFAAGAAgAAAAhADj9If/WAAAAlAEAAAsAAAAAAAAAAAAAAAAA&#10;LwEAAF9yZWxzLy5yZWxzUEsBAi0AFAAGAAgAAAAhAKbx23FsAgAANwUAAA4AAAAAAAAAAAAAAAAA&#10;LgIAAGRycy9lMm9Eb2MueG1sUEsBAi0AFAAGAAgAAAAhACxil1HeAAAACgEAAA8AAAAAAAAAAAAA&#10;AAAAxgQAAGRycy9kb3ducmV2LnhtbFBLBQYAAAAABAAEAPMAAADRBQAAAAA=&#10;" filled="f" stroked="f" strokeweight="1pt">
              <w10:wrap type="square"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E7DD" w14:textId="77777777" w:rsidR="006A3E9E" w:rsidRDefault="006A3E9E">
    <w:pPr>
      <w:pStyle w:val="Encabezado"/>
    </w:pPr>
    <w:r>
      <w:rPr>
        <w:noProof/>
      </w:rPr>
      <mc:AlternateContent>
        <mc:Choice Requires="wps">
          <w:drawing>
            <wp:anchor distT="0" distB="0" distL="114300" distR="114300" simplePos="0" relativeHeight="251661312" behindDoc="0" locked="0" layoutInCell="1" allowOverlap="1" wp14:anchorId="24C4B9D7" wp14:editId="415ECA35">
              <wp:simplePos x="0" y="0"/>
              <wp:positionH relativeFrom="margin">
                <wp:posOffset>-1063625</wp:posOffset>
              </wp:positionH>
              <wp:positionV relativeFrom="margin">
                <wp:posOffset>15034</wp:posOffset>
              </wp:positionV>
              <wp:extent cx="2339975" cy="1555115"/>
              <wp:effectExtent l="0" t="0" r="0" b="0"/>
              <wp:wrapSquare wrapText="bothSides"/>
              <wp:docPr id="1296614143"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14B0D" id="Rectángulo 1" o:spid="_x0000_s1026" style="position:absolute;margin-left:-83.75pt;margin-top:1.2pt;width:184.25pt;height:122.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1TbLt98AAAAKAQAADwAAAGRy&#10;cy9kb3ducmV2LnhtbEyPy07DMBBF90j8gzVI7FonAdoqjVMBEkKoi4oCe8eeJlHjcWQ7j/497gqW&#10;V3N059xiN5uOjeh8a0lAukyAISmrW6oFfH+9LTbAfJCkZWcJBVzQw668vSlkru1EnzgeQ81iCflc&#10;CmhC6HPOvWrQSL+0PVK8nawzMsToaq6dnGK56XiWJCtuZEvxQyN7fG1QnY+DEfBjTy+TURV9jJdD&#10;O7zvnVKbvRD3d/PzFljAOfzBcNWP6lBGp8oOpD3rBCzS1fopsgKyR2ARyJI0jquuef0AvCz4/wnl&#10;LwAAAP//AwBQSwECLQAUAAYACAAAACEAtoM4kv4AAADhAQAAEwAAAAAAAAAAAAAAAAAAAAAAW0Nv&#10;bnRlbnRfVHlwZXNdLnhtbFBLAQItABQABgAIAAAAIQA4/SH/1gAAAJQBAAALAAAAAAAAAAAAAAAA&#10;AC8BAABfcmVscy8ucmVsc1BLAQItABQABgAIAAAAIQCm8dtxbAIAADcFAAAOAAAAAAAAAAAAAAAA&#10;AC4CAABkcnMvZTJvRG9jLnhtbFBLAQItABQABgAIAAAAIQDVNsu33wAAAAoBAAAPAAAAAAAAAAAA&#10;AAAAAMYEAABkcnMvZG93bnJldi54bWxQSwUGAAAAAAQABADzAAAA0gUAAAAA&#10;" filled="f" stroked="f" strokeweight="1pt">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B063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E9E7F68"/>
    <w:multiLevelType w:val="hybridMultilevel"/>
    <w:tmpl w:val="223CC77C"/>
    <w:lvl w:ilvl="0" w:tplc="62BC1F30">
      <w:start w:val="1"/>
      <w:numFmt w:val="decimal"/>
      <w:lvlText w:val="%1."/>
      <w:lvlJc w:val="left"/>
      <w:pPr>
        <w:ind w:left="720" w:hanging="360"/>
      </w:pPr>
      <w:rPr>
        <w:rFonts w:ascii="Arial" w:hAnsi="Arial" w:cs="Arial" w:hint="default"/>
        <w:b w:val="0"/>
        <w:sz w:val="28"/>
        <w:szCs w:val="28"/>
      </w:rPr>
    </w:lvl>
    <w:lvl w:ilvl="1" w:tplc="BEC2B9EC">
      <w:start w:val="1"/>
      <w:numFmt w:val="lowerLetter"/>
      <w:lvlText w:val="%2)"/>
      <w:lvlJc w:val="left"/>
      <w:pPr>
        <w:ind w:left="1069" w:hanging="360"/>
      </w:pPr>
      <w:rPr>
        <w:b w:val="0"/>
        <w:b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15F174C"/>
    <w:multiLevelType w:val="hybridMultilevel"/>
    <w:tmpl w:val="21DEB100"/>
    <w:lvl w:ilvl="0" w:tplc="72B05C8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13B1D9C"/>
    <w:multiLevelType w:val="hybridMultilevel"/>
    <w:tmpl w:val="9A38C700"/>
    <w:lvl w:ilvl="0" w:tplc="346C9764">
      <w:start w:val="1"/>
      <w:numFmt w:val="decimal"/>
      <w:lvlText w:val="%1."/>
      <w:lvlJc w:val="left"/>
      <w:pPr>
        <w:ind w:left="4897" w:hanging="360"/>
      </w:pPr>
      <w:rPr>
        <w:rFonts w:ascii="Arial" w:hAnsi="Arial" w:cs="Arial" w:hint="default"/>
        <w:b/>
        <w:bCs w:val="0"/>
        <w:i w:val="0"/>
        <w:iCs w:val="0"/>
        <w:sz w:val="28"/>
        <w:szCs w:val="28"/>
      </w:rPr>
    </w:lvl>
    <w:lvl w:ilvl="1" w:tplc="E722C7F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294BEC"/>
    <w:multiLevelType w:val="hybridMultilevel"/>
    <w:tmpl w:val="34DC2860"/>
    <w:lvl w:ilvl="0" w:tplc="34A60B7E">
      <w:start w:val="1"/>
      <w:numFmt w:val="decimal"/>
      <w:lvlText w:val="%1."/>
      <w:lvlJc w:val="left"/>
      <w:pPr>
        <w:ind w:left="360" w:hanging="360"/>
      </w:pPr>
      <w:rPr>
        <w:b w:val="0"/>
        <w:color w:val="auto"/>
        <w:sz w:val="28"/>
        <w:szCs w:val="28"/>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5" w15:restartNumberingAfterBreak="0">
    <w:nsid w:val="31CA3ECC"/>
    <w:multiLevelType w:val="hybridMultilevel"/>
    <w:tmpl w:val="A7088F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5DB2948"/>
    <w:multiLevelType w:val="hybridMultilevel"/>
    <w:tmpl w:val="D8164D8C"/>
    <w:lvl w:ilvl="0" w:tplc="8D406602">
      <w:start w:val="22"/>
      <w:numFmt w:val="decimal"/>
      <w:lvlText w:val="%1."/>
      <w:lvlJc w:val="left"/>
      <w:pPr>
        <w:ind w:left="1156" w:hanging="360"/>
      </w:pPr>
      <w:rPr>
        <w:rFonts w:hint="default"/>
        <w:b w:val="0"/>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C0D384E"/>
    <w:multiLevelType w:val="hybridMultilevel"/>
    <w:tmpl w:val="9E7EB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FCE3A18"/>
    <w:multiLevelType w:val="hybridMultilevel"/>
    <w:tmpl w:val="C936D7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1C75684"/>
    <w:multiLevelType w:val="hybridMultilevel"/>
    <w:tmpl w:val="8A125194"/>
    <w:lvl w:ilvl="0" w:tplc="FFF03B08">
      <w:start w:val="1"/>
      <w:numFmt w:val="decimal"/>
      <w:lvlText w:val="%1."/>
      <w:lvlJc w:val="left"/>
      <w:pPr>
        <w:ind w:left="1495" w:hanging="360"/>
      </w:pPr>
      <w:rPr>
        <w:rFonts w:ascii="Arial" w:eastAsia="Times New Roman" w:hAnsi="Arial" w:cs="Arial"/>
        <w:b w:val="0"/>
        <w:bCs/>
        <w:sz w:val="24"/>
        <w:szCs w:val="24"/>
      </w:rPr>
    </w:lvl>
    <w:lvl w:ilvl="1" w:tplc="080A0019">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0" w15:restartNumberingAfterBreak="0">
    <w:nsid w:val="6E463206"/>
    <w:multiLevelType w:val="hybridMultilevel"/>
    <w:tmpl w:val="D38C5936"/>
    <w:lvl w:ilvl="0" w:tplc="E20205D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1" w15:restartNumberingAfterBreak="0">
    <w:nsid w:val="753F37C6"/>
    <w:multiLevelType w:val="hybridMultilevel"/>
    <w:tmpl w:val="DCD465AE"/>
    <w:lvl w:ilvl="0" w:tplc="58AACE82">
      <w:start w:val="1"/>
      <w:numFmt w:val="decimal"/>
      <w:lvlText w:val="%1."/>
      <w:lvlJc w:val="left"/>
      <w:pPr>
        <w:ind w:left="1210" w:hanging="360"/>
      </w:pPr>
      <w:rPr>
        <w:rFonts w:ascii="Arial" w:eastAsia="Times New Roman" w:hAnsi="Arial" w:cs="Arial"/>
        <w:b w:val="0"/>
        <w:bCs/>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90678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288817">
    <w:abstractNumId w:val="4"/>
  </w:num>
  <w:num w:numId="3" w16cid:durableId="1294947905">
    <w:abstractNumId w:val="2"/>
  </w:num>
  <w:num w:numId="4" w16cid:durableId="1562403923">
    <w:abstractNumId w:val="1"/>
  </w:num>
  <w:num w:numId="5" w16cid:durableId="514198936">
    <w:abstractNumId w:val="5"/>
  </w:num>
  <w:num w:numId="6" w16cid:durableId="1592933348">
    <w:abstractNumId w:val="7"/>
  </w:num>
  <w:num w:numId="7" w16cid:durableId="679089953">
    <w:abstractNumId w:val="11"/>
  </w:num>
  <w:num w:numId="8" w16cid:durableId="789393953">
    <w:abstractNumId w:val="9"/>
  </w:num>
  <w:num w:numId="9" w16cid:durableId="973680892">
    <w:abstractNumId w:val="10"/>
  </w:num>
  <w:num w:numId="10" w16cid:durableId="1985087809">
    <w:abstractNumId w:val="6"/>
  </w:num>
  <w:num w:numId="11" w16cid:durableId="1121462787">
    <w:abstractNumId w:val="0"/>
  </w:num>
  <w:num w:numId="12" w16cid:durableId="1575355957">
    <w:abstractNumId w:val="8"/>
  </w:num>
  <w:num w:numId="13" w16cid:durableId="809708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38"/>
    <w:rsid w:val="000004F7"/>
    <w:rsid w:val="000010B9"/>
    <w:rsid w:val="0000126C"/>
    <w:rsid w:val="00004DCB"/>
    <w:rsid w:val="00004E03"/>
    <w:rsid w:val="00006AF5"/>
    <w:rsid w:val="00006FFE"/>
    <w:rsid w:val="00013B48"/>
    <w:rsid w:val="00014327"/>
    <w:rsid w:val="00022B8E"/>
    <w:rsid w:val="0002368A"/>
    <w:rsid w:val="00024E24"/>
    <w:rsid w:val="00035B7F"/>
    <w:rsid w:val="000368C2"/>
    <w:rsid w:val="000369C0"/>
    <w:rsid w:val="0004170F"/>
    <w:rsid w:val="00041AB4"/>
    <w:rsid w:val="00050380"/>
    <w:rsid w:val="0005491B"/>
    <w:rsid w:val="000552CD"/>
    <w:rsid w:val="0006123A"/>
    <w:rsid w:val="000679ED"/>
    <w:rsid w:val="0007627B"/>
    <w:rsid w:val="0007629C"/>
    <w:rsid w:val="00076F9F"/>
    <w:rsid w:val="000830EC"/>
    <w:rsid w:val="000838C7"/>
    <w:rsid w:val="000839CE"/>
    <w:rsid w:val="00084088"/>
    <w:rsid w:val="00085ABB"/>
    <w:rsid w:val="00085D51"/>
    <w:rsid w:val="000865A3"/>
    <w:rsid w:val="00087ED3"/>
    <w:rsid w:val="00087EE6"/>
    <w:rsid w:val="00094CD4"/>
    <w:rsid w:val="000960E9"/>
    <w:rsid w:val="000A07C6"/>
    <w:rsid w:val="000A2D16"/>
    <w:rsid w:val="000A31DA"/>
    <w:rsid w:val="000A65C9"/>
    <w:rsid w:val="000B5683"/>
    <w:rsid w:val="000B7830"/>
    <w:rsid w:val="000C0FAE"/>
    <w:rsid w:val="000C2999"/>
    <w:rsid w:val="000C2B67"/>
    <w:rsid w:val="000C5B17"/>
    <w:rsid w:val="000D119E"/>
    <w:rsid w:val="000D1791"/>
    <w:rsid w:val="000D1A8F"/>
    <w:rsid w:val="000D3009"/>
    <w:rsid w:val="000D36B4"/>
    <w:rsid w:val="000D476D"/>
    <w:rsid w:val="000D63BA"/>
    <w:rsid w:val="000D6B04"/>
    <w:rsid w:val="000E1092"/>
    <w:rsid w:val="000E12DA"/>
    <w:rsid w:val="000E1376"/>
    <w:rsid w:val="000E343D"/>
    <w:rsid w:val="000E6B1A"/>
    <w:rsid w:val="000F38A9"/>
    <w:rsid w:val="000F59BE"/>
    <w:rsid w:val="000F5C87"/>
    <w:rsid w:val="00100109"/>
    <w:rsid w:val="001009DA"/>
    <w:rsid w:val="001033EC"/>
    <w:rsid w:val="0010527C"/>
    <w:rsid w:val="00105F27"/>
    <w:rsid w:val="00113BD2"/>
    <w:rsid w:val="0011535F"/>
    <w:rsid w:val="00124B22"/>
    <w:rsid w:val="001252D2"/>
    <w:rsid w:val="00126066"/>
    <w:rsid w:val="00126839"/>
    <w:rsid w:val="00127B8A"/>
    <w:rsid w:val="0013211D"/>
    <w:rsid w:val="00133120"/>
    <w:rsid w:val="00142682"/>
    <w:rsid w:val="00144282"/>
    <w:rsid w:val="00145F59"/>
    <w:rsid w:val="00155A80"/>
    <w:rsid w:val="001569A3"/>
    <w:rsid w:val="001710B3"/>
    <w:rsid w:val="001723F9"/>
    <w:rsid w:val="00173910"/>
    <w:rsid w:val="00173A4A"/>
    <w:rsid w:val="00173B40"/>
    <w:rsid w:val="00175083"/>
    <w:rsid w:val="00175F58"/>
    <w:rsid w:val="0018127E"/>
    <w:rsid w:val="00185EDA"/>
    <w:rsid w:val="00192A1A"/>
    <w:rsid w:val="00192D05"/>
    <w:rsid w:val="00193245"/>
    <w:rsid w:val="00194F05"/>
    <w:rsid w:val="00195617"/>
    <w:rsid w:val="00195E39"/>
    <w:rsid w:val="001A026A"/>
    <w:rsid w:val="001A30D7"/>
    <w:rsid w:val="001A44B2"/>
    <w:rsid w:val="001A4502"/>
    <w:rsid w:val="001B0E87"/>
    <w:rsid w:val="001B35A8"/>
    <w:rsid w:val="001B5124"/>
    <w:rsid w:val="001C07A6"/>
    <w:rsid w:val="001C4842"/>
    <w:rsid w:val="001D0C56"/>
    <w:rsid w:val="001D16DC"/>
    <w:rsid w:val="001D3D66"/>
    <w:rsid w:val="001D4E40"/>
    <w:rsid w:val="001E11F7"/>
    <w:rsid w:val="001E206E"/>
    <w:rsid w:val="001E629E"/>
    <w:rsid w:val="001E6F48"/>
    <w:rsid w:val="001E7282"/>
    <w:rsid w:val="001F1EFD"/>
    <w:rsid w:val="001F6266"/>
    <w:rsid w:val="0020082E"/>
    <w:rsid w:val="0020764F"/>
    <w:rsid w:val="00210266"/>
    <w:rsid w:val="0021577E"/>
    <w:rsid w:val="00216B8A"/>
    <w:rsid w:val="0023393E"/>
    <w:rsid w:val="002356E5"/>
    <w:rsid w:val="00236155"/>
    <w:rsid w:val="002375E5"/>
    <w:rsid w:val="002407F2"/>
    <w:rsid w:val="0024326E"/>
    <w:rsid w:val="00245B5E"/>
    <w:rsid w:val="002539FA"/>
    <w:rsid w:val="002548CD"/>
    <w:rsid w:val="00256628"/>
    <w:rsid w:val="002664CA"/>
    <w:rsid w:val="00275872"/>
    <w:rsid w:val="00284D54"/>
    <w:rsid w:val="00286717"/>
    <w:rsid w:val="00291D41"/>
    <w:rsid w:val="00292122"/>
    <w:rsid w:val="002968BF"/>
    <w:rsid w:val="00297AA2"/>
    <w:rsid w:val="002A0889"/>
    <w:rsid w:val="002A6BEE"/>
    <w:rsid w:val="002B079C"/>
    <w:rsid w:val="002B5568"/>
    <w:rsid w:val="002B67DD"/>
    <w:rsid w:val="002C06D6"/>
    <w:rsid w:val="002C25A9"/>
    <w:rsid w:val="002C3C45"/>
    <w:rsid w:val="002C4D5D"/>
    <w:rsid w:val="002C557C"/>
    <w:rsid w:val="002C719A"/>
    <w:rsid w:val="002D3827"/>
    <w:rsid w:val="002D5EE7"/>
    <w:rsid w:val="002F0A57"/>
    <w:rsid w:val="002F0A8D"/>
    <w:rsid w:val="002F1D24"/>
    <w:rsid w:val="002F476E"/>
    <w:rsid w:val="00301D6B"/>
    <w:rsid w:val="00303985"/>
    <w:rsid w:val="003101AB"/>
    <w:rsid w:val="003234AA"/>
    <w:rsid w:val="00327E80"/>
    <w:rsid w:val="003303CA"/>
    <w:rsid w:val="00331843"/>
    <w:rsid w:val="00331FB3"/>
    <w:rsid w:val="00334B36"/>
    <w:rsid w:val="003359EE"/>
    <w:rsid w:val="00344DCE"/>
    <w:rsid w:val="00345F6C"/>
    <w:rsid w:val="003472E4"/>
    <w:rsid w:val="0035328E"/>
    <w:rsid w:val="003549D0"/>
    <w:rsid w:val="00354A19"/>
    <w:rsid w:val="00354E4B"/>
    <w:rsid w:val="0036096D"/>
    <w:rsid w:val="00362BDD"/>
    <w:rsid w:val="003650F1"/>
    <w:rsid w:val="003652C0"/>
    <w:rsid w:val="00365645"/>
    <w:rsid w:val="00373C17"/>
    <w:rsid w:val="00374668"/>
    <w:rsid w:val="00381124"/>
    <w:rsid w:val="00381175"/>
    <w:rsid w:val="00383D38"/>
    <w:rsid w:val="00384B52"/>
    <w:rsid w:val="00391932"/>
    <w:rsid w:val="003930D2"/>
    <w:rsid w:val="003A0E05"/>
    <w:rsid w:val="003A2495"/>
    <w:rsid w:val="003A4005"/>
    <w:rsid w:val="003A5517"/>
    <w:rsid w:val="003A5A96"/>
    <w:rsid w:val="003A79B6"/>
    <w:rsid w:val="003B1CE5"/>
    <w:rsid w:val="003B20E7"/>
    <w:rsid w:val="003B588A"/>
    <w:rsid w:val="003B6EEA"/>
    <w:rsid w:val="003C3C7B"/>
    <w:rsid w:val="003C7DD0"/>
    <w:rsid w:val="003D10BD"/>
    <w:rsid w:val="003D7190"/>
    <w:rsid w:val="003E0A7E"/>
    <w:rsid w:val="003E1029"/>
    <w:rsid w:val="003E15C7"/>
    <w:rsid w:val="003E1B91"/>
    <w:rsid w:val="003E3688"/>
    <w:rsid w:val="003E5FAD"/>
    <w:rsid w:val="003E7E37"/>
    <w:rsid w:val="003F0167"/>
    <w:rsid w:val="003F0BC5"/>
    <w:rsid w:val="003F18E4"/>
    <w:rsid w:val="003F600D"/>
    <w:rsid w:val="004063D0"/>
    <w:rsid w:val="0041071C"/>
    <w:rsid w:val="00413176"/>
    <w:rsid w:val="00415A44"/>
    <w:rsid w:val="00417CD2"/>
    <w:rsid w:val="00420454"/>
    <w:rsid w:val="00421C92"/>
    <w:rsid w:val="00424328"/>
    <w:rsid w:val="004253C7"/>
    <w:rsid w:val="00425BD3"/>
    <w:rsid w:val="00440D77"/>
    <w:rsid w:val="00444556"/>
    <w:rsid w:val="00445D7C"/>
    <w:rsid w:val="00452D46"/>
    <w:rsid w:val="00456B9D"/>
    <w:rsid w:val="00456DD6"/>
    <w:rsid w:val="00460682"/>
    <w:rsid w:val="0046097D"/>
    <w:rsid w:val="00460A38"/>
    <w:rsid w:val="00460E34"/>
    <w:rsid w:val="004623B6"/>
    <w:rsid w:val="0047730C"/>
    <w:rsid w:val="00480951"/>
    <w:rsid w:val="00480CA9"/>
    <w:rsid w:val="00485A79"/>
    <w:rsid w:val="00485C7B"/>
    <w:rsid w:val="004934BF"/>
    <w:rsid w:val="00495782"/>
    <w:rsid w:val="00495898"/>
    <w:rsid w:val="00497F91"/>
    <w:rsid w:val="004A08E3"/>
    <w:rsid w:val="004A51E5"/>
    <w:rsid w:val="004A7199"/>
    <w:rsid w:val="004B3FF4"/>
    <w:rsid w:val="004B4184"/>
    <w:rsid w:val="004B46E6"/>
    <w:rsid w:val="004C183C"/>
    <w:rsid w:val="004C1B7C"/>
    <w:rsid w:val="004C2B88"/>
    <w:rsid w:val="004D3F10"/>
    <w:rsid w:val="004D497B"/>
    <w:rsid w:val="004D5337"/>
    <w:rsid w:val="004D5474"/>
    <w:rsid w:val="004E2459"/>
    <w:rsid w:val="004E26A5"/>
    <w:rsid w:val="004E4308"/>
    <w:rsid w:val="0050357E"/>
    <w:rsid w:val="005047D3"/>
    <w:rsid w:val="00505504"/>
    <w:rsid w:val="0050656E"/>
    <w:rsid w:val="005114B8"/>
    <w:rsid w:val="005214A4"/>
    <w:rsid w:val="00524305"/>
    <w:rsid w:val="00525A7D"/>
    <w:rsid w:val="00526237"/>
    <w:rsid w:val="0052683B"/>
    <w:rsid w:val="0053028F"/>
    <w:rsid w:val="00530D64"/>
    <w:rsid w:val="005323A8"/>
    <w:rsid w:val="00533547"/>
    <w:rsid w:val="00536AFA"/>
    <w:rsid w:val="00537E6E"/>
    <w:rsid w:val="00545C8A"/>
    <w:rsid w:val="00546A81"/>
    <w:rsid w:val="00547AC1"/>
    <w:rsid w:val="00550462"/>
    <w:rsid w:val="0055143E"/>
    <w:rsid w:val="005614FC"/>
    <w:rsid w:val="00564E39"/>
    <w:rsid w:val="00567C7F"/>
    <w:rsid w:val="005700FD"/>
    <w:rsid w:val="005701D9"/>
    <w:rsid w:val="00570ECF"/>
    <w:rsid w:val="005756B5"/>
    <w:rsid w:val="005801BD"/>
    <w:rsid w:val="00581A4D"/>
    <w:rsid w:val="005843C6"/>
    <w:rsid w:val="00585048"/>
    <w:rsid w:val="00587EDD"/>
    <w:rsid w:val="0059099F"/>
    <w:rsid w:val="00593735"/>
    <w:rsid w:val="005946E6"/>
    <w:rsid w:val="005976B7"/>
    <w:rsid w:val="005A1B04"/>
    <w:rsid w:val="005A47C4"/>
    <w:rsid w:val="005A4E85"/>
    <w:rsid w:val="005A657F"/>
    <w:rsid w:val="005A6BAA"/>
    <w:rsid w:val="005B18A1"/>
    <w:rsid w:val="005B43EE"/>
    <w:rsid w:val="005C0078"/>
    <w:rsid w:val="005C0A19"/>
    <w:rsid w:val="005C13A4"/>
    <w:rsid w:val="005C778E"/>
    <w:rsid w:val="005D2953"/>
    <w:rsid w:val="005E0B0F"/>
    <w:rsid w:val="005E161B"/>
    <w:rsid w:val="005E2242"/>
    <w:rsid w:val="005E3C80"/>
    <w:rsid w:val="005E4381"/>
    <w:rsid w:val="005E53FD"/>
    <w:rsid w:val="005E7D8A"/>
    <w:rsid w:val="005F22E6"/>
    <w:rsid w:val="005F5FE2"/>
    <w:rsid w:val="005F718B"/>
    <w:rsid w:val="00600A99"/>
    <w:rsid w:val="006021D9"/>
    <w:rsid w:val="00606C79"/>
    <w:rsid w:val="00607447"/>
    <w:rsid w:val="0061290A"/>
    <w:rsid w:val="00612A75"/>
    <w:rsid w:val="00613759"/>
    <w:rsid w:val="00613E73"/>
    <w:rsid w:val="00616D75"/>
    <w:rsid w:val="00616FE5"/>
    <w:rsid w:val="00617375"/>
    <w:rsid w:val="00620118"/>
    <w:rsid w:val="00621F8B"/>
    <w:rsid w:val="00624E6A"/>
    <w:rsid w:val="00627997"/>
    <w:rsid w:val="00632D3D"/>
    <w:rsid w:val="00634DAE"/>
    <w:rsid w:val="006359C0"/>
    <w:rsid w:val="00636B3E"/>
    <w:rsid w:val="0064140B"/>
    <w:rsid w:val="00643721"/>
    <w:rsid w:val="00644110"/>
    <w:rsid w:val="006449C7"/>
    <w:rsid w:val="00655FEE"/>
    <w:rsid w:val="0066387B"/>
    <w:rsid w:val="00664BBD"/>
    <w:rsid w:val="00665097"/>
    <w:rsid w:val="0066595D"/>
    <w:rsid w:val="00667C86"/>
    <w:rsid w:val="00667C92"/>
    <w:rsid w:val="006720D1"/>
    <w:rsid w:val="00674430"/>
    <w:rsid w:val="00676AC1"/>
    <w:rsid w:val="006823E3"/>
    <w:rsid w:val="00682735"/>
    <w:rsid w:val="006945BA"/>
    <w:rsid w:val="006953B5"/>
    <w:rsid w:val="006A36FA"/>
    <w:rsid w:val="006A3E9E"/>
    <w:rsid w:val="006A5989"/>
    <w:rsid w:val="006A6F42"/>
    <w:rsid w:val="006B1AAC"/>
    <w:rsid w:val="006B4D87"/>
    <w:rsid w:val="006C4BF0"/>
    <w:rsid w:val="006C5E4B"/>
    <w:rsid w:val="006C7441"/>
    <w:rsid w:val="006C79FF"/>
    <w:rsid w:val="006D0E1D"/>
    <w:rsid w:val="006D7887"/>
    <w:rsid w:val="006E1BA5"/>
    <w:rsid w:val="006E2490"/>
    <w:rsid w:val="006E5F41"/>
    <w:rsid w:val="006E7A73"/>
    <w:rsid w:val="006F0548"/>
    <w:rsid w:val="006F5AC2"/>
    <w:rsid w:val="006F6780"/>
    <w:rsid w:val="00700371"/>
    <w:rsid w:val="007007A0"/>
    <w:rsid w:val="007058F2"/>
    <w:rsid w:val="007074F7"/>
    <w:rsid w:val="00711995"/>
    <w:rsid w:val="00712C37"/>
    <w:rsid w:val="00714B8F"/>
    <w:rsid w:val="00727547"/>
    <w:rsid w:val="007275B6"/>
    <w:rsid w:val="00727ADD"/>
    <w:rsid w:val="0073410F"/>
    <w:rsid w:val="00734D50"/>
    <w:rsid w:val="00735A2A"/>
    <w:rsid w:val="00736ADE"/>
    <w:rsid w:val="00736F02"/>
    <w:rsid w:val="007378BB"/>
    <w:rsid w:val="007414B1"/>
    <w:rsid w:val="00742CA5"/>
    <w:rsid w:val="00743DFF"/>
    <w:rsid w:val="0074417E"/>
    <w:rsid w:val="00746899"/>
    <w:rsid w:val="00752C15"/>
    <w:rsid w:val="0075697D"/>
    <w:rsid w:val="00761A5D"/>
    <w:rsid w:val="00762453"/>
    <w:rsid w:val="0076795A"/>
    <w:rsid w:val="007714CF"/>
    <w:rsid w:val="007727C9"/>
    <w:rsid w:val="007732D7"/>
    <w:rsid w:val="00775774"/>
    <w:rsid w:val="00776698"/>
    <w:rsid w:val="007804AA"/>
    <w:rsid w:val="0078424B"/>
    <w:rsid w:val="007845AF"/>
    <w:rsid w:val="00784DB8"/>
    <w:rsid w:val="007872B5"/>
    <w:rsid w:val="00791312"/>
    <w:rsid w:val="007917D2"/>
    <w:rsid w:val="007963EB"/>
    <w:rsid w:val="00796D3F"/>
    <w:rsid w:val="007A28BF"/>
    <w:rsid w:val="007A594F"/>
    <w:rsid w:val="007A60EA"/>
    <w:rsid w:val="007B4E6B"/>
    <w:rsid w:val="007B796B"/>
    <w:rsid w:val="007B7CE9"/>
    <w:rsid w:val="007C5C59"/>
    <w:rsid w:val="007C6D52"/>
    <w:rsid w:val="007D0A75"/>
    <w:rsid w:val="007D38A5"/>
    <w:rsid w:val="007D399C"/>
    <w:rsid w:val="007E12D6"/>
    <w:rsid w:val="007F3BC4"/>
    <w:rsid w:val="0080001A"/>
    <w:rsid w:val="00801945"/>
    <w:rsid w:val="0080442D"/>
    <w:rsid w:val="00805A26"/>
    <w:rsid w:val="00806115"/>
    <w:rsid w:val="00812B4C"/>
    <w:rsid w:val="0081521E"/>
    <w:rsid w:val="008203F2"/>
    <w:rsid w:val="0082224D"/>
    <w:rsid w:val="008236E7"/>
    <w:rsid w:val="00824E55"/>
    <w:rsid w:val="008263A0"/>
    <w:rsid w:val="00826F96"/>
    <w:rsid w:val="00834F82"/>
    <w:rsid w:val="00846906"/>
    <w:rsid w:val="00846A4B"/>
    <w:rsid w:val="008518B2"/>
    <w:rsid w:val="008568B6"/>
    <w:rsid w:val="008578E6"/>
    <w:rsid w:val="0086762D"/>
    <w:rsid w:val="008738A5"/>
    <w:rsid w:val="00874324"/>
    <w:rsid w:val="008772CD"/>
    <w:rsid w:val="00877817"/>
    <w:rsid w:val="00880B00"/>
    <w:rsid w:val="0088540E"/>
    <w:rsid w:val="00892C5C"/>
    <w:rsid w:val="00893D0D"/>
    <w:rsid w:val="008970E5"/>
    <w:rsid w:val="00897FFC"/>
    <w:rsid w:val="008A067F"/>
    <w:rsid w:val="008A7245"/>
    <w:rsid w:val="008A7C8D"/>
    <w:rsid w:val="008B01B8"/>
    <w:rsid w:val="008B0489"/>
    <w:rsid w:val="008B242D"/>
    <w:rsid w:val="008B79A9"/>
    <w:rsid w:val="008C0F27"/>
    <w:rsid w:val="008C3A4D"/>
    <w:rsid w:val="008C46A3"/>
    <w:rsid w:val="008D0080"/>
    <w:rsid w:val="008D1404"/>
    <w:rsid w:val="008D5918"/>
    <w:rsid w:val="008D74E6"/>
    <w:rsid w:val="008E326E"/>
    <w:rsid w:val="008E5366"/>
    <w:rsid w:val="008E61D7"/>
    <w:rsid w:val="008E6D75"/>
    <w:rsid w:val="008E6FBA"/>
    <w:rsid w:val="008F0DBA"/>
    <w:rsid w:val="009004F2"/>
    <w:rsid w:val="0091765C"/>
    <w:rsid w:val="009177D8"/>
    <w:rsid w:val="009452FD"/>
    <w:rsid w:val="00950410"/>
    <w:rsid w:val="009511A1"/>
    <w:rsid w:val="00953128"/>
    <w:rsid w:val="009535F5"/>
    <w:rsid w:val="009555B2"/>
    <w:rsid w:val="009576FC"/>
    <w:rsid w:val="00960889"/>
    <w:rsid w:val="009617F1"/>
    <w:rsid w:val="009661E7"/>
    <w:rsid w:val="00966A6B"/>
    <w:rsid w:val="00970141"/>
    <w:rsid w:val="009711B8"/>
    <w:rsid w:val="0097496C"/>
    <w:rsid w:val="0098176D"/>
    <w:rsid w:val="00983CFB"/>
    <w:rsid w:val="0098628B"/>
    <w:rsid w:val="00986D87"/>
    <w:rsid w:val="00987CC5"/>
    <w:rsid w:val="00990827"/>
    <w:rsid w:val="00991FD9"/>
    <w:rsid w:val="009922E2"/>
    <w:rsid w:val="00992B2B"/>
    <w:rsid w:val="00995001"/>
    <w:rsid w:val="009A271C"/>
    <w:rsid w:val="009A4F60"/>
    <w:rsid w:val="009A5EBC"/>
    <w:rsid w:val="009A62CB"/>
    <w:rsid w:val="009B7706"/>
    <w:rsid w:val="009B7CC3"/>
    <w:rsid w:val="009C5C54"/>
    <w:rsid w:val="009D04D8"/>
    <w:rsid w:val="009D49D1"/>
    <w:rsid w:val="009D5E92"/>
    <w:rsid w:val="009D6537"/>
    <w:rsid w:val="009E1F2E"/>
    <w:rsid w:val="009E2887"/>
    <w:rsid w:val="009E3097"/>
    <w:rsid w:val="009E5252"/>
    <w:rsid w:val="009F3E29"/>
    <w:rsid w:val="009F6E70"/>
    <w:rsid w:val="009F7817"/>
    <w:rsid w:val="00A0273F"/>
    <w:rsid w:val="00A03982"/>
    <w:rsid w:val="00A06D04"/>
    <w:rsid w:val="00A10A64"/>
    <w:rsid w:val="00A121EB"/>
    <w:rsid w:val="00A12A2F"/>
    <w:rsid w:val="00A13EA1"/>
    <w:rsid w:val="00A201B5"/>
    <w:rsid w:val="00A265BC"/>
    <w:rsid w:val="00A30045"/>
    <w:rsid w:val="00A3196B"/>
    <w:rsid w:val="00A31C94"/>
    <w:rsid w:val="00A355B2"/>
    <w:rsid w:val="00A40B62"/>
    <w:rsid w:val="00A4286A"/>
    <w:rsid w:val="00A53A80"/>
    <w:rsid w:val="00A57424"/>
    <w:rsid w:val="00A66C55"/>
    <w:rsid w:val="00A67861"/>
    <w:rsid w:val="00A72CF7"/>
    <w:rsid w:val="00A743C9"/>
    <w:rsid w:val="00A804BA"/>
    <w:rsid w:val="00A81476"/>
    <w:rsid w:val="00A831AB"/>
    <w:rsid w:val="00A8703A"/>
    <w:rsid w:val="00A94CAB"/>
    <w:rsid w:val="00A9584F"/>
    <w:rsid w:val="00AB1F75"/>
    <w:rsid w:val="00AB6FFC"/>
    <w:rsid w:val="00AB739F"/>
    <w:rsid w:val="00AC0E9F"/>
    <w:rsid w:val="00AC4E08"/>
    <w:rsid w:val="00AD0BCB"/>
    <w:rsid w:val="00AD6823"/>
    <w:rsid w:val="00AD75F0"/>
    <w:rsid w:val="00AE0286"/>
    <w:rsid w:val="00AE1703"/>
    <w:rsid w:val="00AE4BF2"/>
    <w:rsid w:val="00AE4D9D"/>
    <w:rsid w:val="00AF743C"/>
    <w:rsid w:val="00B012FC"/>
    <w:rsid w:val="00B014C4"/>
    <w:rsid w:val="00B0746F"/>
    <w:rsid w:val="00B130D5"/>
    <w:rsid w:val="00B1748D"/>
    <w:rsid w:val="00B21835"/>
    <w:rsid w:val="00B2443F"/>
    <w:rsid w:val="00B2607A"/>
    <w:rsid w:val="00B2654C"/>
    <w:rsid w:val="00B33688"/>
    <w:rsid w:val="00B3464B"/>
    <w:rsid w:val="00B347E7"/>
    <w:rsid w:val="00B37032"/>
    <w:rsid w:val="00B44538"/>
    <w:rsid w:val="00B45551"/>
    <w:rsid w:val="00B4559E"/>
    <w:rsid w:val="00B51212"/>
    <w:rsid w:val="00B519FB"/>
    <w:rsid w:val="00B51F81"/>
    <w:rsid w:val="00B525CA"/>
    <w:rsid w:val="00B60A39"/>
    <w:rsid w:val="00B62C88"/>
    <w:rsid w:val="00B62ECA"/>
    <w:rsid w:val="00B64C30"/>
    <w:rsid w:val="00B657B3"/>
    <w:rsid w:val="00B67B09"/>
    <w:rsid w:val="00B71AA2"/>
    <w:rsid w:val="00B74896"/>
    <w:rsid w:val="00B74BFE"/>
    <w:rsid w:val="00B80ED6"/>
    <w:rsid w:val="00B91339"/>
    <w:rsid w:val="00B94D83"/>
    <w:rsid w:val="00B950C0"/>
    <w:rsid w:val="00B97D27"/>
    <w:rsid w:val="00BA603F"/>
    <w:rsid w:val="00BB6A4B"/>
    <w:rsid w:val="00BC0A96"/>
    <w:rsid w:val="00BC3857"/>
    <w:rsid w:val="00BD0B2C"/>
    <w:rsid w:val="00BD58A9"/>
    <w:rsid w:val="00BD6251"/>
    <w:rsid w:val="00BD721C"/>
    <w:rsid w:val="00BD72D8"/>
    <w:rsid w:val="00BE2110"/>
    <w:rsid w:val="00BE345C"/>
    <w:rsid w:val="00BF3F9B"/>
    <w:rsid w:val="00BF6854"/>
    <w:rsid w:val="00BF7BFB"/>
    <w:rsid w:val="00BF7ED1"/>
    <w:rsid w:val="00C00F92"/>
    <w:rsid w:val="00C02C5B"/>
    <w:rsid w:val="00C12A68"/>
    <w:rsid w:val="00C12B0B"/>
    <w:rsid w:val="00C22A8B"/>
    <w:rsid w:val="00C23349"/>
    <w:rsid w:val="00C26335"/>
    <w:rsid w:val="00C35992"/>
    <w:rsid w:val="00C36D18"/>
    <w:rsid w:val="00C376BD"/>
    <w:rsid w:val="00C40A00"/>
    <w:rsid w:val="00C429B6"/>
    <w:rsid w:val="00C436BE"/>
    <w:rsid w:val="00C54A9B"/>
    <w:rsid w:val="00C56556"/>
    <w:rsid w:val="00C61E59"/>
    <w:rsid w:val="00C62464"/>
    <w:rsid w:val="00C627F1"/>
    <w:rsid w:val="00C66E9E"/>
    <w:rsid w:val="00C73C22"/>
    <w:rsid w:val="00C741E1"/>
    <w:rsid w:val="00C775A9"/>
    <w:rsid w:val="00C8442B"/>
    <w:rsid w:val="00C8456C"/>
    <w:rsid w:val="00C86226"/>
    <w:rsid w:val="00C91B06"/>
    <w:rsid w:val="00C9209D"/>
    <w:rsid w:val="00C9285E"/>
    <w:rsid w:val="00C96BC5"/>
    <w:rsid w:val="00CA30F2"/>
    <w:rsid w:val="00CA38CC"/>
    <w:rsid w:val="00CA7D39"/>
    <w:rsid w:val="00CA7E3E"/>
    <w:rsid w:val="00CB3167"/>
    <w:rsid w:val="00CC022B"/>
    <w:rsid w:val="00CC1FC9"/>
    <w:rsid w:val="00CC2DED"/>
    <w:rsid w:val="00CC76FF"/>
    <w:rsid w:val="00CD12E2"/>
    <w:rsid w:val="00CD328B"/>
    <w:rsid w:val="00CE3909"/>
    <w:rsid w:val="00CE3C5E"/>
    <w:rsid w:val="00CE3E7D"/>
    <w:rsid w:val="00CE55AA"/>
    <w:rsid w:val="00CE7DBD"/>
    <w:rsid w:val="00CF43DA"/>
    <w:rsid w:val="00CF5C46"/>
    <w:rsid w:val="00CF6038"/>
    <w:rsid w:val="00D00374"/>
    <w:rsid w:val="00D02759"/>
    <w:rsid w:val="00D05343"/>
    <w:rsid w:val="00D05376"/>
    <w:rsid w:val="00D053A2"/>
    <w:rsid w:val="00D057A2"/>
    <w:rsid w:val="00D06953"/>
    <w:rsid w:val="00D10207"/>
    <w:rsid w:val="00D1068F"/>
    <w:rsid w:val="00D17839"/>
    <w:rsid w:val="00D17BDE"/>
    <w:rsid w:val="00D17CCA"/>
    <w:rsid w:val="00D20B8A"/>
    <w:rsid w:val="00D2162A"/>
    <w:rsid w:val="00D2398D"/>
    <w:rsid w:val="00D253E8"/>
    <w:rsid w:val="00D26E7F"/>
    <w:rsid w:val="00D27ABB"/>
    <w:rsid w:val="00D321D7"/>
    <w:rsid w:val="00D32773"/>
    <w:rsid w:val="00D34D32"/>
    <w:rsid w:val="00D35331"/>
    <w:rsid w:val="00D3569A"/>
    <w:rsid w:val="00D44C1F"/>
    <w:rsid w:val="00D54AC7"/>
    <w:rsid w:val="00D6115C"/>
    <w:rsid w:val="00D65855"/>
    <w:rsid w:val="00D74781"/>
    <w:rsid w:val="00D766E4"/>
    <w:rsid w:val="00D85FBD"/>
    <w:rsid w:val="00D861D7"/>
    <w:rsid w:val="00D86311"/>
    <w:rsid w:val="00D90113"/>
    <w:rsid w:val="00D914FF"/>
    <w:rsid w:val="00D92903"/>
    <w:rsid w:val="00D92A03"/>
    <w:rsid w:val="00D96C69"/>
    <w:rsid w:val="00DA01B7"/>
    <w:rsid w:val="00DA1277"/>
    <w:rsid w:val="00DA20B7"/>
    <w:rsid w:val="00DC04C7"/>
    <w:rsid w:val="00DC5193"/>
    <w:rsid w:val="00DC68B1"/>
    <w:rsid w:val="00DD0B24"/>
    <w:rsid w:val="00DD0DAF"/>
    <w:rsid w:val="00DD4C7B"/>
    <w:rsid w:val="00DD59D7"/>
    <w:rsid w:val="00DD7717"/>
    <w:rsid w:val="00DE1A17"/>
    <w:rsid w:val="00DE3A86"/>
    <w:rsid w:val="00DE54CF"/>
    <w:rsid w:val="00DE699D"/>
    <w:rsid w:val="00DE6C2E"/>
    <w:rsid w:val="00DE7BE0"/>
    <w:rsid w:val="00DF4A84"/>
    <w:rsid w:val="00DF7DD1"/>
    <w:rsid w:val="00E03AD0"/>
    <w:rsid w:val="00E041D8"/>
    <w:rsid w:val="00E0490D"/>
    <w:rsid w:val="00E06F54"/>
    <w:rsid w:val="00E0782E"/>
    <w:rsid w:val="00E07833"/>
    <w:rsid w:val="00E17E89"/>
    <w:rsid w:val="00E17F72"/>
    <w:rsid w:val="00E2064C"/>
    <w:rsid w:val="00E2195D"/>
    <w:rsid w:val="00E31C1A"/>
    <w:rsid w:val="00E40716"/>
    <w:rsid w:val="00E522A5"/>
    <w:rsid w:val="00E53697"/>
    <w:rsid w:val="00E5392F"/>
    <w:rsid w:val="00E553C2"/>
    <w:rsid w:val="00E643A2"/>
    <w:rsid w:val="00E64796"/>
    <w:rsid w:val="00E7029C"/>
    <w:rsid w:val="00E71C03"/>
    <w:rsid w:val="00E73608"/>
    <w:rsid w:val="00E80698"/>
    <w:rsid w:val="00E80FDF"/>
    <w:rsid w:val="00E84088"/>
    <w:rsid w:val="00E87035"/>
    <w:rsid w:val="00E87CFE"/>
    <w:rsid w:val="00E91A4A"/>
    <w:rsid w:val="00E91DBB"/>
    <w:rsid w:val="00EA1CC6"/>
    <w:rsid w:val="00EA2F99"/>
    <w:rsid w:val="00EA3212"/>
    <w:rsid w:val="00EA46FB"/>
    <w:rsid w:val="00EB29F5"/>
    <w:rsid w:val="00EB64DF"/>
    <w:rsid w:val="00EB7C63"/>
    <w:rsid w:val="00EC2337"/>
    <w:rsid w:val="00EC2D16"/>
    <w:rsid w:val="00EC5C1B"/>
    <w:rsid w:val="00ED38E3"/>
    <w:rsid w:val="00ED5B1B"/>
    <w:rsid w:val="00ED68D8"/>
    <w:rsid w:val="00ED78AC"/>
    <w:rsid w:val="00EE1F6D"/>
    <w:rsid w:val="00F01B45"/>
    <w:rsid w:val="00F0565B"/>
    <w:rsid w:val="00F065C9"/>
    <w:rsid w:val="00F06D95"/>
    <w:rsid w:val="00F16487"/>
    <w:rsid w:val="00F21886"/>
    <w:rsid w:val="00F35A2F"/>
    <w:rsid w:val="00F4516C"/>
    <w:rsid w:val="00F57A46"/>
    <w:rsid w:val="00F57EBB"/>
    <w:rsid w:val="00F6032A"/>
    <w:rsid w:val="00F6142B"/>
    <w:rsid w:val="00F668A9"/>
    <w:rsid w:val="00F70BFA"/>
    <w:rsid w:val="00F7392E"/>
    <w:rsid w:val="00F745D8"/>
    <w:rsid w:val="00F74B05"/>
    <w:rsid w:val="00F76FB7"/>
    <w:rsid w:val="00F85F66"/>
    <w:rsid w:val="00FA1C78"/>
    <w:rsid w:val="00FA40A1"/>
    <w:rsid w:val="00FA6793"/>
    <w:rsid w:val="00FB3820"/>
    <w:rsid w:val="00FB7A63"/>
    <w:rsid w:val="00FC0B47"/>
    <w:rsid w:val="00FC2729"/>
    <w:rsid w:val="00FC410B"/>
    <w:rsid w:val="00FC5185"/>
    <w:rsid w:val="00FD01C8"/>
    <w:rsid w:val="00FD160F"/>
    <w:rsid w:val="00FD395D"/>
    <w:rsid w:val="00FE520C"/>
    <w:rsid w:val="00FF1E08"/>
    <w:rsid w:val="00FF4962"/>
    <w:rsid w:val="00FF7D18"/>
    <w:rsid w:val="00FF7E00"/>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D219"/>
  <w15:chartTrackingRefBased/>
  <w15:docId w15:val="{689195A4-32C9-443C-AE5B-14CC6696F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Víctor/Proyecto"/>
    <w:qFormat/>
    <w:rsid w:val="00460A38"/>
    <w:pPr>
      <w:spacing w:after="0" w:line="360" w:lineRule="auto"/>
      <w:jc w:val="both"/>
    </w:pPr>
    <w:rPr>
      <w:rFonts w:ascii="Arial" w:eastAsia="Calibri" w:hAnsi="Arial" w:cs="Times New Roman"/>
      <w:kern w:val="0"/>
      <w:sz w:val="28"/>
    </w:rPr>
  </w:style>
  <w:style w:type="paragraph" w:styleId="Ttulo1">
    <w:name w:val="heading 1"/>
    <w:basedOn w:val="Normal"/>
    <w:next w:val="Normal"/>
    <w:link w:val="Ttulo1Car"/>
    <w:uiPriority w:val="9"/>
    <w:qFormat/>
    <w:rsid w:val="0046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0A38"/>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460A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A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A3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A3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A3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A3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0A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0A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A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A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A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A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A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A38"/>
    <w:rPr>
      <w:rFonts w:eastAsiaTheme="majorEastAsia" w:cstheme="majorBidi"/>
      <w:color w:val="272727" w:themeColor="text1" w:themeTint="D8"/>
    </w:rPr>
  </w:style>
  <w:style w:type="paragraph" w:styleId="Ttulo">
    <w:name w:val="Title"/>
    <w:basedOn w:val="Normal"/>
    <w:next w:val="Normal"/>
    <w:link w:val="TtuloCar"/>
    <w:uiPriority w:val="10"/>
    <w:qFormat/>
    <w:rsid w:val="00460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A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A38"/>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460A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A38"/>
    <w:pPr>
      <w:spacing w:before="160"/>
      <w:jc w:val="center"/>
    </w:pPr>
    <w:rPr>
      <w:i/>
      <w:iCs/>
      <w:color w:val="404040" w:themeColor="text1" w:themeTint="BF"/>
    </w:rPr>
  </w:style>
  <w:style w:type="character" w:customStyle="1" w:styleId="CitaCar">
    <w:name w:val="Cita Car"/>
    <w:basedOn w:val="Fuentedeprrafopredeter"/>
    <w:link w:val="Cita"/>
    <w:uiPriority w:val="29"/>
    <w:rsid w:val="00460A38"/>
    <w:rPr>
      <w:i/>
      <w:iCs/>
      <w:color w:val="404040" w:themeColor="text1" w:themeTint="BF"/>
    </w:rPr>
  </w:style>
  <w:style w:type="paragraph" w:styleId="Prrafodelista">
    <w:name w:val="List Paragraph"/>
    <w:aliases w:val="Footnote,List Paragraph1,Colorful List - Accent 11,Cita texto,Párrafo de lista1,List Paragraph2,Lista vistosa - Énfasis 11,TEXTO GENERAL SENTENCIAS,Cuadrícula clara - Énfasis 31,CNBV Parrafo1,Parrafo 1,Cuadrícula media 1 - Énfasis 21,DH"/>
    <w:basedOn w:val="Normal"/>
    <w:link w:val="PrrafodelistaCar"/>
    <w:uiPriority w:val="34"/>
    <w:qFormat/>
    <w:rsid w:val="00460A38"/>
    <w:pPr>
      <w:ind w:left="720"/>
      <w:contextualSpacing/>
    </w:pPr>
  </w:style>
  <w:style w:type="character" w:styleId="nfasisintenso">
    <w:name w:val="Intense Emphasis"/>
    <w:basedOn w:val="Fuentedeprrafopredeter"/>
    <w:uiPriority w:val="21"/>
    <w:qFormat/>
    <w:rsid w:val="00460A38"/>
    <w:rPr>
      <w:i/>
      <w:iCs/>
      <w:color w:val="0F4761" w:themeColor="accent1" w:themeShade="BF"/>
    </w:rPr>
  </w:style>
  <w:style w:type="paragraph" w:styleId="Citadestacada">
    <w:name w:val="Intense Quote"/>
    <w:basedOn w:val="Normal"/>
    <w:next w:val="Normal"/>
    <w:link w:val="CitadestacadaCar"/>
    <w:uiPriority w:val="30"/>
    <w:qFormat/>
    <w:rsid w:val="0046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A38"/>
    <w:rPr>
      <w:i/>
      <w:iCs/>
      <w:color w:val="0F4761" w:themeColor="accent1" w:themeShade="BF"/>
    </w:rPr>
  </w:style>
  <w:style w:type="character" w:styleId="Referenciaintensa">
    <w:name w:val="Intense Reference"/>
    <w:basedOn w:val="Fuentedeprrafopredeter"/>
    <w:uiPriority w:val="32"/>
    <w:qFormat/>
    <w:rsid w:val="00460A38"/>
    <w:rPr>
      <w:b/>
      <w:bCs/>
      <w:smallCaps/>
      <w:color w:val="0F4761" w:themeColor="accent1" w:themeShade="BF"/>
      <w:spacing w:val="5"/>
    </w:rPr>
  </w:style>
  <w:style w:type="character" w:customStyle="1" w:styleId="TextonotapieCar">
    <w:name w:val="Texto nota pie Car"/>
    <w:aliases w:val="Footnote Text Char Char Char Char Char Car,Footnote Text Char Char Char Char Car,Footnote reference Car,FA Fu Car,Car Car,Footnote Text Char Char Char Car,Footnote Text Cha Car,FA Fußnotentext Car,FA Fuﬂnotentext Car,Ca Car,C Car"/>
    <w:basedOn w:val="Fuentedeprrafopredeter"/>
    <w:link w:val="Textonotapie"/>
    <w:uiPriority w:val="99"/>
    <w:qFormat/>
    <w:locked/>
    <w:rsid w:val="00460A38"/>
    <w:rPr>
      <w:rFonts w:ascii="Arial" w:hAnsi="Arial" w:cs="Arial"/>
    </w:rPr>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FA Fu?notentext,Ca,C,Car3, Car, C"/>
    <w:basedOn w:val="Normal"/>
    <w:link w:val="TextonotapieCar"/>
    <w:uiPriority w:val="99"/>
    <w:unhideWhenUsed/>
    <w:qFormat/>
    <w:rsid w:val="00460A38"/>
    <w:pPr>
      <w:spacing w:line="240" w:lineRule="auto"/>
    </w:pPr>
    <w:rPr>
      <w:rFonts w:eastAsiaTheme="minorHAnsi" w:cs="Arial"/>
      <w:kern w:val="2"/>
      <w:sz w:val="22"/>
    </w:rPr>
  </w:style>
  <w:style w:type="character" w:customStyle="1" w:styleId="TextonotapieCar1">
    <w:name w:val="Texto nota pie Car1"/>
    <w:aliases w:val="FA Fu?notentext Car"/>
    <w:basedOn w:val="Fuentedeprrafopredeter"/>
    <w:uiPriority w:val="99"/>
    <w:rsid w:val="00460A38"/>
    <w:rPr>
      <w:rFonts w:ascii="Arial" w:eastAsia="Calibri" w:hAnsi="Arial" w:cs="Times New Roman"/>
      <w:kern w:val="0"/>
      <w:sz w:val="20"/>
      <w:szCs w:val="20"/>
      <w14:ligatures w14:val="none"/>
    </w:rPr>
  </w:style>
  <w:style w:type="character" w:customStyle="1" w:styleId="PrrafodelistaCar">
    <w:name w:val="Párrafo de lista Car"/>
    <w:aliases w:val="Footnote Car,List Paragraph1 Car,Colorful List - Accent 11 Car,Cita texto Car,Párrafo de lista1 Car,List Paragraph2 Car,Lista vistosa - Énfasis 11 Car,TEXTO GENERAL SENTENCIAS Car,Cuadrícula clara - Énfasis 31 Car,CNBV Parrafo1 Car"/>
    <w:link w:val="Prrafodelista"/>
    <w:uiPriority w:val="34"/>
    <w:qFormat/>
    <w:locked/>
    <w:rsid w:val="00460A38"/>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Ref,Stinking Styl"/>
    <w:link w:val="4GChar"/>
    <w:unhideWhenUsed/>
    <w:qFormat/>
    <w:rsid w:val="00460A3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460A38"/>
    <w:pPr>
      <w:spacing w:line="240" w:lineRule="auto"/>
    </w:pPr>
    <w:rPr>
      <w:rFonts w:asciiTheme="minorHAnsi" w:eastAsiaTheme="minorHAnsi" w:hAnsiTheme="minorHAnsi" w:cstheme="minorBidi"/>
      <w:kern w:val="2"/>
      <w:sz w:val="22"/>
      <w:vertAlign w:val="superscript"/>
    </w:rPr>
  </w:style>
  <w:style w:type="paragraph" w:styleId="Encabezado">
    <w:name w:val="header"/>
    <w:basedOn w:val="Normal"/>
    <w:link w:val="EncabezadoCar"/>
    <w:uiPriority w:val="99"/>
    <w:unhideWhenUsed/>
    <w:rsid w:val="00A5742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57424"/>
    <w:rPr>
      <w:rFonts w:ascii="Arial" w:eastAsia="Calibri" w:hAnsi="Arial" w:cs="Times New Roman"/>
      <w:kern w:val="0"/>
      <w:sz w:val="28"/>
    </w:rPr>
  </w:style>
  <w:style w:type="paragraph" w:styleId="Piedepgina">
    <w:name w:val="footer"/>
    <w:basedOn w:val="Normal"/>
    <w:link w:val="PiedepginaCar"/>
    <w:uiPriority w:val="99"/>
    <w:unhideWhenUsed/>
    <w:rsid w:val="00A5742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57424"/>
    <w:rPr>
      <w:rFonts w:ascii="Arial" w:eastAsia="Calibri" w:hAnsi="Arial" w:cs="Times New Roman"/>
      <w:kern w:val="0"/>
      <w:sz w:val="28"/>
    </w:rPr>
  </w:style>
  <w:style w:type="paragraph" w:styleId="Revisin">
    <w:name w:val="Revision"/>
    <w:hidden/>
    <w:uiPriority w:val="99"/>
    <w:semiHidden/>
    <w:rsid w:val="0020082E"/>
    <w:pPr>
      <w:spacing w:after="0" w:line="240" w:lineRule="auto"/>
    </w:pPr>
    <w:rPr>
      <w:rFonts w:ascii="Arial" w:eastAsia="Calibri" w:hAnsi="Arial" w:cs="Times New Roman"/>
      <w:kern w:val="0"/>
      <w:sz w:val="28"/>
    </w:rPr>
  </w:style>
  <w:style w:type="paragraph" w:styleId="Sinespaciado">
    <w:name w:val="No Spacing"/>
    <w:uiPriority w:val="1"/>
    <w:qFormat/>
    <w:rsid w:val="00C9209D"/>
    <w:pPr>
      <w:spacing w:after="0" w:line="240" w:lineRule="auto"/>
      <w:jc w:val="both"/>
    </w:pPr>
    <w:rPr>
      <w:rFonts w:ascii="Arial" w:eastAsia="Calibri" w:hAnsi="Arial" w:cs="Times New Roman"/>
      <w:kern w:val="0"/>
      <w:sz w:val="28"/>
    </w:rPr>
  </w:style>
  <w:style w:type="character" w:styleId="Hipervnculo">
    <w:name w:val="Hyperlink"/>
    <w:basedOn w:val="Fuentedeprrafopredeter"/>
    <w:uiPriority w:val="99"/>
    <w:unhideWhenUsed/>
    <w:rsid w:val="001A30D7"/>
    <w:rPr>
      <w:color w:val="467886" w:themeColor="hyperlink"/>
      <w:u w:val="single"/>
    </w:rPr>
  </w:style>
  <w:style w:type="character" w:styleId="Mencinsinresolver">
    <w:name w:val="Unresolved Mention"/>
    <w:basedOn w:val="Fuentedeprrafopredeter"/>
    <w:uiPriority w:val="99"/>
    <w:semiHidden/>
    <w:unhideWhenUsed/>
    <w:rsid w:val="001A30D7"/>
    <w:rPr>
      <w:color w:val="605E5C"/>
      <w:shd w:val="clear" w:color="auto" w:fill="E1DFDD"/>
    </w:rPr>
  </w:style>
  <w:style w:type="paragraph" w:styleId="Listaconvietas">
    <w:name w:val="List Bullet"/>
    <w:basedOn w:val="Normal"/>
    <w:uiPriority w:val="99"/>
    <w:unhideWhenUsed/>
    <w:rsid w:val="000D3009"/>
    <w:pPr>
      <w:numPr>
        <w:numId w:val="11"/>
      </w:numPr>
      <w:contextualSpacing/>
    </w:pPr>
  </w:style>
  <w:style w:type="paragraph" w:styleId="Textoindependiente">
    <w:name w:val="Body Text"/>
    <w:basedOn w:val="Normal"/>
    <w:link w:val="TextoindependienteCar"/>
    <w:uiPriority w:val="99"/>
    <w:unhideWhenUsed/>
    <w:rsid w:val="000D3009"/>
    <w:pPr>
      <w:spacing w:after="120"/>
    </w:pPr>
  </w:style>
  <w:style w:type="character" w:customStyle="1" w:styleId="TextoindependienteCar">
    <w:name w:val="Texto independiente Car"/>
    <w:basedOn w:val="Fuentedeprrafopredeter"/>
    <w:link w:val="Textoindependiente"/>
    <w:uiPriority w:val="99"/>
    <w:rsid w:val="000D3009"/>
    <w:rPr>
      <w:rFonts w:ascii="Arial" w:eastAsia="Calibri" w:hAnsi="Arial" w:cs="Times New Roman"/>
      <w:kern w:val="0"/>
      <w:sz w:val="28"/>
    </w:rPr>
  </w:style>
  <w:style w:type="paragraph" w:customStyle="1" w:styleId="Estilo">
    <w:name w:val="Estilo"/>
    <w:basedOn w:val="Sinespaciado"/>
    <w:link w:val="EstiloCar"/>
    <w:qFormat/>
    <w:rsid w:val="003F600D"/>
    <w:rPr>
      <w:rFonts w:eastAsiaTheme="minorHAnsi" w:cstheme="minorBidi"/>
      <w:sz w:val="24"/>
      <w14:ligatures w14:val="none"/>
    </w:rPr>
  </w:style>
  <w:style w:type="character" w:customStyle="1" w:styleId="EstiloCar">
    <w:name w:val="Estilo Car"/>
    <w:basedOn w:val="Fuentedeprrafopredeter"/>
    <w:link w:val="Estilo"/>
    <w:rsid w:val="003F600D"/>
    <w:rPr>
      <w:rFonts w:ascii="Arial" w:hAnsi="Arial"/>
      <w:kern w:val="0"/>
      <w:sz w:val="24"/>
      <w14:ligatures w14:val="none"/>
    </w:rPr>
  </w:style>
  <w:style w:type="character" w:styleId="Refdecomentario">
    <w:name w:val="annotation reference"/>
    <w:basedOn w:val="Fuentedeprrafopredeter"/>
    <w:uiPriority w:val="99"/>
    <w:semiHidden/>
    <w:unhideWhenUsed/>
    <w:rsid w:val="00B51212"/>
    <w:rPr>
      <w:sz w:val="16"/>
      <w:szCs w:val="16"/>
    </w:rPr>
  </w:style>
  <w:style w:type="paragraph" w:styleId="Textocomentario">
    <w:name w:val="annotation text"/>
    <w:basedOn w:val="Normal"/>
    <w:link w:val="TextocomentarioCar"/>
    <w:uiPriority w:val="99"/>
    <w:unhideWhenUsed/>
    <w:rsid w:val="00B51212"/>
    <w:pPr>
      <w:spacing w:line="240" w:lineRule="auto"/>
    </w:pPr>
    <w:rPr>
      <w:sz w:val="20"/>
      <w:szCs w:val="20"/>
    </w:rPr>
  </w:style>
  <w:style w:type="character" w:customStyle="1" w:styleId="TextocomentarioCar">
    <w:name w:val="Texto comentario Car"/>
    <w:basedOn w:val="Fuentedeprrafopredeter"/>
    <w:link w:val="Textocomentario"/>
    <w:uiPriority w:val="99"/>
    <w:rsid w:val="00B51212"/>
    <w:rPr>
      <w:rFonts w:ascii="Arial" w:eastAsia="Calibri" w:hAnsi="Arial" w:cs="Times New Roman"/>
      <w:kern w:val="0"/>
      <w:sz w:val="20"/>
      <w:szCs w:val="20"/>
    </w:rPr>
  </w:style>
  <w:style w:type="paragraph" w:styleId="Asuntodelcomentario">
    <w:name w:val="annotation subject"/>
    <w:basedOn w:val="Textocomentario"/>
    <w:next w:val="Textocomentario"/>
    <w:link w:val="AsuntodelcomentarioCar"/>
    <w:uiPriority w:val="99"/>
    <w:semiHidden/>
    <w:unhideWhenUsed/>
    <w:rsid w:val="00B51212"/>
    <w:rPr>
      <w:b/>
      <w:bCs/>
    </w:rPr>
  </w:style>
  <w:style w:type="character" w:customStyle="1" w:styleId="AsuntodelcomentarioCar">
    <w:name w:val="Asunto del comentario Car"/>
    <w:basedOn w:val="TextocomentarioCar"/>
    <w:link w:val="Asuntodelcomentario"/>
    <w:uiPriority w:val="99"/>
    <w:semiHidden/>
    <w:rsid w:val="00B51212"/>
    <w:rPr>
      <w:rFonts w:ascii="Arial" w:eastAsia="Calibri" w:hAnsi="Arial"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18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EA4FD-BFB2-4ABE-B945-DDFC98FA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1015</Words>
  <Characters>5583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JMacias@mail.scjn.gob.mx</dc:creator>
  <cp:keywords/>
  <dc:description/>
  <cp:lastModifiedBy>Juan Macías Cruz</cp:lastModifiedBy>
  <cp:revision>3</cp:revision>
  <cp:lastPrinted>2025-06-24T20:25:00Z</cp:lastPrinted>
  <dcterms:created xsi:type="dcterms:W3CDTF">2026-10-14T01:25:00Z</dcterms:created>
  <dcterms:modified xsi:type="dcterms:W3CDTF">2026-10-14T01:36:00Z</dcterms:modified>
</cp:coreProperties>
</file>