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C962" w14:textId="4006BCB7" w:rsidR="004C64CD" w:rsidRPr="00C94B18" w:rsidRDefault="004C64CD" w:rsidP="00431C9B">
      <w:pPr>
        <w:spacing w:after="0" w:line="360" w:lineRule="auto"/>
        <w:jc w:val="both"/>
        <w:rPr>
          <w:rFonts w:ascii="Arial" w:hAnsi="Arial" w:cs="Arial"/>
          <w:b/>
          <w:sz w:val="28"/>
          <w:szCs w:val="28"/>
        </w:rPr>
      </w:pPr>
      <w:r w:rsidRPr="00C94B18">
        <w:rPr>
          <w:rFonts w:ascii="Arial" w:hAnsi="Arial" w:cs="Arial"/>
          <w:b/>
          <w:sz w:val="28"/>
          <w:szCs w:val="28"/>
        </w:rPr>
        <w:t xml:space="preserve">VOTO </w:t>
      </w:r>
      <w:r w:rsidR="00A545F5">
        <w:rPr>
          <w:rFonts w:ascii="Arial" w:hAnsi="Arial" w:cs="Arial"/>
          <w:b/>
          <w:sz w:val="28"/>
          <w:szCs w:val="28"/>
        </w:rPr>
        <w:t>CONCURRENTE</w:t>
      </w:r>
      <w:r w:rsidRPr="00C94B18">
        <w:rPr>
          <w:rFonts w:ascii="Arial" w:hAnsi="Arial" w:cs="Arial"/>
          <w:b/>
          <w:sz w:val="28"/>
          <w:szCs w:val="28"/>
        </w:rPr>
        <w:t xml:space="preserve"> QUE FORMULA EL</w:t>
      </w:r>
      <w:r w:rsidR="0059670F" w:rsidRPr="00C94B18">
        <w:rPr>
          <w:rFonts w:ascii="Arial" w:hAnsi="Arial" w:cs="Arial"/>
          <w:b/>
          <w:sz w:val="28"/>
          <w:szCs w:val="28"/>
        </w:rPr>
        <w:t xml:space="preserve"> SEÑOR</w:t>
      </w:r>
      <w:r w:rsidRPr="00C94B18">
        <w:rPr>
          <w:rFonts w:ascii="Arial" w:hAnsi="Arial" w:cs="Arial"/>
          <w:b/>
          <w:sz w:val="28"/>
          <w:szCs w:val="28"/>
        </w:rPr>
        <w:t xml:space="preserve"> MINISTRO JORGE </w:t>
      </w:r>
      <w:r w:rsidR="001971E6" w:rsidRPr="00C94B18">
        <w:rPr>
          <w:rFonts w:ascii="Arial" w:hAnsi="Arial" w:cs="Arial"/>
          <w:b/>
          <w:sz w:val="28"/>
          <w:szCs w:val="28"/>
        </w:rPr>
        <w:t xml:space="preserve">MARIO PARDO REBOLLEDO EN LA ACCIÓN DE INCONSTITUCIONALIDAD </w:t>
      </w:r>
      <w:r w:rsidR="0067444C">
        <w:rPr>
          <w:rFonts w:ascii="Arial" w:hAnsi="Arial" w:cs="Arial"/>
          <w:b/>
          <w:sz w:val="28"/>
          <w:szCs w:val="28"/>
        </w:rPr>
        <w:t>285</w:t>
      </w:r>
      <w:r w:rsidR="00996FC6">
        <w:rPr>
          <w:rFonts w:ascii="Arial" w:hAnsi="Arial" w:cs="Arial"/>
          <w:b/>
          <w:sz w:val="28"/>
          <w:szCs w:val="28"/>
        </w:rPr>
        <w:t>/</w:t>
      </w:r>
      <w:r w:rsidR="0067444C">
        <w:rPr>
          <w:rFonts w:ascii="Arial" w:hAnsi="Arial" w:cs="Arial"/>
          <w:b/>
          <w:sz w:val="28"/>
          <w:szCs w:val="28"/>
        </w:rPr>
        <w:t>2020</w:t>
      </w:r>
      <w:r w:rsidR="001971E6" w:rsidRPr="00C94B18">
        <w:rPr>
          <w:rFonts w:ascii="Arial" w:hAnsi="Arial" w:cs="Arial"/>
          <w:b/>
          <w:sz w:val="28"/>
          <w:szCs w:val="28"/>
        </w:rPr>
        <w:t>.</w:t>
      </w:r>
    </w:p>
    <w:p w14:paraId="0D1A6D07" w14:textId="77777777" w:rsidR="004C64CD" w:rsidRPr="00C94B18" w:rsidRDefault="004C64CD" w:rsidP="00431C9B">
      <w:pPr>
        <w:spacing w:after="0" w:line="360" w:lineRule="auto"/>
        <w:jc w:val="both"/>
        <w:rPr>
          <w:rFonts w:ascii="Arial" w:hAnsi="Arial" w:cs="Arial"/>
          <w:b/>
          <w:sz w:val="28"/>
          <w:szCs w:val="28"/>
        </w:rPr>
      </w:pPr>
    </w:p>
    <w:p w14:paraId="7332D8E5" w14:textId="4239E030" w:rsidR="0067444C" w:rsidRPr="00660E98" w:rsidRDefault="004C64CD" w:rsidP="0067444C">
      <w:pPr>
        <w:spacing w:after="0" w:line="360" w:lineRule="auto"/>
        <w:ind w:firstLine="567"/>
        <w:jc w:val="both"/>
        <w:rPr>
          <w:rFonts w:ascii="Arial" w:hAnsi="Arial" w:cs="Arial"/>
          <w:sz w:val="28"/>
          <w:szCs w:val="28"/>
        </w:rPr>
      </w:pPr>
      <w:r w:rsidRPr="00660E98">
        <w:rPr>
          <w:rFonts w:ascii="Arial" w:hAnsi="Arial" w:cs="Arial"/>
          <w:sz w:val="28"/>
          <w:szCs w:val="28"/>
        </w:rPr>
        <w:t xml:space="preserve">En sesión </w:t>
      </w:r>
      <w:r w:rsidR="00A545F5" w:rsidRPr="00660E98">
        <w:rPr>
          <w:rFonts w:ascii="Arial" w:hAnsi="Arial" w:cs="Arial"/>
          <w:sz w:val="28"/>
          <w:szCs w:val="28"/>
        </w:rPr>
        <w:t xml:space="preserve">virtual de </w:t>
      </w:r>
      <w:r w:rsidR="0067444C">
        <w:rPr>
          <w:rFonts w:ascii="Arial" w:hAnsi="Arial" w:cs="Arial"/>
          <w:sz w:val="28"/>
          <w:szCs w:val="28"/>
        </w:rPr>
        <w:t>trece de julio</w:t>
      </w:r>
      <w:r w:rsidR="00A545F5" w:rsidRPr="00660E98">
        <w:rPr>
          <w:rFonts w:ascii="Arial" w:hAnsi="Arial" w:cs="Arial"/>
          <w:sz w:val="28"/>
          <w:szCs w:val="28"/>
        </w:rPr>
        <w:t xml:space="preserve"> de dos mil veintiuno</w:t>
      </w:r>
      <w:r w:rsidRPr="00660E98">
        <w:rPr>
          <w:rFonts w:ascii="Arial" w:hAnsi="Arial" w:cs="Arial"/>
          <w:sz w:val="28"/>
          <w:szCs w:val="28"/>
        </w:rPr>
        <w:t xml:space="preserve">, </w:t>
      </w:r>
      <w:r w:rsidR="00F311EF" w:rsidRPr="00660E98">
        <w:rPr>
          <w:rFonts w:ascii="Arial" w:hAnsi="Arial" w:cs="Arial"/>
          <w:sz w:val="28"/>
          <w:szCs w:val="28"/>
        </w:rPr>
        <w:t>el Tribunal Pleno</w:t>
      </w:r>
      <w:r w:rsidRPr="00660E98">
        <w:rPr>
          <w:rFonts w:ascii="Arial" w:hAnsi="Arial" w:cs="Arial"/>
          <w:sz w:val="28"/>
          <w:szCs w:val="28"/>
        </w:rPr>
        <w:t xml:space="preserve"> de esta Suprema Corte de Justicia de la Nación resolvió</w:t>
      </w:r>
      <w:r w:rsidR="00F311EF" w:rsidRPr="00660E98">
        <w:rPr>
          <w:rFonts w:ascii="Arial" w:hAnsi="Arial" w:cs="Arial"/>
          <w:sz w:val="28"/>
          <w:szCs w:val="28"/>
        </w:rPr>
        <w:t xml:space="preserve"> la </w:t>
      </w:r>
      <w:r w:rsidR="00B5512C" w:rsidRPr="00660E98">
        <w:rPr>
          <w:rFonts w:ascii="Arial" w:hAnsi="Arial" w:cs="Arial"/>
          <w:sz w:val="28"/>
          <w:szCs w:val="28"/>
        </w:rPr>
        <w:t xml:space="preserve">acción de inconstitucionalidad </w:t>
      </w:r>
      <w:r w:rsidR="00F311EF" w:rsidRPr="00660E98">
        <w:rPr>
          <w:rFonts w:ascii="Arial" w:hAnsi="Arial" w:cs="Arial"/>
          <w:sz w:val="28"/>
          <w:szCs w:val="28"/>
        </w:rPr>
        <w:t>citada al rubro</w:t>
      </w:r>
      <w:r w:rsidR="00F65E5D">
        <w:rPr>
          <w:rFonts w:ascii="Arial" w:hAnsi="Arial" w:cs="Arial"/>
          <w:sz w:val="28"/>
          <w:szCs w:val="28"/>
        </w:rPr>
        <w:t>, e</w:t>
      </w:r>
      <w:r w:rsidR="00037E9E" w:rsidRPr="00660E98">
        <w:rPr>
          <w:rFonts w:ascii="Arial" w:hAnsi="Arial" w:cs="Arial"/>
          <w:sz w:val="28"/>
          <w:szCs w:val="28"/>
          <w:lang w:val="es-ES"/>
        </w:rPr>
        <w:t xml:space="preserve">n </w:t>
      </w:r>
      <w:r w:rsidR="00B5512C" w:rsidRPr="00660E98">
        <w:rPr>
          <w:rFonts w:ascii="Arial" w:hAnsi="Arial" w:cs="Arial"/>
          <w:sz w:val="28"/>
          <w:szCs w:val="28"/>
          <w:lang w:val="es-ES"/>
        </w:rPr>
        <w:t xml:space="preserve">que </w:t>
      </w:r>
      <w:r w:rsidR="00037E9E" w:rsidRPr="00660E98">
        <w:rPr>
          <w:rFonts w:ascii="Arial" w:hAnsi="Arial" w:cs="Arial"/>
          <w:sz w:val="28"/>
          <w:szCs w:val="28"/>
        </w:rPr>
        <w:t xml:space="preserve">se declaró </w:t>
      </w:r>
      <w:r w:rsidR="0067444C">
        <w:rPr>
          <w:rFonts w:ascii="Arial" w:hAnsi="Arial" w:cs="Arial"/>
          <w:sz w:val="28"/>
          <w:szCs w:val="28"/>
        </w:rPr>
        <w:t xml:space="preserve">la </w:t>
      </w:r>
      <w:r w:rsidR="0067444C" w:rsidRPr="0067444C">
        <w:rPr>
          <w:rFonts w:ascii="Arial" w:hAnsi="Arial" w:cs="Arial"/>
          <w:sz w:val="28"/>
          <w:szCs w:val="28"/>
        </w:rPr>
        <w:t>invalidez</w:t>
      </w:r>
      <w:r w:rsidR="0067444C" w:rsidRPr="0067444C">
        <w:rPr>
          <w:rFonts w:ascii="Arial" w:hAnsi="Arial" w:cs="Arial"/>
          <w:b/>
          <w:bCs/>
          <w:sz w:val="28"/>
          <w:szCs w:val="28"/>
        </w:rPr>
        <w:t xml:space="preserve"> del Decreto 739, por el que se</w:t>
      </w:r>
      <w:r w:rsidR="0067444C">
        <w:rPr>
          <w:rFonts w:ascii="Arial" w:hAnsi="Arial" w:cs="Arial"/>
          <w:b/>
          <w:bCs/>
          <w:sz w:val="28"/>
          <w:szCs w:val="28"/>
        </w:rPr>
        <w:t xml:space="preserve"> </w:t>
      </w:r>
      <w:r w:rsidR="0067444C" w:rsidRPr="0067444C">
        <w:rPr>
          <w:rFonts w:ascii="Arial" w:hAnsi="Arial" w:cs="Arial"/>
          <w:b/>
          <w:bCs/>
          <w:sz w:val="28"/>
          <w:szCs w:val="28"/>
        </w:rPr>
        <w:t>adicionan un tercer, cuarto, quinto y sexto párrafos, recorriendo los</w:t>
      </w:r>
      <w:r w:rsidR="0067444C">
        <w:rPr>
          <w:rFonts w:ascii="Arial" w:hAnsi="Arial" w:cs="Arial"/>
          <w:b/>
          <w:bCs/>
          <w:sz w:val="28"/>
          <w:szCs w:val="28"/>
        </w:rPr>
        <w:t xml:space="preserve"> </w:t>
      </w:r>
      <w:r w:rsidR="0067444C" w:rsidRPr="0067444C">
        <w:rPr>
          <w:rFonts w:ascii="Arial" w:hAnsi="Arial" w:cs="Arial"/>
          <w:b/>
          <w:bCs/>
          <w:sz w:val="28"/>
          <w:szCs w:val="28"/>
        </w:rPr>
        <w:t>ulteriores, del artículo 7º de la Constitución Política del Estado de</w:t>
      </w:r>
      <w:r w:rsidR="0067444C">
        <w:rPr>
          <w:rFonts w:ascii="Arial" w:hAnsi="Arial" w:cs="Arial"/>
          <w:b/>
          <w:bCs/>
          <w:sz w:val="28"/>
          <w:szCs w:val="28"/>
        </w:rPr>
        <w:t xml:space="preserve"> </w:t>
      </w:r>
      <w:r w:rsidR="0067444C" w:rsidRPr="0067444C">
        <w:rPr>
          <w:rFonts w:ascii="Arial" w:hAnsi="Arial" w:cs="Arial"/>
          <w:b/>
          <w:bCs/>
          <w:sz w:val="28"/>
          <w:szCs w:val="28"/>
        </w:rPr>
        <w:t>Coahuila de Zaragoza</w:t>
      </w:r>
      <w:r w:rsidR="0067444C" w:rsidRPr="0067444C">
        <w:rPr>
          <w:rFonts w:ascii="Arial" w:hAnsi="Arial" w:cs="Arial"/>
          <w:sz w:val="28"/>
          <w:szCs w:val="28"/>
        </w:rPr>
        <w:t>, publicado en el Periódico Oficial de dicha entidad</w:t>
      </w:r>
      <w:r w:rsidR="0067444C">
        <w:rPr>
          <w:rFonts w:ascii="Arial" w:hAnsi="Arial" w:cs="Arial"/>
          <w:sz w:val="28"/>
          <w:szCs w:val="28"/>
        </w:rPr>
        <w:t xml:space="preserve"> </w:t>
      </w:r>
      <w:r w:rsidR="0067444C" w:rsidRPr="0067444C">
        <w:rPr>
          <w:rFonts w:ascii="Arial" w:hAnsi="Arial" w:cs="Arial"/>
          <w:sz w:val="28"/>
          <w:szCs w:val="28"/>
        </w:rPr>
        <w:t>federativa el treinta de septiembre de dos mil veinte</w:t>
      </w:r>
      <w:r w:rsidR="0067444C">
        <w:rPr>
          <w:rFonts w:ascii="Arial" w:hAnsi="Arial" w:cs="Arial"/>
          <w:sz w:val="28"/>
          <w:szCs w:val="28"/>
        </w:rPr>
        <w:t>.</w:t>
      </w:r>
    </w:p>
    <w:p w14:paraId="14BAD962" w14:textId="4481D816" w:rsidR="00037E9E" w:rsidRPr="00660E98" w:rsidRDefault="00037E9E" w:rsidP="0067444C">
      <w:pPr>
        <w:spacing w:after="0" w:line="360" w:lineRule="auto"/>
        <w:ind w:firstLine="567"/>
        <w:jc w:val="both"/>
        <w:rPr>
          <w:rFonts w:ascii="Arial" w:hAnsi="Arial" w:cs="Arial"/>
          <w:sz w:val="28"/>
          <w:szCs w:val="28"/>
        </w:rPr>
      </w:pPr>
    </w:p>
    <w:p w14:paraId="2674E579" w14:textId="5DAF8943" w:rsidR="00660E98" w:rsidRPr="00660E98" w:rsidRDefault="00C94B18" w:rsidP="00660E98">
      <w:pPr>
        <w:tabs>
          <w:tab w:val="left" w:pos="426"/>
        </w:tabs>
        <w:spacing w:after="0" w:line="360" w:lineRule="auto"/>
        <w:ind w:firstLine="567"/>
        <w:jc w:val="both"/>
        <w:rPr>
          <w:rFonts w:ascii="Arial" w:hAnsi="Arial" w:cs="Arial"/>
          <w:sz w:val="28"/>
          <w:szCs w:val="28"/>
        </w:rPr>
      </w:pPr>
      <w:r w:rsidRPr="00660E98">
        <w:rPr>
          <w:rFonts w:ascii="Arial" w:hAnsi="Arial" w:cs="Arial"/>
          <w:sz w:val="28"/>
          <w:szCs w:val="28"/>
        </w:rPr>
        <w:t xml:space="preserve">Lo anterior, </w:t>
      </w:r>
      <w:r w:rsidR="003E46BE" w:rsidRPr="00660E98">
        <w:rPr>
          <w:rFonts w:ascii="Arial" w:hAnsi="Arial" w:cs="Arial"/>
          <w:sz w:val="28"/>
          <w:szCs w:val="28"/>
        </w:rPr>
        <w:t xml:space="preserve">pues </w:t>
      </w:r>
      <w:r w:rsidR="00660E98" w:rsidRPr="00660E98">
        <w:rPr>
          <w:rFonts w:ascii="Arial" w:hAnsi="Arial" w:cs="Arial"/>
          <w:sz w:val="28"/>
          <w:szCs w:val="28"/>
        </w:rPr>
        <w:t>con motivo de la reforma a la Constitución local impugnada,</w:t>
      </w:r>
      <w:r w:rsidR="00F13B39">
        <w:rPr>
          <w:rFonts w:ascii="Arial" w:hAnsi="Arial" w:cs="Arial"/>
          <w:sz w:val="28"/>
          <w:szCs w:val="28"/>
        </w:rPr>
        <w:t xml:space="preserve"> se </w:t>
      </w:r>
      <w:r w:rsidR="00F13B39" w:rsidRPr="00375375">
        <w:rPr>
          <w:rFonts w:ascii="Arial" w:hAnsi="Arial" w:cs="Arial"/>
          <w:sz w:val="28"/>
          <w:szCs w:val="28"/>
        </w:rPr>
        <w:t>regula</w:t>
      </w:r>
      <w:r w:rsidR="00DF4BEC">
        <w:rPr>
          <w:rFonts w:ascii="Arial" w:hAnsi="Arial" w:cs="Arial"/>
          <w:sz w:val="28"/>
          <w:szCs w:val="28"/>
        </w:rPr>
        <w:t>n</w:t>
      </w:r>
      <w:r w:rsidR="00F13B39" w:rsidRPr="00375375">
        <w:rPr>
          <w:rFonts w:ascii="Arial" w:hAnsi="Arial" w:cs="Arial"/>
          <w:sz w:val="28"/>
          <w:szCs w:val="28"/>
        </w:rPr>
        <w:t xml:space="preserve"> </w:t>
      </w:r>
      <w:r w:rsidR="00F13B39" w:rsidRPr="00F13B39">
        <w:rPr>
          <w:rFonts w:ascii="Arial" w:hAnsi="Arial" w:cs="Arial"/>
          <w:b/>
          <w:bCs/>
          <w:sz w:val="28"/>
          <w:szCs w:val="28"/>
        </w:rPr>
        <w:t xml:space="preserve">diversos aspectos relativos </w:t>
      </w:r>
      <w:r w:rsidR="00DF4BEC">
        <w:rPr>
          <w:rFonts w:ascii="Arial" w:hAnsi="Arial" w:cs="Arial"/>
          <w:b/>
          <w:bCs/>
          <w:sz w:val="28"/>
          <w:szCs w:val="28"/>
        </w:rPr>
        <w:t>al</w:t>
      </w:r>
      <w:r w:rsidR="00F13B39" w:rsidRPr="00F13B39">
        <w:rPr>
          <w:rFonts w:ascii="Arial" w:hAnsi="Arial" w:cs="Arial"/>
          <w:b/>
          <w:bCs/>
          <w:sz w:val="28"/>
          <w:szCs w:val="28"/>
        </w:rPr>
        <w:t xml:space="preserve"> reconocimiento y garantía de los derechos de los pueblos y comunidades indígenas y afromexicanas asentados en el </w:t>
      </w:r>
      <w:r w:rsidR="00A11137">
        <w:rPr>
          <w:rFonts w:ascii="Arial" w:hAnsi="Arial" w:cs="Arial"/>
          <w:b/>
          <w:bCs/>
          <w:sz w:val="28"/>
          <w:szCs w:val="28"/>
        </w:rPr>
        <w:t xml:space="preserve">Estado de </w:t>
      </w:r>
      <w:r w:rsidR="00F13B39" w:rsidRPr="00F13B39">
        <w:rPr>
          <w:rFonts w:ascii="Arial" w:hAnsi="Arial" w:cs="Arial"/>
          <w:b/>
          <w:bCs/>
          <w:sz w:val="28"/>
          <w:szCs w:val="28"/>
        </w:rPr>
        <w:t xml:space="preserve">Coahuila de Zaragoza, particularmente de los pueblos </w:t>
      </w:r>
      <w:proofErr w:type="spellStart"/>
      <w:r w:rsidR="00F13B39" w:rsidRPr="00F13B39">
        <w:rPr>
          <w:rFonts w:ascii="Arial" w:hAnsi="Arial" w:cs="Arial"/>
          <w:b/>
          <w:bCs/>
          <w:sz w:val="28"/>
          <w:szCs w:val="28"/>
        </w:rPr>
        <w:t>Mascogo</w:t>
      </w:r>
      <w:proofErr w:type="spellEnd"/>
      <w:r w:rsidR="00F13B39" w:rsidRPr="00F13B39">
        <w:rPr>
          <w:rFonts w:ascii="Arial" w:hAnsi="Arial" w:cs="Arial"/>
          <w:b/>
          <w:bCs/>
          <w:sz w:val="28"/>
          <w:szCs w:val="28"/>
        </w:rPr>
        <w:t xml:space="preserve"> y </w:t>
      </w:r>
      <w:proofErr w:type="spellStart"/>
      <w:r w:rsidR="00F13B39" w:rsidRPr="00F13B39">
        <w:rPr>
          <w:rFonts w:ascii="Arial" w:hAnsi="Arial" w:cs="Arial"/>
          <w:b/>
          <w:bCs/>
          <w:sz w:val="28"/>
          <w:szCs w:val="28"/>
        </w:rPr>
        <w:t>Kikapú</w:t>
      </w:r>
      <w:proofErr w:type="spellEnd"/>
      <w:r w:rsidR="00660E98" w:rsidRPr="00660E98">
        <w:rPr>
          <w:rFonts w:ascii="Arial" w:hAnsi="Arial" w:cs="Arial"/>
          <w:sz w:val="28"/>
          <w:szCs w:val="28"/>
        </w:rPr>
        <w:t>.</w:t>
      </w:r>
    </w:p>
    <w:p w14:paraId="6409AA83" w14:textId="77777777" w:rsidR="00660E98" w:rsidRPr="00660E98" w:rsidRDefault="00660E98" w:rsidP="00660E98">
      <w:pPr>
        <w:tabs>
          <w:tab w:val="left" w:pos="426"/>
        </w:tabs>
        <w:spacing w:after="0" w:line="360" w:lineRule="auto"/>
        <w:ind w:firstLine="567"/>
        <w:jc w:val="both"/>
        <w:rPr>
          <w:rFonts w:ascii="Arial" w:hAnsi="Arial" w:cs="Arial"/>
          <w:sz w:val="28"/>
          <w:szCs w:val="28"/>
        </w:rPr>
      </w:pPr>
    </w:p>
    <w:p w14:paraId="789EF7ED" w14:textId="4AE6CAE4" w:rsidR="00660E98" w:rsidRPr="00660E98" w:rsidRDefault="00660E98" w:rsidP="00660E98">
      <w:pPr>
        <w:tabs>
          <w:tab w:val="left" w:pos="426"/>
        </w:tabs>
        <w:spacing w:after="0" w:line="360" w:lineRule="auto"/>
        <w:ind w:firstLine="567"/>
        <w:jc w:val="both"/>
        <w:rPr>
          <w:rFonts w:ascii="Arial" w:hAnsi="Arial" w:cs="Arial"/>
          <w:sz w:val="28"/>
          <w:szCs w:val="28"/>
        </w:rPr>
      </w:pPr>
      <w:r w:rsidRPr="00660E98">
        <w:rPr>
          <w:rFonts w:ascii="Arial" w:hAnsi="Arial" w:cs="Arial"/>
          <w:sz w:val="28"/>
          <w:szCs w:val="28"/>
        </w:rPr>
        <w:t xml:space="preserve">En ese sentido, </w:t>
      </w:r>
      <w:r w:rsidR="003E46BE" w:rsidRPr="00660E98">
        <w:rPr>
          <w:rFonts w:ascii="Arial" w:hAnsi="Arial" w:cs="Arial"/>
          <w:sz w:val="28"/>
          <w:szCs w:val="28"/>
        </w:rPr>
        <w:t>el</w:t>
      </w:r>
      <w:r w:rsidR="00C94B18" w:rsidRPr="00660E98">
        <w:rPr>
          <w:rFonts w:ascii="Arial" w:hAnsi="Arial" w:cs="Arial"/>
          <w:sz w:val="28"/>
          <w:szCs w:val="28"/>
        </w:rPr>
        <w:t xml:space="preserve"> </w:t>
      </w:r>
      <w:r w:rsidR="003E46BE" w:rsidRPr="00660E98">
        <w:rPr>
          <w:rFonts w:ascii="Arial" w:hAnsi="Arial" w:cs="Arial"/>
          <w:sz w:val="28"/>
          <w:szCs w:val="28"/>
        </w:rPr>
        <w:t xml:space="preserve">Tribunal Pleno consideró que </w:t>
      </w:r>
      <w:r w:rsidR="003E46BE" w:rsidRPr="00660E98">
        <w:rPr>
          <w:rFonts w:ascii="Arial" w:hAnsi="Arial" w:cs="Arial"/>
          <w:b/>
          <w:bCs/>
          <w:sz w:val="28"/>
          <w:szCs w:val="28"/>
        </w:rPr>
        <w:t>el decreto impugnado e</w:t>
      </w:r>
      <w:r w:rsidR="00F65E5D">
        <w:rPr>
          <w:rFonts w:ascii="Arial" w:hAnsi="Arial" w:cs="Arial"/>
          <w:b/>
          <w:bCs/>
          <w:sz w:val="28"/>
          <w:szCs w:val="28"/>
        </w:rPr>
        <w:t>ra</w:t>
      </w:r>
      <w:r w:rsidR="003E46BE" w:rsidRPr="00660E98">
        <w:rPr>
          <w:rFonts w:ascii="Arial" w:hAnsi="Arial" w:cs="Arial"/>
          <w:b/>
          <w:bCs/>
          <w:sz w:val="28"/>
          <w:szCs w:val="28"/>
        </w:rPr>
        <w:t xml:space="preserve"> susceptible de afectar los derechos de los pueblos y comunidades indígenas y afromexicanas</w:t>
      </w:r>
      <w:r w:rsidR="003E46BE" w:rsidRPr="00660E98">
        <w:rPr>
          <w:rFonts w:ascii="Arial" w:hAnsi="Arial" w:cs="Arial"/>
          <w:sz w:val="28"/>
          <w:szCs w:val="28"/>
        </w:rPr>
        <w:t xml:space="preserve"> de</w:t>
      </w:r>
      <w:r w:rsidR="00A11137">
        <w:rPr>
          <w:rFonts w:ascii="Arial" w:hAnsi="Arial" w:cs="Arial"/>
          <w:sz w:val="28"/>
          <w:szCs w:val="28"/>
        </w:rPr>
        <w:t xml:space="preserve">l Estado de </w:t>
      </w:r>
      <w:r w:rsidR="00DF4BEC" w:rsidRPr="00DF4BEC">
        <w:rPr>
          <w:rFonts w:ascii="Arial" w:hAnsi="Arial" w:cs="Arial"/>
          <w:sz w:val="28"/>
          <w:szCs w:val="28"/>
        </w:rPr>
        <w:t>Coahuila de Zaragoza</w:t>
      </w:r>
      <w:r w:rsidR="003E46BE" w:rsidRPr="00660E98">
        <w:rPr>
          <w:rFonts w:ascii="Arial" w:hAnsi="Arial" w:cs="Arial"/>
          <w:sz w:val="28"/>
          <w:szCs w:val="28"/>
        </w:rPr>
        <w:t>, por lo que el legislador se encontraba obligado a consultarles previamente y de acuerdo con las exigencias reconocidas por esta Suprema Corte.</w:t>
      </w:r>
    </w:p>
    <w:p w14:paraId="64236F86" w14:textId="77777777" w:rsidR="00660E98" w:rsidRPr="00660E98" w:rsidRDefault="00660E98" w:rsidP="003E46BE">
      <w:pPr>
        <w:tabs>
          <w:tab w:val="left" w:pos="426"/>
        </w:tabs>
        <w:spacing w:after="0" w:line="360" w:lineRule="auto"/>
        <w:ind w:firstLine="567"/>
        <w:jc w:val="both"/>
        <w:rPr>
          <w:rFonts w:ascii="Arial" w:hAnsi="Arial" w:cs="Arial"/>
          <w:sz w:val="28"/>
          <w:szCs w:val="28"/>
        </w:rPr>
      </w:pPr>
    </w:p>
    <w:p w14:paraId="5D08B783" w14:textId="4CD0315D" w:rsidR="000661DD" w:rsidRDefault="00660E98" w:rsidP="00F13B39">
      <w:pPr>
        <w:spacing w:line="360" w:lineRule="auto"/>
        <w:jc w:val="both"/>
        <w:rPr>
          <w:rFonts w:ascii="Arial" w:hAnsi="Arial" w:cs="Arial"/>
          <w:sz w:val="28"/>
          <w:szCs w:val="28"/>
        </w:rPr>
      </w:pPr>
      <w:r w:rsidRPr="00660E98">
        <w:rPr>
          <w:rFonts w:ascii="Arial" w:hAnsi="Arial" w:cs="Arial"/>
          <w:sz w:val="28"/>
          <w:szCs w:val="28"/>
        </w:rPr>
        <w:t xml:space="preserve">Así pues, en el caso se </w:t>
      </w:r>
      <w:r w:rsidRPr="000661DD">
        <w:rPr>
          <w:rFonts w:ascii="Arial" w:hAnsi="Arial" w:cs="Arial"/>
          <w:sz w:val="28"/>
          <w:szCs w:val="28"/>
        </w:rPr>
        <w:t xml:space="preserve">concluyó que </w:t>
      </w:r>
      <w:r w:rsidR="000661DD" w:rsidRPr="000661DD">
        <w:rPr>
          <w:rFonts w:ascii="Arial" w:hAnsi="Arial" w:cs="Arial"/>
          <w:sz w:val="28"/>
          <w:szCs w:val="28"/>
        </w:rPr>
        <w:t>s</w:t>
      </w:r>
      <w:r w:rsidR="00F13B39" w:rsidRPr="000661DD">
        <w:rPr>
          <w:rFonts w:ascii="Arial" w:hAnsi="Arial" w:cs="Arial"/>
          <w:sz w:val="28"/>
          <w:szCs w:val="28"/>
        </w:rPr>
        <w:t>i bie</w:t>
      </w:r>
      <w:r w:rsidR="000661DD" w:rsidRPr="000661DD">
        <w:rPr>
          <w:rFonts w:ascii="Arial" w:hAnsi="Arial" w:cs="Arial"/>
          <w:sz w:val="28"/>
          <w:szCs w:val="28"/>
        </w:rPr>
        <w:t>n</w:t>
      </w:r>
      <w:r w:rsidR="000661DD">
        <w:rPr>
          <w:rFonts w:ascii="Arial" w:hAnsi="Arial" w:cs="Arial"/>
          <w:sz w:val="28"/>
          <w:szCs w:val="28"/>
        </w:rPr>
        <w:t>, en el particular se reconocía</w:t>
      </w:r>
      <w:r w:rsidR="00F13B39" w:rsidRPr="00375375">
        <w:rPr>
          <w:rFonts w:ascii="Arial" w:hAnsi="Arial" w:cs="Arial"/>
          <w:sz w:val="28"/>
          <w:szCs w:val="28"/>
        </w:rPr>
        <w:t xml:space="preserve"> el ejercicio participativo que organizó el Congreso del </w:t>
      </w:r>
      <w:r w:rsidR="00F13B39" w:rsidRPr="00375375">
        <w:rPr>
          <w:rFonts w:ascii="Arial" w:hAnsi="Arial" w:cs="Arial"/>
          <w:sz w:val="28"/>
          <w:szCs w:val="28"/>
        </w:rPr>
        <w:lastRenderedPageBreak/>
        <w:t xml:space="preserve">Estado, a fin de convocar y escuchar a los representantes de la comunidad indígena </w:t>
      </w:r>
      <w:proofErr w:type="spellStart"/>
      <w:r w:rsidR="00F13B39" w:rsidRPr="00375375">
        <w:rPr>
          <w:rFonts w:ascii="Arial" w:hAnsi="Arial" w:cs="Arial"/>
          <w:sz w:val="28"/>
          <w:szCs w:val="28"/>
        </w:rPr>
        <w:t>Kikapú</w:t>
      </w:r>
      <w:proofErr w:type="spellEnd"/>
      <w:r w:rsidR="00F13B39" w:rsidRPr="00375375">
        <w:rPr>
          <w:rFonts w:ascii="Arial" w:hAnsi="Arial" w:cs="Arial"/>
          <w:sz w:val="28"/>
          <w:szCs w:val="28"/>
        </w:rPr>
        <w:t xml:space="preserve"> y afromexicana </w:t>
      </w:r>
      <w:proofErr w:type="spellStart"/>
      <w:r w:rsidR="00F13B39" w:rsidRPr="00375375">
        <w:rPr>
          <w:rFonts w:ascii="Arial" w:hAnsi="Arial" w:cs="Arial"/>
          <w:sz w:val="28"/>
          <w:szCs w:val="28"/>
        </w:rPr>
        <w:t>Mascogos</w:t>
      </w:r>
      <w:proofErr w:type="spellEnd"/>
      <w:r w:rsidR="000661DD">
        <w:rPr>
          <w:rFonts w:ascii="Arial" w:hAnsi="Arial" w:cs="Arial"/>
          <w:sz w:val="28"/>
          <w:szCs w:val="28"/>
        </w:rPr>
        <w:t xml:space="preserve">; </w:t>
      </w:r>
      <w:r w:rsidR="00F13B39" w:rsidRPr="00375375">
        <w:rPr>
          <w:rFonts w:ascii="Arial" w:hAnsi="Arial" w:cs="Arial"/>
          <w:sz w:val="28"/>
          <w:szCs w:val="28"/>
        </w:rPr>
        <w:t xml:space="preserve">ello </w:t>
      </w:r>
      <w:r w:rsidR="000661DD" w:rsidRPr="0010310D">
        <w:rPr>
          <w:rFonts w:ascii="Arial" w:hAnsi="Arial" w:cs="Arial"/>
          <w:b/>
          <w:bCs/>
          <w:sz w:val="28"/>
          <w:szCs w:val="28"/>
        </w:rPr>
        <w:t xml:space="preserve">no podía considerarse </w:t>
      </w:r>
      <w:r w:rsidR="00F13B39" w:rsidRPr="0010310D">
        <w:rPr>
          <w:rFonts w:ascii="Arial" w:hAnsi="Arial" w:cs="Arial"/>
          <w:b/>
          <w:bCs/>
          <w:sz w:val="28"/>
          <w:szCs w:val="28"/>
        </w:rPr>
        <w:t>una consulta indígena</w:t>
      </w:r>
      <w:r w:rsidR="0010310D">
        <w:rPr>
          <w:rFonts w:ascii="Arial" w:hAnsi="Arial" w:cs="Arial"/>
          <w:b/>
          <w:bCs/>
          <w:sz w:val="28"/>
          <w:szCs w:val="28"/>
        </w:rPr>
        <w:t xml:space="preserve"> válida</w:t>
      </w:r>
      <w:r w:rsidR="00F13B39" w:rsidRPr="0010310D">
        <w:rPr>
          <w:rFonts w:ascii="Arial" w:hAnsi="Arial" w:cs="Arial"/>
          <w:b/>
          <w:bCs/>
          <w:sz w:val="28"/>
          <w:szCs w:val="28"/>
        </w:rPr>
        <w:t xml:space="preserve"> </w:t>
      </w:r>
      <w:r w:rsidR="00F13B39" w:rsidRPr="00375375">
        <w:rPr>
          <w:rFonts w:ascii="Arial" w:hAnsi="Arial" w:cs="Arial"/>
          <w:sz w:val="28"/>
          <w:szCs w:val="28"/>
        </w:rPr>
        <w:t>bajo los estándares reconocidos</w:t>
      </w:r>
      <w:r w:rsidR="000661DD">
        <w:rPr>
          <w:rFonts w:ascii="Arial" w:hAnsi="Arial" w:cs="Arial"/>
          <w:sz w:val="28"/>
          <w:szCs w:val="28"/>
        </w:rPr>
        <w:t xml:space="preserve"> por esta Suprema Corte de Justicia de la Nación, pues ello</w:t>
      </w:r>
      <w:r w:rsidR="00F13B39" w:rsidRPr="00375375">
        <w:rPr>
          <w:rFonts w:ascii="Arial" w:hAnsi="Arial" w:cs="Arial"/>
          <w:sz w:val="28"/>
          <w:szCs w:val="28"/>
        </w:rPr>
        <w:t xml:space="preserve"> implicaría desnaturalizar esa obligación estatal y el correlativo derecho específico de los pueblos y comunidades indígenas y afromexicanas.</w:t>
      </w:r>
    </w:p>
    <w:p w14:paraId="12ACC28F" w14:textId="77777777" w:rsidR="00FA4E4A" w:rsidRDefault="00FA4E4A" w:rsidP="00F13B39">
      <w:pPr>
        <w:spacing w:line="360" w:lineRule="auto"/>
        <w:jc w:val="both"/>
        <w:rPr>
          <w:rFonts w:ascii="Arial" w:hAnsi="Arial" w:cs="Arial"/>
          <w:sz w:val="28"/>
          <w:szCs w:val="28"/>
        </w:rPr>
      </w:pPr>
    </w:p>
    <w:p w14:paraId="508A1A25" w14:textId="6A02A323" w:rsidR="00A648E8" w:rsidRDefault="00F13B39" w:rsidP="004C2688">
      <w:pPr>
        <w:spacing w:after="0" w:line="360" w:lineRule="auto"/>
        <w:ind w:firstLine="567"/>
        <w:jc w:val="both"/>
        <w:rPr>
          <w:rFonts w:ascii="Arial" w:hAnsi="Arial" w:cs="Arial"/>
          <w:sz w:val="28"/>
          <w:szCs w:val="28"/>
        </w:rPr>
      </w:pPr>
      <w:r w:rsidRPr="00FA4E4A">
        <w:rPr>
          <w:rFonts w:ascii="Arial" w:hAnsi="Arial" w:cs="Arial"/>
          <w:sz w:val="28"/>
          <w:szCs w:val="28"/>
        </w:rPr>
        <w:t>L</w:t>
      </w:r>
      <w:r w:rsidR="000661DD" w:rsidRPr="00FA4E4A">
        <w:rPr>
          <w:rFonts w:ascii="Arial" w:hAnsi="Arial" w:cs="Arial"/>
          <w:sz w:val="28"/>
          <w:szCs w:val="28"/>
        </w:rPr>
        <w:t>o anterior, pues</w:t>
      </w:r>
      <w:r w:rsidRPr="00FA4E4A">
        <w:rPr>
          <w:rFonts w:ascii="Arial" w:hAnsi="Arial" w:cs="Arial"/>
          <w:sz w:val="28"/>
          <w:szCs w:val="28"/>
        </w:rPr>
        <w:t xml:space="preserve"> </w:t>
      </w:r>
      <w:r w:rsidR="000661DD" w:rsidRPr="00FA4E4A">
        <w:rPr>
          <w:rFonts w:ascii="Arial" w:hAnsi="Arial" w:cs="Arial"/>
          <w:sz w:val="28"/>
          <w:szCs w:val="28"/>
        </w:rPr>
        <w:t xml:space="preserve">el ejercicio, se limitó a </w:t>
      </w:r>
      <w:r w:rsidR="00FA4E4A" w:rsidRPr="00FA4E4A">
        <w:rPr>
          <w:rFonts w:ascii="Arial" w:hAnsi="Arial" w:cs="Arial"/>
          <w:sz w:val="28"/>
          <w:szCs w:val="28"/>
        </w:rPr>
        <w:t xml:space="preserve">una </w:t>
      </w:r>
      <w:r w:rsidR="000661DD" w:rsidRPr="00FA4E4A">
        <w:rPr>
          <w:rFonts w:ascii="Arial" w:hAnsi="Arial" w:cs="Arial"/>
          <w:sz w:val="28"/>
          <w:szCs w:val="28"/>
        </w:rPr>
        <w:t xml:space="preserve">reunión </w:t>
      </w:r>
      <w:r w:rsidR="00FA4E4A" w:rsidRPr="00FA4E4A">
        <w:rPr>
          <w:rFonts w:ascii="Arial" w:hAnsi="Arial" w:cs="Arial"/>
          <w:sz w:val="28"/>
          <w:szCs w:val="28"/>
        </w:rPr>
        <w:t xml:space="preserve">con </w:t>
      </w:r>
      <w:r w:rsidRPr="00FA4E4A">
        <w:rPr>
          <w:rFonts w:ascii="Arial" w:hAnsi="Arial" w:cs="Arial"/>
          <w:sz w:val="28"/>
          <w:szCs w:val="28"/>
        </w:rPr>
        <w:t xml:space="preserve">las comunidades indígena </w:t>
      </w:r>
      <w:proofErr w:type="spellStart"/>
      <w:r w:rsidRPr="00FA4E4A">
        <w:rPr>
          <w:rFonts w:ascii="Arial" w:hAnsi="Arial" w:cs="Arial"/>
          <w:sz w:val="28"/>
          <w:szCs w:val="28"/>
        </w:rPr>
        <w:t>Kikapú</w:t>
      </w:r>
      <w:proofErr w:type="spellEnd"/>
      <w:r w:rsidRPr="00FA4E4A">
        <w:rPr>
          <w:rFonts w:ascii="Arial" w:hAnsi="Arial" w:cs="Arial"/>
          <w:sz w:val="28"/>
          <w:szCs w:val="28"/>
        </w:rPr>
        <w:t xml:space="preserve"> y afromexicana </w:t>
      </w:r>
      <w:proofErr w:type="spellStart"/>
      <w:r w:rsidRPr="00FA4E4A">
        <w:rPr>
          <w:rFonts w:ascii="Arial" w:hAnsi="Arial" w:cs="Arial"/>
          <w:sz w:val="28"/>
          <w:szCs w:val="28"/>
        </w:rPr>
        <w:t>Mascogos</w:t>
      </w:r>
      <w:proofErr w:type="spellEnd"/>
      <w:r w:rsidRPr="00FA4E4A">
        <w:rPr>
          <w:rFonts w:ascii="Arial" w:hAnsi="Arial" w:cs="Arial"/>
          <w:sz w:val="28"/>
          <w:szCs w:val="28"/>
        </w:rPr>
        <w:t xml:space="preserve">, pese a que, en el Estado de Coahuila </w:t>
      </w:r>
      <w:r w:rsidR="00DF4BEC">
        <w:rPr>
          <w:rFonts w:ascii="Arial" w:hAnsi="Arial" w:cs="Arial"/>
          <w:sz w:val="28"/>
          <w:szCs w:val="28"/>
        </w:rPr>
        <w:t xml:space="preserve">de Zaragoza </w:t>
      </w:r>
      <w:r w:rsidRPr="00FA4E4A">
        <w:rPr>
          <w:rFonts w:ascii="Arial" w:hAnsi="Arial" w:cs="Arial"/>
          <w:sz w:val="28"/>
          <w:szCs w:val="28"/>
        </w:rPr>
        <w:t>existen grupos distintos,</w:t>
      </w:r>
      <w:r w:rsidR="0010310D" w:rsidRPr="00FA4E4A">
        <w:rPr>
          <w:rFonts w:ascii="Arial" w:hAnsi="Arial" w:cs="Arial"/>
          <w:sz w:val="28"/>
          <w:szCs w:val="28"/>
        </w:rPr>
        <w:t xml:space="preserve"> además que </w:t>
      </w:r>
      <w:r w:rsidR="0010310D" w:rsidRPr="00FA4E4A">
        <w:rPr>
          <w:rFonts w:ascii="Arial" w:hAnsi="Arial" w:cs="Arial"/>
          <w:sz w:val="28"/>
          <w:szCs w:val="28"/>
          <w:u w:val="single"/>
        </w:rPr>
        <w:t xml:space="preserve">no </w:t>
      </w:r>
      <w:r w:rsidRPr="00FA4E4A">
        <w:rPr>
          <w:rFonts w:ascii="Arial" w:hAnsi="Arial" w:cs="Arial"/>
          <w:sz w:val="28"/>
          <w:szCs w:val="28"/>
          <w:u w:val="single"/>
        </w:rPr>
        <w:t>cumpl</w:t>
      </w:r>
      <w:r w:rsidR="0010310D" w:rsidRPr="00FA4E4A">
        <w:rPr>
          <w:rFonts w:ascii="Arial" w:hAnsi="Arial" w:cs="Arial"/>
          <w:sz w:val="28"/>
          <w:szCs w:val="28"/>
          <w:u w:val="single"/>
        </w:rPr>
        <w:t xml:space="preserve">ió </w:t>
      </w:r>
      <w:r w:rsidRPr="00FA4E4A">
        <w:rPr>
          <w:rFonts w:ascii="Arial" w:hAnsi="Arial" w:cs="Arial"/>
          <w:sz w:val="28"/>
          <w:szCs w:val="28"/>
          <w:u w:val="single"/>
        </w:rPr>
        <w:t xml:space="preserve">con </w:t>
      </w:r>
      <w:r w:rsidR="00FA4E4A" w:rsidRPr="00FA4E4A">
        <w:rPr>
          <w:rFonts w:ascii="Arial" w:hAnsi="Arial" w:cs="Arial"/>
          <w:sz w:val="28"/>
          <w:szCs w:val="28"/>
          <w:u w:val="single"/>
        </w:rPr>
        <w:t xml:space="preserve">todas </w:t>
      </w:r>
      <w:r w:rsidRPr="00FA4E4A">
        <w:rPr>
          <w:rFonts w:ascii="Arial" w:hAnsi="Arial" w:cs="Arial"/>
          <w:sz w:val="28"/>
          <w:szCs w:val="28"/>
          <w:u w:val="single"/>
        </w:rPr>
        <w:t xml:space="preserve">las características </w:t>
      </w:r>
      <w:r w:rsidR="00FA4E4A" w:rsidRPr="00FA4E4A">
        <w:rPr>
          <w:rFonts w:ascii="Arial" w:hAnsi="Arial" w:cs="Arial"/>
          <w:sz w:val="28"/>
          <w:szCs w:val="28"/>
          <w:u w:val="single"/>
        </w:rPr>
        <w:t>y fases</w:t>
      </w:r>
      <w:r w:rsidR="00FA4E4A" w:rsidRPr="004C685C">
        <w:rPr>
          <w:rFonts w:ascii="Arial" w:hAnsi="Arial" w:cs="Arial"/>
          <w:sz w:val="28"/>
          <w:szCs w:val="28"/>
        </w:rPr>
        <w:t xml:space="preserve"> </w:t>
      </w:r>
      <w:proofErr w:type="gramStart"/>
      <w:r w:rsidR="00FA4E4A" w:rsidRPr="00FA4E4A">
        <w:rPr>
          <w:rFonts w:ascii="Arial" w:hAnsi="Arial" w:cs="Arial"/>
          <w:sz w:val="28"/>
          <w:szCs w:val="28"/>
        </w:rPr>
        <w:t>que</w:t>
      </w:r>
      <w:proofErr w:type="gramEnd"/>
      <w:r w:rsidR="00FA4E4A" w:rsidRPr="00FA4E4A">
        <w:rPr>
          <w:rFonts w:ascii="Arial" w:hAnsi="Arial" w:cs="Arial"/>
          <w:sz w:val="28"/>
          <w:szCs w:val="28"/>
        </w:rPr>
        <w:t xml:space="preserve"> en los procesos de consulta de medidas legislativas susceptibles de afectar a pueblos y comunidades indígenas y afromexicanas, debían observar, como mínimo y que son las siguientes: </w:t>
      </w:r>
    </w:p>
    <w:p w14:paraId="7DE79592" w14:textId="77777777" w:rsidR="00A17FF9" w:rsidRPr="00A17FF9" w:rsidRDefault="00A17FF9" w:rsidP="004C2688">
      <w:pPr>
        <w:spacing w:after="0" w:line="360" w:lineRule="auto"/>
        <w:ind w:firstLine="567"/>
        <w:jc w:val="both"/>
        <w:rPr>
          <w:rFonts w:ascii="Arial" w:hAnsi="Arial" w:cs="Arial"/>
          <w:sz w:val="28"/>
          <w:szCs w:val="28"/>
        </w:rPr>
      </w:pPr>
    </w:p>
    <w:p w14:paraId="5D19D388" w14:textId="77777777" w:rsidR="00A648E8" w:rsidRPr="00A648E8" w:rsidRDefault="00A648E8" w:rsidP="004C2688">
      <w:pPr>
        <w:pStyle w:val="corte4fondo"/>
        <w:numPr>
          <w:ilvl w:val="3"/>
          <w:numId w:val="2"/>
        </w:numPr>
        <w:spacing w:line="240" w:lineRule="auto"/>
        <w:ind w:left="709" w:firstLine="284"/>
        <w:rPr>
          <w:sz w:val="24"/>
          <w:lang w:val="es-ES_tradnl"/>
        </w:rPr>
      </w:pPr>
      <w:r w:rsidRPr="00A648E8">
        <w:rPr>
          <w:b/>
          <w:sz w:val="24"/>
          <w:lang w:val="es-ES_tradnl"/>
        </w:rPr>
        <w:t>Fase preconsultiva</w:t>
      </w:r>
      <w:r w:rsidRPr="00A648E8">
        <w:rPr>
          <w:sz w:val="24"/>
          <w:lang w:val="es-ES_tradnl"/>
        </w:rPr>
        <w:t xml:space="preserve"> que permita la identificación de la medida legislativa que debe ser objeto de consulta, la identificación de los pueblos y comunidades indígenas a ser consultados, así como la determinación de la forma de llevar a cabo el proceso, la forma de intervención y la formalización de acuerdos lo cual se deberá definir de común acuerdo entre autoridades gubernamentales y representantes de las comunidades indígenas.</w:t>
      </w:r>
    </w:p>
    <w:p w14:paraId="42D4FD4B" w14:textId="77777777" w:rsidR="00A648E8" w:rsidRPr="00E168A4" w:rsidRDefault="00A648E8" w:rsidP="00A648E8">
      <w:pPr>
        <w:pStyle w:val="corte4fondo"/>
        <w:spacing w:line="240" w:lineRule="auto"/>
        <w:ind w:left="284" w:firstLine="284"/>
        <w:rPr>
          <w:sz w:val="24"/>
          <w:lang w:val="es-ES_tradnl"/>
        </w:rPr>
      </w:pPr>
    </w:p>
    <w:p w14:paraId="00060DE0" w14:textId="77777777" w:rsidR="00A648E8" w:rsidRPr="00E168A4" w:rsidRDefault="00A648E8" w:rsidP="00A648E8">
      <w:pPr>
        <w:pStyle w:val="corte4fondo"/>
        <w:numPr>
          <w:ilvl w:val="3"/>
          <w:numId w:val="2"/>
        </w:numPr>
        <w:spacing w:line="240" w:lineRule="auto"/>
        <w:ind w:left="709" w:firstLine="284"/>
        <w:rPr>
          <w:sz w:val="24"/>
          <w:lang w:val="es-ES_tradnl"/>
        </w:rPr>
      </w:pPr>
      <w:r w:rsidRPr="00E168A4">
        <w:rPr>
          <w:b/>
          <w:sz w:val="24"/>
          <w:lang w:val="es-ES_tradnl"/>
        </w:rPr>
        <w:t>Fase informativa</w:t>
      </w:r>
      <w:r w:rsidRPr="00E168A4">
        <w:rPr>
          <w:sz w:val="24"/>
          <w:lang w:val="es-ES_tradnl"/>
        </w:rPr>
        <w:t xml:space="preserve"> de entrega de información y difusión del proceso de consulta, con la finalidad de contar con información completa, previa y significativa sobre las medidas legislativas. Ello puede incluir, por ejemplo, la entrega por parte de las autoridades de un análisis y evaluación apropiada de las repercusiones de las medidas legislativas.</w:t>
      </w:r>
    </w:p>
    <w:p w14:paraId="034F05DF" w14:textId="77777777" w:rsidR="00A648E8" w:rsidRPr="00E168A4" w:rsidRDefault="00A648E8" w:rsidP="00A648E8">
      <w:pPr>
        <w:pStyle w:val="corte4fondo"/>
        <w:spacing w:line="240" w:lineRule="auto"/>
        <w:ind w:firstLine="284"/>
        <w:rPr>
          <w:sz w:val="24"/>
          <w:lang w:val="es-ES_tradnl"/>
        </w:rPr>
      </w:pPr>
    </w:p>
    <w:p w14:paraId="09A0F809" w14:textId="77777777" w:rsidR="00A648E8" w:rsidRPr="00E168A4" w:rsidRDefault="00A648E8" w:rsidP="00A648E8">
      <w:pPr>
        <w:pStyle w:val="corte4fondo"/>
        <w:numPr>
          <w:ilvl w:val="3"/>
          <w:numId w:val="2"/>
        </w:numPr>
        <w:spacing w:line="240" w:lineRule="auto"/>
        <w:ind w:left="709" w:firstLine="284"/>
        <w:rPr>
          <w:sz w:val="24"/>
          <w:lang w:val="es-ES_tradnl"/>
        </w:rPr>
      </w:pPr>
      <w:r w:rsidRPr="00E168A4">
        <w:rPr>
          <w:b/>
          <w:sz w:val="24"/>
          <w:lang w:val="es-ES_tradnl"/>
        </w:rPr>
        <w:t>Fase de deliberación interna</w:t>
      </w:r>
      <w:r w:rsidRPr="00E168A4">
        <w:rPr>
          <w:sz w:val="24"/>
          <w:lang w:val="es-ES_tradnl"/>
        </w:rPr>
        <w:t>. En esta etapa –que resulta fundamental- los pueblos y comunidades indígenas, a través del diálogo y acuerdos, evalúan internamente la medida que les afectaría directamente.</w:t>
      </w:r>
    </w:p>
    <w:p w14:paraId="7F581EFE" w14:textId="77777777" w:rsidR="00A648E8" w:rsidRPr="00E168A4" w:rsidRDefault="00A648E8" w:rsidP="00A648E8">
      <w:pPr>
        <w:pStyle w:val="corte4fondo"/>
        <w:spacing w:line="240" w:lineRule="auto"/>
        <w:ind w:firstLine="284"/>
        <w:rPr>
          <w:sz w:val="24"/>
          <w:lang w:val="es-ES_tradnl"/>
        </w:rPr>
      </w:pPr>
    </w:p>
    <w:p w14:paraId="72A9E6FB" w14:textId="77777777" w:rsidR="00A648E8" w:rsidRPr="00E168A4" w:rsidRDefault="00A648E8" w:rsidP="00A648E8">
      <w:pPr>
        <w:pStyle w:val="corte4fondo"/>
        <w:numPr>
          <w:ilvl w:val="3"/>
          <w:numId w:val="2"/>
        </w:numPr>
        <w:spacing w:line="240" w:lineRule="auto"/>
        <w:ind w:left="709" w:firstLine="284"/>
        <w:rPr>
          <w:sz w:val="24"/>
          <w:lang w:val="es-ES_tradnl"/>
        </w:rPr>
      </w:pPr>
      <w:r w:rsidRPr="00E168A4">
        <w:rPr>
          <w:b/>
          <w:sz w:val="24"/>
          <w:lang w:val="es-ES_tradnl"/>
        </w:rPr>
        <w:lastRenderedPageBreak/>
        <w:t>Fase de diálogo</w:t>
      </w:r>
      <w:r w:rsidRPr="00E168A4">
        <w:rPr>
          <w:sz w:val="24"/>
          <w:lang w:val="es-ES_tradnl"/>
        </w:rPr>
        <w:t xml:space="preserve"> entre los representantes del Estado y representantes de los pueblos indígenas con la finalidad de generar acuerdos.</w:t>
      </w:r>
    </w:p>
    <w:p w14:paraId="7B0F2AC8" w14:textId="77777777" w:rsidR="00A648E8" w:rsidRPr="00E168A4" w:rsidRDefault="00A648E8" w:rsidP="00A648E8">
      <w:pPr>
        <w:pStyle w:val="corte4fondo"/>
        <w:spacing w:line="240" w:lineRule="auto"/>
        <w:ind w:firstLine="284"/>
        <w:rPr>
          <w:sz w:val="24"/>
          <w:lang w:val="es-ES_tradnl"/>
        </w:rPr>
      </w:pPr>
    </w:p>
    <w:p w14:paraId="0FE947C0" w14:textId="77777777" w:rsidR="00A648E8" w:rsidRPr="00E168A4" w:rsidRDefault="00A648E8" w:rsidP="00A648E8">
      <w:pPr>
        <w:pStyle w:val="corte4fondo"/>
        <w:numPr>
          <w:ilvl w:val="3"/>
          <w:numId w:val="2"/>
        </w:numPr>
        <w:spacing w:line="240" w:lineRule="auto"/>
        <w:ind w:left="709" w:firstLine="284"/>
        <w:rPr>
          <w:sz w:val="24"/>
          <w:lang w:val="es-ES_tradnl"/>
        </w:rPr>
      </w:pPr>
      <w:r w:rsidRPr="00E168A4">
        <w:rPr>
          <w:b/>
          <w:sz w:val="24"/>
          <w:lang w:val="es-ES_tradnl"/>
        </w:rPr>
        <w:t>Fase de decisión</w:t>
      </w:r>
      <w:r w:rsidRPr="00E168A4">
        <w:rPr>
          <w:sz w:val="24"/>
          <w:lang w:val="es-ES_tradnl"/>
        </w:rPr>
        <w:t>, comunicación de resultados y entrega de dictamen.</w:t>
      </w:r>
    </w:p>
    <w:p w14:paraId="0DD1A112" w14:textId="77777777" w:rsidR="00491E07" w:rsidRPr="00491E07" w:rsidRDefault="00491E07" w:rsidP="00A648E8">
      <w:pPr>
        <w:pStyle w:val="corte4fondo"/>
        <w:tabs>
          <w:tab w:val="left" w:pos="0"/>
          <w:tab w:val="left" w:pos="426"/>
        </w:tabs>
        <w:ind w:firstLine="0"/>
        <w:rPr>
          <w:bCs/>
          <w:sz w:val="28"/>
          <w:szCs w:val="28"/>
        </w:rPr>
      </w:pPr>
    </w:p>
    <w:p w14:paraId="4C02C41D" w14:textId="7A36DDEF" w:rsidR="0039121E" w:rsidRDefault="00F64127" w:rsidP="009C179B">
      <w:pPr>
        <w:tabs>
          <w:tab w:val="left" w:pos="426"/>
        </w:tabs>
        <w:spacing w:after="0" w:line="360" w:lineRule="auto"/>
        <w:ind w:firstLine="567"/>
        <w:jc w:val="both"/>
        <w:rPr>
          <w:rFonts w:ascii="Arial" w:hAnsi="Arial" w:cs="Arial"/>
          <w:sz w:val="28"/>
          <w:szCs w:val="28"/>
        </w:rPr>
      </w:pPr>
      <w:r w:rsidRPr="00491E07">
        <w:rPr>
          <w:rFonts w:ascii="Arial" w:hAnsi="Arial" w:cs="Arial"/>
          <w:sz w:val="28"/>
          <w:szCs w:val="28"/>
        </w:rPr>
        <w:t xml:space="preserve">Una vez precisado lo anterior, de manera respetuosa </w:t>
      </w:r>
      <w:r w:rsidR="00491E07" w:rsidRPr="00491E07">
        <w:rPr>
          <w:rFonts w:ascii="Arial" w:hAnsi="Arial" w:cs="Arial"/>
          <w:sz w:val="28"/>
          <w:szCs w:val="28"/>
        </w:rPr>
        <w:t>debo señalar que</w:t>
      </w:r>
      <w:r w:rsidR="0039121E">
        <w:rPr>
          <w:rFonts w:ascii="Arial" w:hAnsi="Arial" w:cs="Arial"/>
          <w:sz w:val="28"/>
          <w:szCs w:val="28"/>
        </w:rPr>
        <w:t>,</w:t>
      </w:r>
      <w:r w:rsidR="00491E07" w:rsidRPr="00491E07">
        <w:rPr>
          <w:rFonts w:ascii="Arial" w:hAnsi="Arial" w:cs="Arial"/>
          <w:sz w:val="28"/>
          <w:szCs w:val="28"/>
        </w:rPr>
        <w:t xml:space="preserve"> si bien compartí el sentido de la sentencia, esto es declarar la invalidez del Decreto</w:t>
      </w:r>
      <w:r w:rsidR="00B5512C">
        <w:rPr>
          <w:rFonts w:ascii="Arial" w:hAnsi="Arial" w:cs="Arial"/>
          <w:sz w:val="28"/>
          <w:szCs w:val="28"/>
        </w:rPr>
        <w:t xml:space="preserve"> impugnado; en tanto que, </w:t>
      </w:r>
      <w:r w:rsidR="008023B9" w:rsidRPr="008023B9">
        <w:rPr>
          <w:rFonts w:ascii="Arial" w:hAnsi="Arial" w:cs="Arial"/>
          <w:b/>
          <w:bCs/>
          <w:sz w:val="28"/>
          <w:szCs w:val="28"/>
        </w:rPr>
        <w:t xml:space="preserve">incide directamente </w:t>
      </w:r>
      <w:r w:rsidR="008023B9" w:rsidRPr="00B5512C">
        <w:rPr>
          <w:rFonts w:ascii="Arial" w:hAnsi="Arial" w:cs="Arial"/>
          <w:bCs/>
          <w:sz w:val="28"/>
          <w:szCs w:val="28"/>
        </w:rPr>
        <w:t>en la forma de organización y autonomías</w:t>
      </w:r>
      <w:r w:rsidR="00B5512C" w:rsidRPr="00B5512C">
        <w:rPr>
          <w:rFonts w:ascii="Arial" w:hAnsi="Arial" w:cs="Arial"/>
          <w:bCs/>
          <w:sz w:val="28"/>
          <w:szCs w:val="28"/>
        </w:rPr>
        <w:t xml:space="preserve"> de los grupos indígenas y afromexicanos de la entidad</w:t>
      </w:r>
      <w:r w:rsidR="008023B9" w:rsidRPr="00B5512C">
        <w:rPr>
          <w:rFonts w:ascii="Arial" w:hAnsi="Arial" w:cs="Arial"/>
          <w:sz w:val="28"/>
          <w:szCs w:val="28"/>
        </w:rPr>
        <w:t xml:space="preserve">; </w:t>
      </w:r>
      <w:r w:rsidR="00491E07" w:rsidRPr="00B5512C">
        <w:rPr>
          <w:rFonts w:ascii="Arial" w:hAnsi="Arial" w:cs="Arial"/>
          <w:sz w:val="28"/>
          <w:szCs w:val="28"/>
        </w:rPr>
        <w:t>lo cierto</w:t>
      </w:r>
      <w:r w:rsidR="00491E07" w:rsidRPr="00491E07">
        <w:rPr>
          <w:rFonts w:ascii="Arial" w:hAnsi="Arial" w:cs="Arial"/>
          <w:sz w:val="28"/>
          <w:szCs w:val="28"/>
        </w:rPr>
        <w:t xml:space="preserve"> es que </w:t>
      </w:r>
      <w:r w:rsidR="0039121E">
        <w:rPr>
          <w:rFonts w:ascii="Arial" w:eastAsia="Calibri" w:hAnsi="Arial" w:cs="Arial"/>
          <w:b/>
          <w:bCs/>
          <w:sz w:val="28"/>
          <w:szCs w:val="28"/>
        </w:rPr>
        <w:t>me separo</w:t>
      </w:r>
      <w:r w:rsidR="00491E07" w:rsidRPr="00491E07">
        <w:rPr>
          <w:rFonts w:ascii="Arial" w:eastAsia="Calibri" w:hAnsi="Arial" w:cs="Arial"/>
          <w:sz w:val="28"/>
          <w:szCs w:val="28"/>
        </w:rPr>
        <w:t xml:space="preserve"> </w:t>
      </w:r>
      <w:r w:rsidR="0039121E" w:rsidRPr="0039121E">
        <w:rPr>
          <w:rFonts w:ascii="Arial" w:eastAsia="Calibri" w:hAnsi="Arial" w:cs="Arial"/>
          <w:b/>
          <w:bCs/>
          <w:sz w:val="28"/>
          <w:szCs w:val="28"/>
        </w:rPr>
        <w:t>d</w:t>
      </w:r>
      <w:r w:rsidR="00491E07" w:rsidRPr="00491E07">
        <w:rPr>
          <w:rFonts w:ascii="Arial" w:eastAsia="Calibri" w:hAnsi="Arial" w:cs="Arial"/>
          <w:b/>
          <w:bCs/>
          <w:sz w:val="28"/>
          <w:szCs w:val="28"/>
        </w:rPr>
        <w:t>el estándar mínimo que se establece para el desahogo de la consulta</w:t>
      </w:r>
      <w:r w:rsidR="006B7332">
        <w:rPr>
          <w:rFonts w:ascii="Arial" w:eastAsia="Calibri" w:hAnsi="Arial" w:cs="Arial"/>
          <w:b/>
          <w:bCs/>
          <w:sz w:val="28"/>
          <w:szCs w:val="28"/>
        </w:rPr>
        <w:t>, en particular de la fase preconsultiva</w:t>
      </w:r>
      <w:r w:rsidR="0039121E">
        <w:rPr>
          <w:rFonts w:ascii="Arial" w:hAnsi="Arial" w:cs="Arial"/>
          <w:sz w:val="28"/>
          <w:szCs w:val="28"/>
        </w:rPr>
        <w:t>.</w:t>
      </w:r>
    </w:p>
    <w:p w14:paraId="028847EF" w14:textId="37B8C71D" w:rsidR="0077221A" w:rsidRDefault="0077221A" w:rsidP="0039121E">
      <w:pPr>
        <w:tabs>
          <w:tab w:val="left" w:pos="426"/>
        </w:tabs>
        <w:spacing w:after="0" w:line="360" w:lineRule="auto"/>
        <w:ind w:firstLine="567"/>
        <w:jc w:val="both"/>
        <w:rPr>
          <w:rFonts w:ascii="Arial" w:hAnsi="Arial" w:cs="Arial"/>
          <w:sz w:val="28"/>
          <w:szCs w:val="28"/>
        </w:rPr>
      </w:pPr>
    </w:p>
    <w:p w14:paraId="737EEDB2" w14:textId="6C21BE94" w:rsidR="0039121E" w:rsidRDefault="00C0787C" w:rsidP="0039121E">
      <w:pPr>
        <w:pStyle w:val="corte4fondo"/>
        <w:rPr>
          <w:sz w:val="28"/>
          <w:szCs w:val="28"/>
        </w:rPr>
      </w:pPr>
      <w:r>
        <w:rPr>
          <w:sz w:val="28"/>
          <w:szCs w:val="28"/>
        </w:rPr>
        <w:t>Esto pues, considero que los méritos</w:t>
      </w:r>
      <w:r w:rsidR="0039121E">
        <w:rPr>
          <w:sz w:val="28"/>
          <w:szCs w:val="28"/>
        </w:rPr>
        <w:t xml:space="preserve"> de cada proceso</w:t>
      </w:r>
      <w:r>
        <w:rPr>
          <w:sz w:val="28"/>
          <w:szCs w:val="28"/>
        </w:rPr>
        <w:t xml:space="preserve"> legislativo</w:t>
      </w:r>
      <w:r w:rsidR="0039121E">
        <w:rPr>
          <w:sz w:val="28"/>
          <w:szCs w:val="28"/>
        </w:rPr>
        <w:t xml:space="preserve"> deben analizarse en el caso concreto, ya que </w:t>
      </w:r>
      <w:r w:rsidR="0039121E" w:rsidRPr="00BA5C2B">
        <w:rPr>
          <w:b/>
          <w:bCs/>
          <w:sz w:val="28"/>
          <w:szCs w:val="28"/>
        </w:rPr>
        <w:t>un estándar inflexible y único para todos los casos podría resultar inadecuado para las particularidades de cada situación</w:t>
      </w:r>
      <w:r w:rsidR="0039121E">
        <w:rPr>
          <w:sz w:val="28"/>
          <w:szCs w:val="28"/>
        </w:rPr>
        <w:t xml:space="preserve">, </w:t>
      </w:r>
      <w:r w:rsidR="0039121E" w:rsidRPr="00594501">
        <w:rPr>
          <w:sz w:val="28"/>
          <w:szCs w:val="28"/>
        </w:rPr>
        <w:t>lo que ser</w:t>
      </w:r>
      <w:r>
        <w:rPr>
          <w:sz w:val="28"/>
          <w:szCs w:val="28"/>
        </w:rPr>
        <w:t>ía</w:t>
      </w:r>
      <w:r w:rsidR="0039121E" w:rsidRPr="00594501">
        <w:rPr>
          <w:sz w:val="28"/>
          <w:szCs w:val="28"/>
        </w:rPr>
        <w:t xml:space="preserve"> un desincentivo para los esfuerzos que llevan a cabo las autoridades</w:t>
      </w:r>
      <w:r w:rsidR="0039121E">
        <w:rPr>
          <w:sz w:val="28"/>
          <w:szCs w:val="28"/>
        </w:rPr>
        <w:t xml:space="preserve"> para realizar cualquier acción en beneficio de las comunidades indígenas</w:t>
      </w:r>
      <w:r w:rsidR="00B5512C">
        <w:rPr>
          <w:sz w:val="28"/>
          <w:szCs w:val="28"/>
        </w:rPr>
        <w:t xml:space="preserve"> y afromexicanas del país</w:t>
      </w:r>
      <w:r w:rsidR="0039121E">
        <w:rPr>
          <w:sz w:val="28"/>
          <w:szCs w:val="28"/>
        </w:rPr>
        <w:t>.</w:t>
      </w:r>
    </w:p>
    <w:p w14:paraId="6771B2AF" w14:textId="77777777" w:rsidR="0039121E" w:rsidRDefault="0039121E" w:rsidP="0039121E">
      <w:pPr>
        <w:pStyle w:val="corte4fondo"/>
        <w:rPr>
          <w:sz w:val="28"/>
          <w:szCs w:val="28"/>
        </w:rPr>
      </w:pPr>
    </w:p>
    <w:p w14:paraId="0FE0C882" w14:textId="12833367" w:rsidR="0039121E" w:rsidRDefault="0039121E" w:rsidP="0039121E">
      <w:pPr>
        <w:pStyle w:val="corte4fondo"/>
        <w:rPr>
          <w:sz w:val="28"/>
          <w:szCs w:val="28"/>
        </w:rPr>
      </w:pPr>
      <w:r>
        <w:rPr>
          <w:sz w:val="28"/>
          <w:szCs w:val="28"/>
        </w:rPr>
        <w:t xml:space="preserve">Ello </w:t>
      </w:r>
      <w:r w:rsidR="00C0787C">
        <w:rPr>
          <w:sz w:val="28"/>
          <w:szCs w:val="28"/>
        </w:rPr>
        <w:t xml:space="preserve">es así, pues </w:t>
      </w:r>
      <w:r>
        <w:rPr>
          <w:sz w:val="28"/>
          <w:szCs w:val="28"/>
        </w:rPr>
        <w:t xml:space="preserve">es posible que en un caso concreto se cumpla con el parámetro de regularidad constitucional señalado </w:t>
      </w:r>
      <w:r w:rsidR="00C0787C">
        <w:rPr>
          <w:sz w:val="28"/>
          <w:szCs w:val="28"/>
        </w:rPr>
        <w:t xml:space="preserve">conforme a los </w:t>
      </w:r>
      <w:r>
        <w:rPr>
          <w:sz w:val="28"/>
          <w:szCs w:val="28"/>
        </w:rPr>
        <w:t xml:space="preserve">precedentes, relativo a que la consulta debe ser previa, libre, informada, culturalmente adecuada y de buena fe; </w:t>
      </w:r>
      <w:r w:rsidRPr="00796C37">
        <w:rPr>
          <w:b/>
          <w:bCs/>
          <w:sz w:val="28"/>
          <w:szCs w:val="28"/>
        </w:rPr>
        <w:t xml:space="preserve">pero </w:t>
      </w:r>
      <w:r w:rsidR="00C0787C" w:rsidRPr="00796C37">
        <w:rPr>
          <w:b/>
          <w:bCs/>
          <w:sz w:val="28"/>
          <w:szCs w:val="28"/>
        </w:rPr>
        <w:t xml:space="preserve">que no cumpla </w:t>
      </w:r>
      <w:r w:rsidRPr="00796C37">
        <w:rPr>
          <w:b/>
          <w:bCs/>
          <w:sz w:val="28"/>
          <w:szCs w:val="28"/>
        </w:rPr>
        <w:t>con el estándar específico</w:t>
      </w:r>
      <w:r w:rsidR="006B7332" w:rsidRPr="00796C37">
        <w:rPr>
          <w:b/>
          <w:bCs/>
          <w:sz w:val="28"/>
          <w:szCs w:val="28"/>
        </w:rPr>
        <w:t xml:space="preserve"> de preconsulta</w:t>
      </w:r>
      <w:r w:rsidRPr="00796C37">
        <w:rPr>
          <w:b/>
          <w:bCs/>
          <w:sz w:val="28"/>
          <w:szCs w:val="28"/>
        </w:rPr>
        <w:t xml:space="preserve"> </w:t>
      </w:r>
      <w:r w:rsidR="00C0787C" w:rsidRPr="00796C37">
        <w:rPr>
          <w:b/>
          <w:bCs/>
          <w:sz w:val="28"/>
          <w:szCs w:val="28"/>
        </w:rPr>
        <w:t>referido</w:t>
      </w:r>
      <w:r w:rsidRPr="00796C37">
        <w:rPr>
          <w:b/>
          <w:bCs/>
          <w:sz w:val="28"/>
          <w:szCs w:val="28"/>
        </w:rPr>
        <w:t xml:space="preserve"> en la sentencia</w:t>
      </w:r>
      <w:r>
        <w:rPr>
          <w:sz w:val="28"/>
          <w:szCs w:val="28"/>
        </w:rPr>
        <w:t xml:space="preserve">, </w:t>
      </w:r>
      <w:r w:rsidR="00F921BA">
        <w:rPr>
          <w:sz w:val="28"/>
          <w:szCs w:val="28"/>
        </w:rPr>
        <w:t>conforme a la cual se</w:t>
      </w:r>
      <w:r w:rsidR="00F921BA" w:rsidRPr="00F921BA">
        <w:rPr>
          <w:sz w:val="28"/>
          <w:szCs w:val="28"/>
        </w:rPr>
        <w:t xml:space="preserve"> permit</w:t>
      </w:r>
      <w:r w:rsidR="00F921BA">
        <w:rPr>
          <w:sz w:val="28"/>
          <w:szCs w:val="28"/>
        </w:rPr>
        <w:t>e</w:t>
      </w:r>
      <w:r w:rsidR="00F921BA" w:rsidRPr="00F921BA">
        <w:rPr>
          <w:sz w:val="28"/>
          <w:szCs w:val="28"/>
        </w:rPr>
        <w:t xml:space="preserve"> la identificación de la medida legislativa que debe ser objeto de consulta, la identificación de los pueblos y comunidades indígenas a ser consultados, </w:t>
      </w:r>
      <w:r w:rsidR="00F921BA" w:rsidRPr="00BA5C2B">
        <w:rPr>
          <w:b/>
          <w:sz w:val="28"/>
          <w:szCs w:val="28"/>
        </w:rPr>
        <w:t xml:space="preserve">así como la determinación de la forma de </w:t>
      </w:r>
      <w:r w:rsidR="00F921BA" w:rsidRPr="00BA5C2B">
        <w:rPr>
          <w:b/>
          <w:sz w:val="28"/>
          <w:szCs w:val="28"/>
        </w:rPr>
        <w:lastRenderedPageBreak/>
        <w:t xml:space="preserve">llevar a cabo el proceso, la forma de intervención y la formalización de acuerdos, </w:t>
      </w:r>
      <w:r w:rsidR="00F921BA" w:rsidRPr="00B5512C">
        <w:rPr>
          <w:b/>
          <w:sz w:val="28"/>
          <w:szCs w:val="28"/>
          <w:u w:val="single"/>
        </w:rPr>
        <w:t>los cuales deberán definir de común acuerdo entre autoridades gubernamentales y representantes de las comunidades indígenas</w:t>
      </w:r>
      <w:r w:rsidR="00F921BA">
        <w:rPr>
          <w:sz w:val="28"/>
          <w:szCs w:val="28"/>
        </w:rPr>
        <w:t xml:space="preserve">; </w:t>
      </w:r>
      <w:r w:rsidRPr="00F921BA">
        <w:rPr>
          <w:b/>
          <w:bCs/>
          <w:sz w:val="28"/>
          <w:szCs w:val="28"/>
        </w:rPr>
        <w:t xml:space="preserve">lo </w:t>
      </w:r>
      <w:r w:rsidR="00F65E5D">
        <w:rPr>
          <w:b/>
          <w:bCs/>
          <w:sz w:val="28"/>
          <w:szCs w:val="28"/>
        </w:rPr>
        <w:t>que</w:t>
      </w:r>
      <w:r w:rsidRPr="00F921BA">
        <w:rPr>
          <w:b/>
          <w:bCs/>
          <w:sz w:val="28"/>
          <w:szCs w:val="28"/>
        </w:rPr>
        <w:t xml:space="preserve"> llevaría a la declaratoria de invalidez</w:t>
      </w:r>
      <w:r>
        <w:rPr>
          <w:sz w:val="28"/>
          <w:szCs w:val="28"/>
        </w:rPr>
        <w:t xml:space="preserve"> de la norma de manera innecesaria, con la consecuente afectación a los propios derechos e intereses indígenas.</w:t>
      </w:r>
    </w:p>
    <w:p w14:paraId="01BDFFD4" w14:textId="710C1DD0" w:rsidR="006B7332" w:rsidRPr="00796C37" w:rsidRDefault="006B7332" w:rsidP="00796C37">
      <w:pPr>
        <w:pStyle w:val="corte4fondo"/>
        <w:rPr>
          <w:sz w:val="28"/>
          <w:szCs w:val="28"/>
        </w:rPr>
      </w:pPr>
    </w:p>
    <w:p w14:paraId="58B6A32A" w14:textId="30916918" w:rsidR="00796C37" w:rsidRPr="00796C37" w:rsidRDefault="00796C37" w:rsidP="00796C37">
      <w:pPr>
        <w:spacing w:line="360" w:lineRule="auto"/>
        <w:ind w:firstLine="708"/>
        <w:jc w:val="both"/>
        <w:rPr>
          <w:rFonts w:ascii="Arial" w:hAnsi="Arial" w:cs="Arial"/>
          <w:sz w:val="28"/>
          <w:szCs w:val="28"/>
        </w:rPr>
      </w:pPr>
      <w:r w:rsidRPr="00796C37">
        <w:rPr>
          <w:rFonts w:ascii="Arial" w:hAnsi="Arial" w:cs="Arial"/>
          <w:bCs/>
          <w:sz w:val="28"/>
          <w:szCs w:val="28"/>
        </w:rPr>
        <w:t>De ahí</w:t>
      </w:r>
      <w:r w:rsidR="006B7332" w:rsidRPr="00796C37">
        <w:rPr>
          <w:rFonts w:ascii="Arial" w:hAnsi="Arial" w:cs="Arial"/>
          <w:bCs/>
          <w:sz w:val="28"/>
          <w:szCs w:val="28"/>
        </w:rPr>
        <w:t>,</w:t>
      </w:r>
      <w:r w:rsidRPr="00796C37">
        <w:rPr>
          <w:rFonts w:ascii="Arial" w:hAnsi="Arial" w:cs="Arial"/>
          <w:bCs/>
          <w:sz w:val="28"/>
          <w:szCs w:val="28"/>
        </w:rPr>
        <w:t xml:space="preserve"> que</w:t>
      </w:r>
      <w:r w:rsidR="006B7332" w:rsidRPr="00796C37">
        <w:rPr>
          <w:rFonts w:ascii="Arial" w:hAnsi="Arial" w:cs="Arial"/>
          <w:bCs/>
          <w:sz w:val="28"/>
          <w:szCs w:val="28"/>
        </w:rPr>
        <w:t xml:space="preserve"> la fase preconsultiva que se propone</w:t>
      </w:r>
      <w:r w:rsidR="00B5512C">
        <w:rPr>
          <w:rFonts w:ascii="Arial" w:hAnsi="Arial" w:cs="Arial"/>
          <w:bCs/>
          <w:sz w:val="28"/>
          <w:szCs w:val="28"/>
        </w:rPr>
        <w:t>, específicamente en lo relativo</w:t>
      </w:r>
      <w:r w:rsidR="00D41230">
        <w:rPr>
          <w:rFonts w:ascii="Arial" w:hAnsi="Arial" w:cs="Arial"/>
          <w:bCs/>
          <w:sz w:val="28"/>
          <w:szCs w:val="28"/>
        </w:rPr>
        <w:t xml:space="preserve"> a</w:t>
      </w:r>
      <w:r w:rsidR="00B5512C">
        <w:rPr>
          <w:rFonts w:ascii="Arial" w:hAnsi="Arial" w:cs="Arial"/>
          <w:bCs/>
          <w:sz w:val="28"/>
          <w:szCs w:val="28"/>
        </w:rPr>
        <w:t xml:space="preserve"> que </w:t>
      </w:r>
      <w:r w:rsidR="00B5512C" w:rsidRPr="00B5512C">
        <w:rPr>
          <w:rFonts w:ascii="Arial" w:hAnsi="Arial" w:cs="Arial"/>
          <w:bCs/>
          <w:sz w:val="28"/>
          <w:szCs w:val="28"/>
        </w:rPr>
        <w:t>la determinación de la forma de llevar a cabo el proceso, la forma de intervención y la formalización de acuerdos</w:t>
      </w:r>
      <w:r w:rsidR="00B5512C">
        <w:rPr>
          <w:rFonts w:ascii="Arial" w:hAnsi="Arial" w:cs="Arial"/>
          <w:bCs/>
          <w:sz w:val="28"/>
          <w:szCs w:val="28"/>
        </w:rPr>
        <w:t xml:space="preserve"> </w:t>
      </w:r>
      <w:r w:rsidR="00B5512C" w:rsidRPr="00B5512C">
        <w:rPr>
          <w:rFonts w:ascii="Arial" w:hAnsi="Arial" w:cs="Arial"/>
          <w:b/>
          <w:bCs/>
          <w:sz w:val="28"/>
          <w:szCs w:val="28"/>
        </w:rPr>
        <w:t>se deberán definir de común acuerdo entre autoridades gubernamentales y representantes de las comunidades indígenas</w:t>
      </w:r>
      <w:r w:rsidR="00B5512C">
        <w:rPr>
          <w:rFonts w:ascii="Arial" w:hAnsi="Arial" w:cs="Arial"/>
          <w:bCs/>
          <w:sz w:val="28"/>
          <w:szCs w:val="28"/>
        </w:rPr>
        <w:t>,</w:t>
      </w:r>
      <w:r w:rsidR="006B7332" w:rsidRPr="00796C37">
        <w:rPr>
          <w:rFonts w:ascii="Arial" w:hAnsi="Arial" w:cs="Arial"/>
          <w:bCs/>
          <w:sz w:val="28"/>
          <w:szCs w:val="28"/>
        </w:rPr>
        <w:t xml:space="preserve"> podría ser un obstáculo para la consecución del objetivo de</w:t>
      </w:r>
      <w:r w:rsidR="006B7332" w:rsidRPr="00796C37">
        <w:rPr>
          <w:rFonts w:ascii="Arial" w:hAnsi="Arial" w:cs="Arial"/>
          <w:sz w:val="28"/>
          <w:szCs w:val="28"/>
        </w:rPr>
        <w:t xml:space="preserve"> realizar consultas en términos de lo previsto en el Convenio 169 de la </w:t>
      </w:r>
      <w:r w:rsidR="00B106CA">
        <w:rPr>
          <w:rFonts w:ascii="Arial" w:hAnsi="Arial" w:cs="Arial"/>
          <w:sz w:val="28"/>
          <w:szCs w:val="28"/>
        </w:rPr>
        <w:t>Organización Internacional del Trabajo,</w:t>
      </w:r>
      <w:r w:rsidR="006B7332" w:rsidRPr="00796C37">
        <w:rPr>
          <w:rFonts w:ascii="Arial" w:hAnsi="Arial" w:cs="Arial"/>
          <w:sz w:val="28"/>
          <w:szCs w:val="28"/>
        </w:rPr>
        <w:t xml:space="preserve"> sobre Pueblos Indígenas y Tribales y la Declaración Americana sobre los Derechos de los Pueblos Indígenas.</w:t>
      </w:r>
      <w:r w:rsidRPr="00796C37">
        <w:rPr>
          <w:rFonts w:ascii="Arial" w:hAnsi="Arial" w:cs="Arial"/>
          <w:sz w:val="28"/>
          <w:szCs w:val="28"/>
        </w:rPr>
        <w:t xml:space="preserve"> Lo anterior, pues al</w:t>
      </w:r>
      <w:r w:rsidR="006B7332" w:rsidRPr="00796C37">
        <w:rPr>
          <w:rFonts w:ascii="Arial" w:hAnsi="Arial" w:cs="Arial"/>
          <w:sz w:val="28"/>
          <w:szCs w:val="28"/>
        </w:rPr>
        <w:t xml:space="preserve"> </w:t>
      </w:r>
      <w:r w:rsidRPr="00796C37">
        <w:rPr>
          <w:rFonts w:ascii="Arial" w:hAnsi="Arial" w:cs="Arial"/>
          <w:sz w:val="28"/>
          <w:szCs w:val="28"/>
        </w:rPr>
        <w:t xml:space="preserve">establecer cuestiones tan precisas respecto de cómo se debe llevar a cabo la consulta, </w:t>
      </w:r>
      <w:r w:rsidRPr="00796C37">
        <w:rPr>
          <w:rFonts w:ascii="Arial" w:hAnsi="Arial" w:cs="Arial"/>
          <w:b/>
          <w:bCs/>
          <w:sz w:val="28"/>
          <w:szCs w:val="28"/>
        </w:rPr>
        <w:t>crea un estándar demasiado elevado y poco fácil de cumplir</w:t>
      </w:r>
      <w:r w:rsidRPr="00796C37">
        <w:rPr>
          <w:rFonts w:ascii="Arial" w:hAnsi="Arial" w:cs="Arial"/>
          <w:sz w:val="28"/>
          <w:szCs w:val="28"/>
        </w:rPr>
        <w:t xml:space="preserve">. </w:t>
      </w:r>
    </w:p>
    <w:p w14:paraId="2ED0660E" w14:textId="0BE7FCCF" w:rsidR="00C0787C" w:rsidRDefault="00C0787C" w:rsidP="00796C37">
      <w:pPr>
        <w:pStyle w:val="corte4fondo"/>
        <w:ind w:firstLine="0"/>
        <w:rPr>
          <w:sz w:val="28"/>
          <w:szCs w:val="28"/>
        </w:rPr>
      </w:pPr>
    </w:p>
    <w:p w14:paraId="5DDA3CE2" w14:textId="75C60F8A" w:rsidR="00C0787C" w:rsidRDefault="00C0787C" w:rsidP="0039121E">
      <w:pPr>
        <w:pStyle w:val="corte4fondo"/>
        <w:rPr>
          <w:sz w:val="28"/>
          <w:szCs w:val="28"/>
        </w:rPr>
      </w:pPr>
      <w:r>
        <w:rPr>
          <w:sz w:val="28"/>
          <w:szCs w:val="28"/>
        </w:rPr>
        <w:t>Similares consideraciones expresé al formular voto</w:t>
      </w:r>
      <w:r w:rsidR="008F6252">
        <w:rPr>
          <w:sz w:val="28"/>
          <w:szCs w:val="28"/>
        </w:rPr>
        <w:t>s</w:t>
      </w:r>
      <w:r>
        <w:rPr>
          <w:sz w:val="28"/>
          <w:szCs w:val="28"/>
        </w:rPr>
        <w:t xml:space="preserve"> concurrente</w:t>
      </w:r>
      <w:r w:rsidR="008F6252">
        <w:rPr>
          <w:sz w:val="28"/>
          <w:szCs w:val="28"/>
        </w:rPr>
        <w:t>s</w:t>
      </w:r>
      <w:r>
        <w:rPr>
          <w:sz w:val="28"/>
          <w:szCs w:val="28"/>
        </w:rPr>
        <w:t xml:space="preserve"> en la</w:t>
      </w:r>
      <w:r w:rsidR="008F6252">
        <w:rPr>
          <w:sz w:val="28"/>
          <w:szCs w:val="28"/>
        </w:rPr>
        <w:t>s</w:t>
      </w:r>
      <w:r>
        <w:rPr>
          <w:sz w:val="28"/>
          <w:szCs w:val="28"/>
        </w:rPr>
        <w:t xml:space="preserve"> </w:t>
      </w:r>
      <w:r w:rsidRPr="00F65E5D">
        <w:rPr>
          <w:sz w:val="28"/>
          <w:szCs w:val="28"/>
        </w:rPr>
        <w:t>acci</w:t>
      </w:r>
      <w:r w:rsidR="008F6252" w:rsidRPr="00F65E5D">
        <w:rPr>
          <w:sz w:val="28"/>
          <w:szCs w:val="28"/>
        </w:rPr>
        <w:t>o</w:t>
      </w:r>
      <w:r w:rsidRPr="00F65E5D">
        <w:rPr>
          <w:sz w:val="28"/>
          <w:szCs w:val="28"/>
        </w:rPr>
        <w:t>n</w:t>
      </w:r>
      <w:r w:rsidR="008F6252" w:rsidRPr="00F65E5D">
        <w:rPr>
          <w:sz w:val="28"/>
          <w:szCs w:val="28"/>
        </w:rPr>
        <w:t>es</w:t>
      </w:r>
      <w:r w:rsidRPr="00F65E5D">
        <w:rPr>
          <w:sz w:val="28"/>
          <w:szCs w:val="28"/>
        </w:rPr>
        <w:t xml:space="preserve"> de inconstitucionalidad</w:t>
      </w:r>
      <w:r w:rsidR="00A17FF9">
        <w:rPr>
          <w:sz w:val="28"/>
          <w:szCs w:val="28"/>
        </w:rPr>
        <w:t xml:space="preserve"> </w:t>
      </w:r>
      <w:r w:rsidRPr="00F65E5D">
        <w:rPr>
          <w:sz w:val="28"/>
          <w:szCs w:val="28"/>
        </w:rPr>
        <w:t>81/2018</w:t>
      </w:r>
      <w:r w:rsidR="00A17FF9">
        <w:rPr>
          <w:sz w:val="28"/>
          <w:szCs w:val="28"/>
        </w:rPr>
        <w:t xml:space="preserve">, </w:t>
      </w:r>
      <w:r w:rsidR="008F6252" w:rsidRPr="00F65E5D">
        <w:rPr>
          <w:sz w:val="28"/>
          <w:szCs w:val="28"/>
        </w:rPr>
        <w:t>123/2020</w:t>
      </w:r>
      <w:r w:rsidR="00A17FF9">
        <w:rPr>
          <w:sz w:val="28"/>
          <w:szCs w:val="28"/>
        </w:rPr>
        <w:t xml:space="preserve"> y 78/2018</w:t>
      </w:r>
      <w:r w:rsidR="008F6252" w:rsidRPr="00F65E5D">
        <w:rPr>
          <w:sz w:val="28"/>
          <w:szCs w:val="28"/>
        </w:rPr>
        <w:t xml:space="preserve"> </w:t>
      </w:r>
      <w:r w:rsidR="00F65E5D" w:rsidRPr="00F65E5D">
        <w:rPr>
          <w:sz w:val="28"/>
          <w:szCs w:val="28"/>
        </w:rPr>
        <w:t>resueltas por este Tribunal Pleno en sesi</w:t>
      </w:r>
      <w:r w:rsidR="00F65E5D">
        <w:rPr>
          <w:sz w:val="28"/>
          <w:szCs w:val="28"/>
        </w:rPr>
        <w:t>ones</w:t>
      </w:r>
      <w:r w:rsidR="00F65E5D" w:rsidRPr="00F65E5D">
        <w:rPr>
          <w:sz w:val="28"/>
          <w:szCs w:val="28"/>
        </w:rPr>
        <w:t xml:space="preserve"> virtual</w:t>
      </w:r>
      <w:r w:rsidR="00F65E5D">
        <w:rPr>
          <w:sz w:val="28"/>
          <w:szCs w:val="28"/>
        </w:rPr>
        <w:t>es</w:t>
      </w:r>
      <w:r w:rsidR="00F65E5D" w:rsidRPr="00F65E5D">
        <w:rPr>
          <w:sz w:val="28"/>
          <w:szCs w:val="28"/>
        </w:rPr>
        <w:t xml:space="preserve"> de</w:t>
      </w:r>
      <w:r w:rsidR="00F96123">
        <w:rPr>
          <w:sz w:val="28"/>
          <w:szCs w:val="28"/>
        </w:rPr>
        <w:t>l</w:t>
      </w:r>
      <w:r w:rsidR="00A17FF9">
        <w:rPr>
          <w:sz w:val="28"/>
          <w:szCs w:val="28"/>
        </w:rPr>
        <w:t xml:space="preserve"> </w:t>
      </w:r>
      <w:r w:rsidR="00F65E5D" w:rsidRPr="00F65E5D">
        <w:rPr>
          <w:sz w:val="28"/>
          <w:szCs w:val="28"/>
        </w:rPr>
        <w:t>veinte de abril de dos mil veinte</w:t>
      </w:r>
      <w:r w:rsidR="00F96123">
        <w:rPr>
          <w:sz w:val="28"/>
          <w:szCs w:val="28"/>
        </w:rPr>
        <w:t xml:space="preserve"> y</w:t>
      </w:r>
      <w:r w:rsidR="00F65E5D" w:rsidRPr="00F65E5D">
        <w:rPr>
          <w:sz w:val="28"/>
          <w:szCs w:val="28"/>
        </w:rPr>
        <w:t xml:space="preserve"> </w:t>
      </w:r>
      <w:r w:rsidR="00A17FF9" w:rsidRPr="00F65E5D">
        <w:rPr>
          <w:sz w:val="28"/>
          <w:szCs w:val="28"/>
        </w:rPr>
        <w:t xml:space="preserve">veintitrés de febrero </w:t>
      </w:r>
      <w:r w:rsidR="00A17FF9">
        <w:rPr>
          <w:sz w:val="28"/>
          <w:szCs w:val="28"/>
        </w:rPr>
        <w:t>y dieciocho de mayo</w:t>
      </w:r>
      <w:r w:rsidR="00F65E5D">
        <w:rPr>
          <w:sz w:val="28"/>
          <w:szCs w:val="28"/>
        </w:rPr>
        <w:t xml:space="preserve"> </w:t>
      </w:r>
      <w:r w:rsidR="008F6252" w:rsidRPr="00F65E5D">
        <w:rPr>
          <w:sz w:val="28"/>
          <w:szCs w:val="28"/>
        </w:rPr>
        <w:t>de dos mil veint</w:t>
      </w:r>
      <w:r w:rsidR="00F65E5D">
        <w:rPr>
          <w:sz w:val="28"/>
          <w:szCs w:val="28"/>
        </w:rPr>
        <w:t>iuno</w:t>
      </w:r>
      <w:r w:rsidR="008F6252" w:rsidRPr="00F65E5D">
        <w:rPr>
          <w:sz w:val="28"/>
          <w:szCs w:val="28"/>
        </w:rPr>
        <w:t>.</w:t>
      </w:r>
      <w:r w:rsidR="008F6252">
        <w:rPr>
          <w:sz w:val="28"/>
          <w:szCs w:val="28"/>
        </w:rPr>
        <w:t xml:space="preserve"> </w:t>
      </w:r>
    </w:p>
    <w:p w14:paraId="3D78CA0A" w14:textId="77777777" w:rsidR="0039121E" w:rsidRPr="007C5E70" w:rsidRDefault="0039121E" w:rsidP="0039121E">
      <w:pPr>
        <w:pStyle w:val="corte4fondo"/>
        <w:rPr>
          <w:sz w:val="28"/>
          <w:szCs w:val="28"/>
        </w:rPr>
      </w:pPr>
    </w:p>
    <w:p w14:paraId="5DEBBEEB" w14:textId="77777777" w:rsidR="0039121E" w:rsidRPr="007C5E70" w:rsidRDefault="0039121E" w:rsidP="0039121E">
      <w:pPr>
        <w:pStyle w:val="corte4fondo"/>
        <w:rPr>
          <w:sz w:val="28"/>
          <w:szCs w:val="28"/>
        </w:rPr>
      </w:pPr>
      <w:r>
        <w:rPr>
          <w:sz w:val="28"/>
          <w:szCs w:val="28"/>
        </w:rPr>
        <w:lastRenderedPageBreak/>
        <w:t>Así, p</w:t>
      </w:r>
      <w:r w:rsidRPr="007C5E70">
        <w:rPr>
          <w:sz w:val="28"/>
          <w:szCs w:val="28"/>
        </w:rPr>
        <w:t>or las razones expresadas, es que comparto las determinaciones tomadas en este asunto, separándome de la consideración que se precisa en el cuerpo del presente voto.</w:t>
      </w:r>
    </w:p>
    <w:p w14:paraId="35663656" w14:textId="1DA71824" w:rsidR="00F921BA" w:rsidRDefault="00F921BA" w:rsidP="00C0787C">
      <w:pPr>
        <w:pStyle w:val="corte4fondo"/>
        <w:ind w:firstLine="0"/>
        <w:rPr>
          <w:b/>
          <w:sz w:val="28"/>
          <w:szCs w:val="28"/>
        </w:rPr>
      </w:pPr>
    </w:p>
    <w:p w14:paraId="2E55E828" w14:textId="77777777" w:rsidR="00F96123" w:rsidRDefault="00F96123" w:rsidP="00C0787C">
      <w:pPr>
        <w:pStyle w:val="corte4fondo"/>
        <w:ind w:firstLine="0"/>
        <w:rPr>
          <w:b/>
          <w:sz w:val="28"/>
          <w:szCs w:val="28"/>
        </w:rPr>
      </w:pPr>
    </w:p>
    <w:p w14:paraId="15E365B9" w14:textId="77777777" w:rsidR="0039121E" w:rsidRPr="005D63D0" w:rsidRDefault="0039121E" w:rsidP="0039121E">
      <w:pPr>
        <w:pStyle w:val="corte4fondo"/>
        <w:ind w:firstLine="0"/>
        <w:jc w:val="center"/>
        <w:rPr>
          <w:b/>
          <w:sz w:val="28"/>
          <w:szCs w:val="28"/>
        </w:rPr>
      </w:pPr>
      <w:r w:rsidRPr="005D63D0">
        <w:rPr>
          <w:b/>
          <w:sz w:val="28"/>
          <w:szCs w:val="28"/>
        </w:rPr>
        <w:t>MINISTRO</w:t>
      </w:r>
    </w:p>
    <w:p w14:paraId="15B17370" w14:textId="31152E29" w:rsidR="0039121E" w:rsidRDefault="0039121E" w:rsidP="0039121E">
      <w:pPr>
        <w:pStyle w:val="corte4fondo"/>
        <w:ind w:firstLine="0"/>
        <w:jc w:val="center"/>
        <w:rPr>
          <w:b/>
          <w:sz w:val="28"/>
          <w:szCs w:val="28"/>
        </w:rPr>
      </w:pPr>
    </w:p>
    <w:p w14:paraId="1498AA3F" w14:textId="3FC7F413" w:rsidR="00BA5C2B" w:rsidRDefault="00BA5C2B" w:rsidP="0039121E">
      <w:pPr>
        <w:pStyle w:val="corte4fondo"/>
        <w:ind w:firstLine="0"/>
        <w:jc w:val="center"/>
        <w:rPr>
          <w:b/>
          <w:sz w:val="28"/>
          <w:szCs w:val="28"/>
        </w:rPr>
      </w:pPr>
    </w:p>
    <w:p w14:paraId="5741B886" w14:textId="77777777" w:rsidR="00BA5C2B" w:rsidRPr="005D63D0" w:rsidRDefault="00BA5C2B" w:rsidP="0039121E">
      <w:pPr>
        <w:pStyle w:val="corte4fondo"/>
        <w:ind w:firstLine="0"/>
        <w:jc w:val="center"/>
        <w:rPr>
          <w:b/>
          <w:sz w:val="28"/>
          <w:szCs w:val="28"/>
        </w:rPr>
      </w:pPr>
    </w:p>
    <w:p w14:paraId="53A64077" w14:textId="25BD0BF3" w:rsidR="0039121E" w:rsidRPr="005D63D0" w:rsidRDefault="0039121E" w:rsidP="0039121E">
      <w:pPr>
        <w:pStyle w:val="corte4fondo"/>
        <w:ind w:firstLine="0"/>
        <w:jc w:val="center"/>
        <w:rPr>
          <w:b/>
          <w:sz w:val="28"/>
          <w:szCs w:val="28"/>
        </w:rPr>
      </w:pPr>
      <w:r w:rsidRPr="005D63D0">
        <w:rPr>
          <w:b/>
          <w:sz w:val="28"/>
          <w:szCs w:val="28"/>
        </w:rPr>
        <w:t>JORGE MARIO PARDO REBOLLEDO</w:t>
      </w:r>
    </w:p>
    <w:p w14:paraId="2C03F896" w14:textId="77777777" w:rsidR="0039121E" w:rsidRPr="005D63D0" w:rsidRDefault="0039121E" w:rsidP="0039121E">
      <w:pPr>
        <w:pStyle w:val="corte3centro"/>
        <w:rPr>
          <w:rFonts w:cs="Arial"/>
          <w:sz w:val="28"/>
          <w:szCs w:val="28"/>
        </w:rPr>
      </w:pPr>
    </w:p>
    <w:p w14:paraId="4BB8C0B4" w14:textId="49F75470" w:rsidR="0039121E" w:rsidRDefault="0039121E" w:rsidP="0039121E">
      <w:pPr>
        <w:pStyle w:val="corte3centro"/>
        <w:rPr>
          <w:rFonts w:cs="Arial"/>
          <w:sz w:val="28"/>
          <w:szCs w:val="28"/>
        </w:rPr>
      </w:pPr>
    </w:p>
    <w:p w14:paraId="306F3BE2" w14:textId="77777777" w:rsidR="00244C42" w:rsidRPr="005D63D0" w:rsidRDefault="00244C42" w:rsidP="0039121E">
      <w:pPr>
        <w:pStyle w:val="corte3centro"/>
        <w:rPr>
          <w:rFonts w:cs="Arial"/>
          <w:sz w:val="28"/>
          <w:szCs w:val="28"/>
        </w:rPr>
      </w:pPr>
    </w:p>
    <w:p w14:paraId="52226E2C" w14:textId="1DB909C7" w:rsidR="00F921BA" w:rsidRDefault="0039121E" w:rsidP="00F65E5D">
      <w:pPr>
        <w:pStyle w:val="corte3centro"/>
        <w:rPr>
          <w:rFonts w:cs="Arial"/>
          <w:sz w:val="28"/>
          <w:szCs w:val="28"/>
        </w:rPr>
      </w:pPr>
      <w:r w:rsidRPr="005D63D0">
        <w:rPr>
          <w:rFonts w:cs="Arial"/>
          <w:sz w:val="28"/>
          <w:szCs w:val="28"/>
        </w:rPr>
        <w:t>SECRETARIO GENERAL DE ACUERDOS</w:t>
      </w:r>
    </w:p>
    <w:p w14:paraId="5EB8DFD2" w14:textId="0F50C027" w:rsidR="00F65E5D" w:rsidRDefault="00F65E5D" w:rsidP="00F65E5D">
      <w:pPr>
        <w:pStyle w:val="corte3centro"/>
        <w:rPr>
          <w:rFonts w:cs="Arial"/>
          <w:sz w:val="28"/>
          <w:szCs w:val="28"/>
        </w:rPr>
      </w:pPr>
    </w:p>
    <w:p w14:paraId="012162F8" w14:textId="78DE61E9" w:rsidR="00BA5C2B" w:rsidRDefault="00BA5C2B" w:rsidP="00F65E5D">
      <w:pPr>
        <w:pStyle w:val="corte3centro"/>
        <w:rPr>
          <w:rFonts w:cs="Arial"/>
          <w:sz w:val="28"/>
          <w:szCs w:val="28"/>
        </w:rPr>
      </w:pPr>
    </w:p>
    <w:p w14:paraId="065F3317" w14:textId="77777777" w:rsidR="00BA5C2B" w:rsidRPr="005D63D0" w:rsidRDefault="00BA5C2B" w:rsidP="00F65E5D">
      <w:pPr>
        <w:pStyle w:val="corte3centro"/>
        <w:rPr>
          <w:rFonts w:cs="Arial"/>
          <w:sz w:val="28"/>
          <w:szCs w:val="28"/>
        </w:rPr>
      </w:pPr>
    </w:p>
    <w:p w14:paraId="63886AC0" w14:textId="21827B33" w:rsidR="0039121E" w:rsidRDefault="0039121E" w:rsidP="00C02AB2">
      <w:pPr>
        <w:spacing w:line="360" w:lineRule="auto"/>
        <w:jc w:val="center"/>
        <w:rPr>
          <w:rFonts w:ascii="Arial" w:hAnsi="Arial" w:cs="Arial"/>
          <w:b/>
          <w:sz w:val="28"/>
          <w:szCs w:val="28"/>
        </w:rPr>
      </w:pPr>
      <w:r w:rsidRPr="005D63D0">
        <w:rPr>
          <w:rFonts w:ascii="Arial" w:hAnsi="Arial" w:cs="Arial"/>
          <w:b/>
          <w:sz w:val="28"/>
          <w:szCs w:val="28"/>
        </w:rPr>
        <w:t>LIC. RAFAEL COELLO CETINA</w:t>
      </w:r>
    </w:p>
    <w:p w14:paraId="2C0F4A24" w14:textId="77777777" w:rsidR="00BA5BBB" w:rsidRDefault="00BA5BBB" w:rsidP="0039121E">
      <w:pPr>
        <w:spacing w:line="360" w:lineRule="auto"/>
        <w:rPr>
          <w:rFonts w:ascii="Arial" w:hAnsi="Arial" w:cs="Arial"/>
          <w:b/>
          <w:sz w:val="28"/>
          <w:szCs w:val="28"/>
        </w:rPr>
      </w:pPr>
    </w:p>
    <w:p w14:paraId="56744EB2" w14:textId="77777777" w:rsidR="00BA5C2B" w:rsidRDefault="00BA5C2B" w:rsidP="0039121E">
      <w:pPr>
        <w:spacing w:line="360" w:lineRule="auto"/>
        <w:rPr>
          <w:rFonts w:ascii="Arial" w:hAnsi="Arial" w:cs="Arial"/>
          <w:b/>
          <w:sz w:val="28"/>
          <w:szCs w:val="28"/>
        </w:rPr>
      </w:pPr>
    </w:p>
    <w:p w14:paraId="34A6CC6E" w14:textId="22C46DED" w:rsidR="002124B9" w:rsidRPr="00BA5C2B" w:rsidRDefault="0039121E" w:rsidP="00BA5C2B">
      <w:pPr>
        <w:spacing w:after="0" w:line="240" w:lineRule="auto"/>
        <w:jc w:val="both"/>
        <w:rPr>
          <w:rFonts w:ascii="Arial" w:hAnsi="Arial" w:cs="Arial"/>
          <w:bCs/>
          <w:sz w:val="20"/>
          <w:szCs w:val="20"/>
        </w:rPr>
      </w:pPr>
      <w:r w:rsidRPr="00BA5C2B">
        <w:rPr>
          <w:rFonts w:ascii="Arial" w:hAnsi="Arial" w:cs="Arial"/>
          <w:bCs/>
          <w:sz w:val="20"/>
          <w:szCs w:val="20"/>
        </w:rPr>
        <w:t xml:space="preserve">Esta hoja pertenece al voto concurrente formulado por el </w:t>
      </w:r>
      <w:proofErr w:type="gramStart"/>
      <w:r w:rsidR="00F96123">
        <w:rPr>
          <w:rFonts w:ascii="Arial" w:hAnsi="Arial" w:cs="Arial"/>
          <w:bCs/>
          <w:sz w:val="20"/>
          <w:szCs w:val="20"/>
        </w:rPr>
        <w:t>M</w:t>
      </w:r>
      <w:r w:rsidRPr="00BA5C2B">
        <w:rPr>
          <w:rFonts w:ascii="Arial" w:hAnsi="Arial" w:cs="Arial"/>
          <w:bCs/>
          <w:sz w:val="20"/>
          <w:szCs w:val="20"/>
        </w:rPr>
        <w:t>inistro</w:t>
      </w:r>
      <w:proofErr w:type="gramEnd"/>
      <w:r w:rsidRPr="00BA5C2B">
        <w:rPr>
          <w:rFonts w:ascii="Arial" w:hAnsi="Arial" w:cs="Arial"/>
          <w:bCs/>
          <w:sz w:val="20"/>
          <w:szCs w:val="20"/>
        </w:rPr>
        <w:t xml:space="preserve"> Jorge Mario Pardo Rebolledo en la acción de inconstitucionalidad </w:t>
      </w:r>
      <w:r w:rsidR="00310F0E">
        <w:rPr>
          <w:rFonts w:ascii="Arial" w:hAnsi="Arial" w:cs="Arial"/>
          <w:bCs/>
          <w:sz w:val="20"/>
          <w:szCs w:val="20"/>
        </w:rPr>
        <w:t>285/2020</w:t>
      </w:r>
      <w:r w:rsidRPr="00BA5C2B">
        <w:rPr>
          <w:rFonts w:ascii="Arial" w:hAnsi="Arial" w:cs="Arial"/>
          <w:bCs/>
          <w:sz w:val="20"/>
          <w:szCs w:val="20"/>
        </w:rPr>
        <w:t>.</w:t>
      </w:r>
      <w:r w:rsidR="00E71D94" w:rsidRPr="00BA5C2B">
        <w:rPr>
          <w:rFonts w:ascii="Arial" w:hAnsi="Arial" w:cs="Arial"/>
          <w:bCs/>
          <w:sz w:val="20"/>
          <w:szCs w:val="20"/>
        </w:rPr>
        <w:t xml:space="preserve"> Conste.</w:t>
      </w:r>
    </w:p>
    <w:p w14:paraId="08E4469F" w14:textId="74D1EE10" w:rsidR="001C1924" w:rsidRPr="00B5512C" w:rsidRDefault="0039121E" w:rsidP="00B5512C">
      <w:pPr>
        <w:spacing w:after="0" w:line="240" w:lineRule="auto"/>
        <w:jc w:val="both"/>
        <w:rPr>
          <w:rFonts w:ascii="Arial" w:hAnsi="Arial" w:cs="Arial"/>
          <w:i/>
          <w:sz w:val="20"/>
          <w:szCs w:val="20"/>
        </w:rPr>
      </w:pPr>
      <w:r w:rsidRPr="00B5512C">
        <w:rPr>
          <w:rFonts w:ascii="Arial" w:hAnsi="Arial" w:cs="Arial"/>
          <w:i/>
          <w:sz w:val="20"/>
          <w:szCs w:val="20"/>
        </w:rPr>
        <w:t xml:space="preserve">NIPR/ATC. </w:t>
      </w:r>
    </w:p>
    <w:sectPr w:rsidR="001C1924" w:rsidRPr="00B5512C" w:rsidSect="00A00D57">
      <w:headerReference w:type="even" r:id="rId11"/>
      <w:headerReference w:type="default" r:id="rId12"/>
      <w:footerReference w:type="even" r:id="rId13"/>
      <w:footerReference w:type="default" r:id="rId14"/>
      <w:pgSz w:w="12242" w:h="19442" w:code="10000"/>
      <w:pgMar w:top="2665" w:right="1985" w:bottom="2665"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D5E60" w14:textId="77777777" w:rsidR="00545269" w:rsidRDefault="00545269" w:rsidP="00F75BA4">
      <w:pPr>
        <w:spacing w:after="0" w:line="240" w:lineRule="auto"/>
      </w:pPr>
      <w:r>
        <w:separator/>
      </w:r>
    </w:p>
  </w:endnote>
  <w:endnote w:type="continuationSeparator" w:id="0">
    <w:p w14:paraId="113B27EF" w14:textId="77777777" w:rsidR="00545269" w:rsidRDefault="00545269" w:rsidP="00F7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4"/>
        <w:szCs w:val="24"/>
      </w:rPr>
      <w:id w:val="2090494"/>
      <w:docPartObj>
        <w:docPartGallery w:val="Page Numbers (Bottom of Page)"/>
        <w:docPartUnique/>
      </w:docPartObj>
    </w:sdtPr>
    <w:sdtContent>
      <w:p w14:paraId="5B86EFB0" w14:textId="77777777" w:rsidR="00B33944" w:rsidRPr="00B33944" w:rsidRDefault="00B33944">
        <w:pPr>
          <w:pStyle w:val="Piedepgina"/>
          <w:rPr>
            <w:rFonts w:ascii="Arial" w:hAnsi="Arial" w:cs="Arial"/>
            <w:b/>
            <w:sz w:val="24"/>
            <w:szCs w:val="24"/>
          </w:rPr>
        </w:pPr>
        <w:r w:rsidRPr="00B33944">
          <w:rPr>
            <w:rFonts w:ascii="Arial" w:hAnsi="Arial" w:cs="Arial"/>
            <w:b/>
            <w:sz w:val="24"/>
            <w:szCs w:val="24"/>
          </w:rPr>
          <w:fldChar w:fldCharType="begin"/>
        </w:r>
        <w:r w:rsidRPr="00B33944">
          <w:rPr>
            <w:rFonts w:ascii="Arial" w:hAnsi="Arial" w:cs="Arial"/>
            <w:b/>
            <w:sz w:val="24"/>
            <w:szCs w:val="24"/>
          </w:rPr>
          <w:instrText>PAGE   \* MERGEFORMAT</w:instrText>
        </w:r>
        <w:r w:rsidRPr="00B33944">
          <w:rPr>
            <w:rFonts w:ascii="Arial" w:hAnsi="Arial" w:cs="Arial"/>
            <w:b/>
            <w:sz w:val="24"/>
            <w:szCs w:val="24"/>
          </w:rPr>
          <w:fldChar w:fldCharType="separate"/>
        </w:r>
        <w:r w:rsidR="005C3D57" w:rsidRPr="005C3D57">
          <w:rPr>
            <w:rFonts w:ascii="Arial" w:hAnsi="Arial" w:cs="Arial"/>
            <w:b/>
            <w:noProof/>
            <w:sz w:val="24"/>
            <w:szCs w:val="24"/>
            <w:lang w:val="es-ES"/>
          </w:rPr>
          <w:t>4</w:t>
        </w:r>
        <w:r w:rsidRPr="00B33944">
          <w:rPr>
            <w:rFonts w:ascii="Arial" w:hAnsi="Arial" w:cs="Arial"/>
            <w:b/>
            <w:sz w:val="24"/>
            <w:szCs w:val="24"/>
          </w:rPr>
          <w:fldChar w:fldCharType="end"/>
        </w:r>
      </w:p>
    </w:sdtContent>
  </w:sdt>
  <w:p w14:paraId="62A62101" w14:textId="77777777" w:rsidR="00B33944" w:rsidRPr="00B33944" w:rsidRDefault="00B33944">
    <w:pPr>
      <w:pStyle w:val="Piedepgina"/>
      <w:rPr>
        <w:rFonts w:ascii="Arial" w:hAnsi="Arial" w:cs="Arial"/>
        <w:b/>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4"/>
        <w:szCs w:val="24"/>
      </w:rPr>
      <w:id w:val="1503009489"/>
      <w:docPartObj>
        <w:docPartGallery w:val="Page Numbers (Bottom of Page)"/>
        <w:docPartUnique/>
      </w:docPartObj>
    </w:sdtPr>
    <w:sdtContent>
      <w:p w14:paraId="1B602E9A" w14:textId="77777777" w:rsidR="00B33944" w:rsidRPr="00B33944" w:rsidRDefault="00B33944">
        <w:pPr>
          <w:pStyle w:val="Piedepgina"/>
          <w:jc w:val="right"/>
          <w:rPr>
            <w:rFonts w:ascii="Arial" w:hAnsi="Arial" w:cs="Arial"/>
            <w:b/>
            <w:sz w:val="24"/>
            <w:szCs w:val="24"/>
          </w:rPr>
        </w:pPr>
        <w:r w:rsidRPr="00B33944">
          <w:rPr>
            <w:rFonts w:ascii="Arial" w:hAnsi="Arial" w:cs="Arial"/>
            <w:b/>
            <w:sz w:val="24"/>
            <w:szCs w:val="24"/>
          </w:rPr>
          <w:fldChar w:fldCharType="begin"/>
        </w:r>
        <w:r w:rsidRPr="00B33944">
          <w:rPr>
            <w:rFonts w:ascii="Arial" w:hAnsi="Arial" w:cs="Arial"/>
            <w:b/>
            <w:sz w:val="24"/>
            <w:szCs w:val="24"/>
          </w:rPr>
          <w:instrText>PAGE   \* MERGEFORMAT</w:instrText>
        </w:r>
        <w:r w:rsidRPr="00B33944">
          <w:rPr>
            <w:rFonts w:ascii="Arial" w:hAnsi="Arial" w:cs="Arial"/>
            <w:b/>
            <w:sz w:val="24"/>
            <w:szCs w:val="24"/>
          </w:rPr>
          <w:fldChar w:fldCharType="separate"/>
        </w:r>
        <w:r w:rsidR="005C3D57" w:rsidRPr="005C3D57">
          <w:rPr>
            <w:rFonts w:ascii="Arial" w:hAnsi="Arial" w:cs="Arial"/>
            <w:b/>
            <w:noProof/>
            <w:sz w:val="24"/>
            <w:szCs w:val="24"/>
            <w:lang w:val="es-ES"/>
          </w:rPr>
          <w:t>5</w:t>
        </w:r>
        <w:r w:rsidRPr="00B33944">
          <w:rPr>
            <w:rFonts w:ascii="Arial" w:hAnsi="Arial" w:cs="Arial"/>
            <w:b/>
            <w:sz w:val="24"/>
            <w:szCs w:val="24"/>
          </w:rPr>
          <w:fldChar w:fldCharType="end"/>
        </w:r>
      </w:p>
    </w:sdtContent>
  </w:sdt>
  <w:p w14:paraId="53E88A3C" w14:textId="77777777" w:rsidR="00B33944" w:rsidRDefault="00B339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A59A" w14:textId="77777777" w:rsidR="00545269" w:rsidRDefault="00545269" w:rsidP="00F75BA4">
      <w:pPr>
        <w:spacing w:after="0" w:line="240" w:lineRule="auto"/>
      </w:pPr>
      <w:r>
        <w:separator/>
      </w:r>
    </w:p>
  </w:footnote>
  <w:footnote w:type="continuationSeparator" w:id="0">
    <w:p w14:paraId="2E9241BE" w14:textId="77777777" w:rsidR="00545269" w:rsidRDefault="00545269" w:rsidP="00F75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5015" w14:textId="0B033E14" w:rsidR="00B33944" w:rsidRPr="00B33944" w:rsidRDefault="0059670F" w:rsidP="0077221A">
    <w:pPr>
      <w:pStyle w:val="Encabezado"/>
      <w:ind w:right="3310"/>
      <w:jc w:val="both"/>
      <w:rPr>
        <w:rFonts w:ascii="Arial" w:hAnsi="Arial" w:cs="Arial"/>
        <w:b/>
        <w:sz w:val="24"/>
      </w:rPr>
    </w:pPr>
    <w:r>
      <w:rPr>
        <w:rFonts w:ascii="Arial" w:hAnsi="Arial" w:cs="Arial"/>
        <w:b/>
        <w:sz w:val="24"/>
      </w:rPr>
      <w:t xml:space="preserve">VOTO </w:t>
    </w:r>
    <w:r w:rsidR="00A77987">
      <w:rPr>
        <w:rFonts w:ascii="Arial" w:hAnsi="Arial" w:cs="Arial"/>
        <w:b/>
        <w:sz w:val="24"/>
      </w:rPr>
      <w:t>CONCURRENTE</w:t>
    </w:r>
    <w:r>
      <w:rPr>
        <w:rFonts w:ascii="Arial" w:hAnsi="Arial" w:cs="Arial"/>
        <w:b/>
        <w:sz w:val="24"/>
      </w:rPr>
      <w:t xml:space="preserve"> EN LA </w:t>
    </w:r>
    <w:r w:rsidR="00B33944" w:rsidRPr="00B33944">
      <w:rPr>
        <w:rFonts w:ascii="Arial" w:hAnsi="Arial" w:cs="Arial"/>
        <w:b/>
        <w:sz w:val="24"/>
      </w:rPr>
      <w:t xml:space="preserve">ACCIÓN DE INCONSTITUCIONALIDAD </w:t>
    </w:r>
    <w:r w:rsidR="0067444C">
      <w:rPr>
        <w:rFonts w:ascii="Arial" w:hAnsi="Arial" w:cs="Arial"/>
        <w:b/>
        <w:sz w:val="24"/>
      </w:rPr>
      <w:t>285/2020</w:t>
    </w:r>
    <w:r w:rsidR="0077221A">
      <w:rPr>
        <w:rFonts w:ascii="Arial" w:hAnsi="Arial" w:cs="Arial"/>
        <w:b/>
        <w:sz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4D9A" w14:textId="4F406A59" w:rsidR="00B33944" w:rsidRPr="00B33944" w:rsidRDefault="0059670F" w:rsidP="0077221A">
    <w:pPr>
      <w:pStyle w:val="Encabezado"/>
      <w:ind w:left="3402"/>
      <w:jc w:val="both"/>
      <w:rPr>
        <w:rFonts w:ascii="Arial" w:hAnsi="Arial" w:cs="Arial"/>
        <w:b/>
        <w:sz w:val="24"/>
        <w:szCs w:val="24"/>
      </w:rPr>
    </w:pPr>
    <w:r>
      <w:rPr>
        <w:noProof/>
        <w:lang w:eastAsia="es-MX"/>
      </w:rPr>
      <mc:AlternateContent>
        <mc:Choice Requires="wps">
          <w:drawing>
            <wp:anchor distT="0" distB="0" distL="114300" distR="114300" simplePos="0" relativeHeight="251661312" behindDoc="1" locked="0" layoutInCell="1" allowOverlap="1" wp14:anchorId="3FB1A162" wp14:editId="1C8903F8">
              <wp:simplePos x="0" y="0"/>
              <wp:positionH relativeFrom="column">
                <wp:posOffset>-460319</wp:posOffset>
              </wp:positionH>
              <wp:positionV relativeFrom="paragraph">
                <wp:posOffset>317141</wp:posOffset>
              </wp:positionV>
              <wp:extent cx="1885315" cy="2004695"/>
              <wp:effectExtent l="0" t="0" r="635" b="0"/>
              <wp:wrapTight wrapText="bothSides">
                <wp:wrapPolygon edited="0">
                  <wp:start x="0" y="0"/>
                  <wp:lineTo x="0" y="21347"/>
                  <wp:lineTo x="21389" y="21347"/>
                  <wp:lineTo x="21389" y="0"/>
                  <wp:lineTo x="0" y="0"/>
                </wp:wrapPolygon>
              </wp:wrapTight>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200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8937B" id="Rectangle 4" o:spid="_x0000_s1026" style="position:absolute;margin-left:-36.25pt;margin-top:24.95pt;width:148.45pt;height:15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" stroked="f">
              <w10:wrap type="tight"/>
            </v:rect>
          </w:pict>
        </mc:Fallback>
      </mc:AlternateContent>
    </w:r>
    <w:r>
      <w:rPr>
        <w:rFonts w:ascii="Arial" w:hAnsi="Arial" w:cs="Arial"/>
        <w:b/>
        <w:sz w:val="24"/>
      </w:rPr>
      <w:tab/>
    </w:r>
    <w:r>
      <w:rPr>
        <w:noProof/>
        <w:lang w:eastAsia="es-MX"/>
      </w:rPr>
      <mc:AlternateContent>
        <mc:Choice Requires="wps">
          <w:drawing>
            <wp:anchor distT="0" distB="0" distL="114300" distR="114300" simplePos="0" relativeHeight="251659264" behindDoc="0" locked="0" layoutInCell="1" allowOverlap="1" wp14:anchorId="4F6A12FD" wp14:editId="33676235">
              <wp:simplePos x="0" y="0"/>
              <wp:positionH relativeFrom="column">
                <wp:posOffset>-556591</wp:posOffset>
              </wp:positionH>
              <wp:positionV relativeFrom="paragraph">
                <wp:posOffset>158391</wp:posOffset>
              </wp:positionV>
              <wp:extent cx="1885315" cy="2004695"/>
              <wp:effectExtent l="0" t="0" r="63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200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A989A08" id="Rectangle 4" o:spid="_x0000_s1026" style="position:absolute;margin-left:-43.85pt;margin-top:12.45pt;width:148.45pt;height:15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" stroked="f"/>
          </w:pict>
        </mc:Fallback>
      </mc:AlternateContent>
    </w:r>
    <w:r>
      <w:rPr>
        <w:rFonts w:ascii="Arial" w:hAnsi="Arial" w:cs="Arial"/>
        <w:b/>
        <w:sz w:val="24"/>
      </w:rPr>
      <w:t xml:space="preserve">VOTO </w:t>
    </w:r>
    <w:r w:rsidR="00A77987">
      <w:rPr>
        <w:rFonts w:ascii="Arial" w:hAnsi="Arial" w:cs="Arial"/>
        <w:b/>
        <w:sz w:val="24"/>
      </w:rPr>
      <w:t xml:space="preserve">CONCURRENTE </w:t>
    </w:r>
    <w:r>
      <w:rPr>
        <w:rFonts w:ascii="Arial" w:hAnsi="Arial" w:cs="Arial"/>
        <w:b/>
        <w:sz w:val="24"/>
      </w:rPr>
      <w:t xml:space="preserve">EN LA </w:t>
    </w:r>
    <w:r w:rsidR="00B33944" w:rsidRPr="00B33944">
      <w:rPr>
        <w:rFonts w:ascii="Arial" w:hAnsi="Arial" w:cs="Arial"/>
        <w:b/>
        <w:sz w:val="24"/>
      </w:rPr>
      <w:t xml:space="preserve">ACCIÓN DE INCONSTITUCIONALIDAD </w:t>
    </w:r>
    <w:r w:rsidR="0067444C">
      <w:rPr>
        <w:rFonts w:ascii="Arial" w:hAnsi="Arial" w:cs="Arial"/>
        <w:b/>
        <w:sz w:val="24"/>
      </w:rPr>
      <w:t>285/2020</w:t>
    </w:r>
    <w:r w:rsidR="0077221A" w:rsidRPr="0077221A">
      <w:rPr>
        <w:rFonts w:ascii="Arial" w:hAnsi="Arial" w:cs="Arial"/>
        <w:b/>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A4B7A"/>
    <w:multiLevelType w:val="hybridMultilevel"/>
    <w:tmpl w:val="721C26C4"/>
    <w:lvl w:ilvl="0" w:tplc="874014F2">
      <w:start w:val="1"/>
      <w:numFmt w:val="decimal"/>
      <w:pStyle w:val="Estilo1"/>
      <w:lvlText w:val="%1."/>
      <w:lvlJc w:val="left"/>
      <w:pPr>
        <w:ind w:left="360" w:hanging="360"/>
      </w:pPr>
      <w:rPr>
        <w:rFonts w:hint="default"/>
        <w:b w:val="0"/>
        <w:i w:val="0"/>
        <w:sz w:val="28"/>
        <w:szCs w:val="28"/>
      </w:rPr>
    </w:lvl>
    <w:lvl w:ilvl="1" w:tplc="080A0019">
      <w:start w:val="1"/>
      <w:numFmt w:val="lowerLetter"/>
      <w:lvlText w:val="%2."/>
      <w:lvlJc w:val="left"/>
      <w:pPr>
        <w:ind w:left="1080" w:hanging="360"/>
      </w:pPr>
      <w:rPr>
        <w:rFonts w:hint="default"/>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4D090C81"/>
    <w:multiLevelType w:val="hybridMultilevel"/>
    <w:tmpl w:val="33E08422"/>
    <w:lvl w:ilvl="0" w:tplc="080A000F">
      <w:start w:val="1"/>
      <w:numFmt w:val="decimal"/>
      <w:lvlText w:val="%1."/>
      <w:lvlJc w:val="left"/>
      <w:pPr>
        <w:ind w:left="19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967ECC74">
      <w:start w:val="1"/>
      <w:numFmt w:val="lowerLetter"/>
      <w:lvlText w:val="%4)"/>
      <w:lvlJc w:val="left"/>
      <w:pPr>
        <w:ind w:left="3479" w:hanging="360"/>
      </w:pPr>
      <w:rPr>
        <w:b/>
        <w:bCs/>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CEA66C5"/>
    <w:multiLevelType w:val="hybridMultilevel"/>
    <w:tmpl w:val="3AFE7D62"/>
    <w:lvl w:ilvl="0" w:tplc="B8D2EAF2">
      <w:start w:val="1"/>
      <w:numFmt w:val="decimal"/>
      <w:lvlText w:val="%1."/>
      <w:lvlJc w:val="left"/>
      <w:pPr>
        <w:ind w:left="720" w:hanging="360"/>
      </w:pPr>
      <w:rPr>
        <w:rFonts w:hint="default"/>
        <w:b w:val="0"/>
        <w:i w:val="0"/>
        <w:iCs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27966687">
    <w:abstractNumId w:val="0"/>
  </w:num>
  <w:num w:numId="2" w16cid:durableId="1152718151">
    <w:abstractNumId w:val="1"/>
  </w:num>
  <w:num w:numId="3" w16cid:durableId="961961736">
    <w:abstractNumId w:val="2"/>
  </w:num>
  <w:num w:numId="4" w16cid:durableId="1643955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32"/>
    <w:rsid w:val="00003A5F"/>
    <w:rsid w:val="00037E9E"/>
    <w:rsid w:val="000661DD"/>
    <w:rsid w:val="00072496"/>
    <w:rsid w:val="000C0BF9"/>
    <w:rsid w:val="0010310D"/>
    <w:rsid w:val="0012398E"/>
    <w:rsid w:val="00174AEB"/>
    <w:rsid w:val="001971E6"/>
    <w:rsid w:val="001C1924"/>
    <w:rsid w:val="001F45AB"/>
    <w:rsid w:val="002124B9"/>
    <w:rsid w:val="002142BF"/>
    <w:rsid w:val="002315E5"/>
    <w:rsid w:val="00244C42"/>
    <w:rsid w:val="00284EFD"/>
    <w:rsid w:val="0028631E"/>
    <w:rsid w:val="002B3FFC"/>
    <w:rsid w:val="00302232"/>
    <w:rsid w:val="00303020"/>
    <w:rsid w:val="00307393"/>
    <w:rsid w:val="00310F0E"/>
    <w:rsid w:val="003160B3"/>
    <w:rsid w:val="00335A2D"/>
    <w:rsid w:val="00356EED"/>
    <w:rsid w:val="00383B47"/>
    <w:rsid w:val="00384A56"/>
    <w:rsid w:val="0039121E"/>
    <w:rsid w:val="003A1D5E"/>
    <w:rsid w:val="003E46BE"/>
    <w:rsid w:val="003F05F8"/>
    <w:rsid w:val="00431C9B"/>
    <w:rsid w:val="00466CAE"/>
    <w:rsid w:val="00472471"/>
    <w:rsid w:val="004872DD"/>
    <w:rsid w:val="00491E07"/>
    <w:rsid w:val="00492BC8"/>
    <w:rsid w:val="00493E98"/>
    <w:rsid w:val="004A2E97"/>
    <w:rsid w:val="004C2688"/>
    <w:rsid w:val="004C64CD"/>
    <w:rsid w:val="004C685C"/>
    <w:rsid w:val="005268F1"/>
    <w:rsid w:val="00536667"/>
    <w:rsid w:val="00545269"/>
    <w:rsid w:val="0056374A"/>
    <w:rsid w:val="005709F2"/>
    <w:rsid w:val="0059670F"/>
    <w:rsid w:val="005C3D57"/>
    <w:rsid w:val="005D4D9A"/>
    <w:rsid w:val="005E4EA6"/>
    <w:rsid w:val="005F0634"/>
    <w:rsid w:val="006174A5"/>
    <w:rsid w:val="00654C42"/>
    <w:rsid w:val="00660E98"/>
    <w:rsid w:val="006645C8"/>
    <w:rsid w:val="0067444C"/>
    <w:rsid w:val="006B7332"/>
    <w:rsid w:val="006E6A3E"/>
    <w:rsid w:val="00706F5A"/>
    <w:rsid w:val="0077221A"/>
    <w:rsid w:val="007760ED"/>
    <w:rsid w:val="00776A98"/>
    <w:rsid w:val="00796C37"/>
    <w:rsid w:val="007C665C"/>
    <w:rsid w:val="007E0AC6"/>
    <w:rsid w:val="007F42F7"/>
    <w:rsid w:val="007F5655"/>
    <w:rsid w:val="007F7870"/>
    <w:rsid w:val="008023B9"/>
    <w:rsid w:val="008153CE"/>
    <w:rsid w:val="00874F4A"/>
    <w:rsid w:val="008A23AF"/>
    <w:rsid w:val="008E0B8E"/>
    <w:rsid w:val="008F6252"/>
    <w:rsid w:val="00955F50"/>
    <w:rsid w:val="0096745D"/>
    <w:rsid w:val="00996FC6"/>
    <w:rsid w:val="009A3952"/>
    <w:rsid w:val="009C179B"/>
    <w:rsid w:val="009E1FBB"/>
    <w:rsid w:val="009F4453"/>
    <w:rsid w:val="00A00D57"/>
    <w:rsid w:val="00A11137"/>
    <w:rsid w:val="00A17FF9"/>
    <w:rsid w:val="00A545F5"/>
    <w:rsid w:val="00A578E2"/>
    <w:rsid w:val="00A648E8"/>
    <w:rsid w:val="00A77987"/>
    <w:rsid w:val="00AB3D4C"/>
    <w:rsid w:val="00AC4B80"/>
    <w:rsid w:val="00B106CA"/>
    <w:rsid w:val="00B33944"/>
    <w:rsid w:val="00B5512C"/>
    <w:rsid w:val="00B55E65"/>
    <w:rsid w:val="00B716FD"/>
    <w:rsid w:val="00BA4F5A"/>
    <w:rsid w:val="00BA5BBB"/>
    <w:rsid w:val="00BA5C2B"/>
    <w:rsid w:val="00BE5610"/>
    <w:rsid w:val="00C02AB2"/>
    <w:rsid w:val="00C0787C"/>
    <w:rsid w:val="00C24C9E"/>
    <w:rsid w:val="00C3144E"/>
    <w:rsid w:val="00C5520D"/>
    <w:rsid w:val="00C94B18"/>
    <w:rsid w:val="00CA735A"/>
    <w:rsid w:val="00CC1D20"/>
    <w:rsid w:val="00D26A1F"/>
    <w:rsid w:val="00D41230"/>
    <w:rsid w:val="00D50EBA"/>
    <w:rsid w:val="00DB174C"/>
    <w:rsid w:val="00DC0748"/>
    <w:rsid w:val="00DF4BEC"/>
    <w:rsid w:val="00E42D6A"/>
    <w:rsid w:val="00E71D94"/>
    <w:rsid w:val="00F13397"/>
    <w:rsid w:val="00F13B39"/>
    <w:rsid w:val="00F16F93"/>
    <w:rsid w:val="00F311EF"/>
    <w:rsid w:val="00F64127"/>
    <w:rsid w:val="00F65E5D"/>
    <w:rsid w:val="00F75BA4"/>
    <w:rsid w:val="00F921BA"/>
    <w:rsid w:val="00F96123"/>
    <w:rsid w:val="00FA4E4A"/>
    <w:rsid w:val="00FC20E6"/>
    <w:rsid w:val="00FD16DD"/>
    <w:rsid w:val="00FE1774"/>
    <w:rsid w:val="00FF57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E44C6"/>
  <w15:chartTrackingRefBased/>
  <w15:docId w15:val="{9D331FF1-DC5A-47EF-ABFA-043489AE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D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A Fu,Footnote reference,Footnote Text Char Char Char Char Char,Footnote Text Char Char Char Char Car,Footnote Text Char Char Char Char,Footnote Text Char Char Char,Footnote Text Cha,FA Fußnotentext,FA Fuﬂnotentext,Footnote Text Char Char"/>
    <w:basedOn w:val="Normal"/>
    <w:link w:val="TextonotapieCar"/>
    <w:uiPriority w:val="99"/>
    <w:unhideWhenUsed/>
    <w:qFormat/>
    <w:rsid w:val="00F75BA4"/>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 Car,Footnote Text Char Char Char Char Car1,Footnote Text Char Char Char Car,Footnote Text Cha Car,FA Fußnotentext Car"/>
    <w:basedOn w:val="Fuentedeprrafopredeter"/>
    <w:link w:val="Textonotapie"/>
    <w:uiPriority w:val="99"/>
    <w:qFormat/>
    <w:rsid w:val="00F75BA4"/>
    <w:rPr>
      <w:sz w:val="20"/>
      <w:szCs w:val="20"/>
    </w:rPr>
  </w:style>
  <w:style w:type="character" w:styleId="Refdenotaalpie">
    <w:name w:val="footnote reference"/>
    <w:aliases w:val="Footnotes refss,Texto de nota al pie,Ref. de nota al pie 2,Appel note de bas de page,Footnote number,referencia nota al pie,BVI fnr,f,4_G,16 Point,Superscript 6 Point,Texto nota al pie,julio,Footnote Reference Char3,Ref. de nota al"/>
    <w:basedOn w:val="Fuentedeprrafopredeter"/>
    <w:link w:val="4GChar"/>
    <w:uiPriority w:val="99"/>
    <w:unhideWhenUsed/>
    <w:qFormat/>
    <w:rsid w:val="00F75BA4"/>
    <w:rPr>
      <w:vertAlign w:val="superscript"/>
    </w:rPr>
  </w:style>
  <w:style w:type="paragraph" w:customStyle="1" w:styleId="xmsonormal">
    <w:name w:val="x_msonormal"/>
    <w:basedOn w:val="Normal"/>
    <w:rsid w:val="005F0634"/>
    <w:pPr>
      <w:spacing w:after="0" w:line="240" w:lineRule="auto"/>
    </w:pPr>
    <w:rPr>
      <w:rFonts w:ascii="Times New Roman" w:hAnsi="Times New Roman" w:cs="Times New Roman"/>
      <w:sz w:val="24"/>
      <w:szCs w:val="24"/>
      <w:lang w:eastAsia="es-MX"/>
    </w:rPr>
  </w:style>
  <w:style w:type="paragraph" w:customStyle="1" w:styleId="xmsobodytextindent">
    <w:name w:val="x_msobodytextindent"/>
    <w:basedOn w:val="Normal"/>
    <w:rsid w:val="005F0634"/>
    <w:pPr>
      <w:spacing w:after="0" w:line="240" w:lineRule="auto"/>
    </w:pPr>
    <w:rPr>
      <w:rFonts w:ascii="Times New Roman" w:hAnsi="Times New Roman" w:cs="Times New Roman"/>
      <w:sz w:val="24"/>
      <w:szCs w:val="24"/>
      <w:lang w:eastAsia="es-MX"/>
    </w:rPr>
  </w:style>
  <w:style w:type="paragraph" w:customStyle="1" w:styleId="Default">
    <w:name w:val="Default"/>
    <w:rsid w:val="00472471"/>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B339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3944"/>
  </w:style>
  <w:style w:type="paragraph" w:styleId="Piedepgina">
    <w:name w:val="footer"/>
    <w:basedOn w:val="Normal"/>
    <w:link w:val="PiedepginaCar"/>
    <w:uiPriority w:val="99"/>
    <w:unhideWhenUsed/>
    <w:rsid w:val="00B339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3944"/>
  </w:style>
  <w:style w:type="character" w:customStyle="1" w:styleId="corte4fondoCar2">
    <w:name w:val="corte4 fondo Car2"/>
    <w:link w:val="corte4fondo"/>
    <w:locked/>
    <w:rsid w:val="00955F50"/>
    <w:rPr>
      <w:rFonts w:ascii="Arial" w:hAnsi="Arial" w:cs="Arial"/>
      <w:sz w:val="30"/>
      <w:szCs w:val="24"/>
    </w:rPr>
  </w:style>
  <w:style w:type="paragraph" w:customStyle="1" w:styleId="corte4fondo">
    <w:name w:val="corte4 fondo"/>
    <w:basedOn w:val="Normal"/>
    <w:link w:val="corte4fondoCar2"/>
    <w:qFormat/>
    <w:rsid w:val="00955F50"/>
    <w:pPr>
      <w:spacing w:after="0" w:line="360" w:lineRule="auto"/>
      <w:ind w:firstLine="709"/>
      <w:jc w:val="both"/>
    </w:pPr>
    <w:rPr>
      <w:rFonts w:ascii="Arial" w:hAnsi="Arial" w:cs="Arial"/>
      <w:sz w:val="30"/>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55F50"/>
    <w:pPr>
      <w:spacing w:after="0" w:line="240" w:lineRule="auto"/>
      <w:jc w:val="both"/>
    </w:pPr>
    <w:rPr>
      <w:vertAlign w:val="superscript"/>
    </w:rPr>
  </w:style>
  <w:style w:type="paragraph" w:customStyle="1" w:styleId="Estilo1">
    <w:name w:val="Estilo1"/>
    <w:basedOn w:val="corte4fondo"/>
    <w:qFormat/>
    <w:rsid w:val="00A648E8"/>
    <w:pPr>
      <w:numPr>
        <w:numId w:val="1"/>
      </w:numPr>
      <w:tabs>
        <w:tab w:val="num" w:pos="360"/>
      </w:tabs>
      <w:spacing w:before="160" w:after="160"/>
      <w:ind w:left="0" w:firstLine="709"/>
    </w:pPr>
    <w:rPr>
      <w:rFonts w:eastAsia="Times New Roman"/>
      <w:sz w:val="28"/>
      <w:szCs w:val="28"/>
      <w:lang w:eastAsia="es-ES"/>
    </w:rPr>
  </w:style>
  <w:style w:type="paragraph" w:customStyle="1" w:styleId="corte3centro">
    <w:name w:val="corte3 centro"/>
    <w:basedOn w:val="Normal"/>
    <w:link w:val="corte3centroCar"/>
    <w:rsid w:val="0039121E"/>
    <w:pPr>
      <w:spacing w:after="0" w:line="360" w:lineRule="auto"/>
      <w:jc w:val="center"/>
    </w:pPr>
    <w:rPr>
      <w:rFonts w:ascii="Arial" w:eastAsia="Times New Roman" w:hAnsi="Arial" w:cs="Times New Roman"/>
      <w:b/>
      <w:sz w:val="30"/>
      <w:szCs w:val="24"/>
      <w:lang w:eastAsia="es-ES"/>
    </w:rPr>
  </w:style>
  <w:style w:type="character" w:customStyle="1" w:styleId="corte4fondoCar1">
    <w:name w:val="corte4 fondo Car1"/>
    <w:basedOn w:val="Fuentedeprrafopredeter"/>
    <w:rsid w:val="0039121E"/>
    <w:rPr>
      <w:rFonts w:ascii="Arial" w:hAnsi="Arial"/>
      <w:sz w:val="30"/>
      <w:szCs w:val="24"/>
      <w:lang w:eastAsia="es-ES"/>
    </w:rPr>
  </w:style>
  <w:style w:type="character" w:customStyle="1" w:styleId="corte3centroCar">
    <w:name w:val="corte3 centro Car"/>
    <w:basedOn w:val="Fuentedeprrafopredeter"/>
    <w:link w:val="corte3centro"/>
    <w:rsid w:val="0039121E"/>
    <w:rPr>
      <w:rFonts w:ascii="Arial" w:eastAsia="Times New Roman" w:hAnsi="Arial" w:cs="Times New Roman"/>
      <w:b/>
      <w:sz w:val="30"/>
      <w:szCs w:val="24"/>
      <w:lang w:eastAsia="es-ES"/>
    </w:rPr>
  </w:style>
  <w:style w:type="character" w:styleId="Refdecomentario">
    <w:name w:val="annotation reference"/>
    <w:basedOn w:val="Fuentedeprrafopredeter"/>
    <w:uiPriority w:val="99"/>
    <w:semiHidden/>
    <w:unhideWhenUsed/>
    <w:rsid w:val="00D50EBA"/>
    <w:rPr>
      <w:sz w:val="16"/>
      <w:szCs w:val="16"/>
    </w:rPr>
  </w:style>
  <w:style w:type="paragraph" w:styleId="Textocomentario">
    <w:name w:val="annotation text"/>
    <w:basedOn w:val="Normal"/>
    <w:link w:val="TextocomentarioCar"/>
    <w:uiPriority w:val="99"/>
    <w:semiHidden/>
    <w:unhideWhenUsed/>
    <w:rsid w:val="00D50E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0EBA"/>
    <w:rPr>
      <w:sz w:val="20"/>
      <w:szCs w:val="20"/>
    </w:rPr>
  </w:style>
  <w:style w:type="paragraph" w:styleId="Asuntodelcomentario">
    <w:name w:val="annotation subject"/>
    <w:basedOn w:val="Textocomentario"/>
    <w:next w:val="Textocomentario"/>
    <w:link w:val="AsuntodelcomentarioCar"/>
    <w:uiPriority w:val="99"/>
    <w:semiHidden/>
    <w:unhideWhenUsed/>
    <w:rsid w:val="00D50EBA"/>
    <w:rPr>
      <w:b/>
      <w:bCs/>
    </w:rPr>
  </w:style>
  <w:style w:type="character" w:customStyle="1" w:styleId="AsuntodelcomentarioCar">
    <w:name w:val="Asunto del comentario Car"/>
    <w:basedOn w:val="TextocomentarioCar"/>
    <w:link w:val="Asuntodelcomentario"/>
    <w:uiPriority w:val="99"/>
    <w:semiHidden/>
    <w:rsid w:val="00D50EBA"/>
    <w:rPr>
      <w:b/>
      <w:bCs/>
      <w:sz w:val="20"/>
      <w:szCs w:val="20"/>
    </w:rPr>
  </w:style>
  <w:style w:type="character" w:customStyle="1" w:styleId="PrrafodelistaCar">
    <w:name w:val="Párrafo de lista Car"/>
    <w:aliases w:val="Cita texto Car,Footnote Car,List Paragraph1 Car,TEXTO GENERAL SENTENCIAS Car,Párrafo de lista1 Car,Párrafo de lista2 Car,List Paragraph Car,PARRAFO Car,Colorful List - Accent 11 Car,Cuadrícula clara - Énfasis 31 Car,Trascripción Car"/>
    <w:link w:val="Prrafodelista"/>
    <w:uiPriority w:val="34"/>
    <w:qFormat/>
    <w:locked/>
    <w:rsid w:val="003E46BE"/>
    <w:rPr>
      <w:lang w:val="es-ES_tradnl" w:eastAsia="es-MX"/>
    </w:rPr>
  </w:style>
  <w:style w:type="paragraph" w:styleId="Prrafodelista">
    <w:name w:val="List Paragraph"/>
    <w:aliases w:val="Cita texto,Footnote,List Paragraph1,TEXTO GENERAL SENTENCIAS,Párrafo de lista1,Párrafo de lista2,List Paragraph,PARRAFO,Colorful List - Accent 11,Cuadrícula clara - Énfasis 31,Trascripción,Cuadrícula media 1 - Énfasis 21,Dot pt"/>
    <w:basedOn w:val="Normal"/>
    <w:link w:val="PrrafodelistaCar"/>
    <w:uiPriority w:val="34"/>
    <w:qFormat/>
    <w:rsid w:val="003E46BE"/>
    <w:pPr>
      <w:spacing w:after="0" w:line="240" w:lineRule="auto"/>
      <w:ind w:left="708"/>
    </w:pPr>
    <w:rPr>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36087">
      <w:bodyDiv w:val="1"/>
      <w:marLeft w:val="0"/>
      <w:marRight w:val="0"/>
      <w:marTop w:val="0"/>
      <w:marBottom w:val="0"/>
      <w:divBdr>
        <w:top w:val="none" w:sz="0" w:space="0" w:color="auto"/>
        <w:left w:val="none" w:sz="0" w:space="0" w:color="auto"/>
        <w:bottom w:val="none" w:sz="0" w:space="0" w:color="auto"/>
        <w:right w:val="none" w:sz="0" w:space="0" w:color="auto"/>
      </w:divBdr>
    </w:div>
    <w:div w:id="760880862">
      <w:bodyDiv w:val="1"/>
      <w:marLeft w:val="0"/>
      <w:marRight w:val="0"/>
      <w:marTop w:val="0"/>
      <w:marBottom w:val="0"/>
      <w:divBdr>
        <w:top w:val="none" w:sz="0" w:space="0" w:color="auto"/>
        <w:left w:val="none" w:sz="0" w:space="0" w:color="auto"/>
        <w:bottom w:val="none" w:sz="0" w:space="0" w:color="auto"/>
        <w:right w:val="none" w:sz="0" w:space="0" w:color="auto"/>
      </w:divBdr>
    </w:div>
    <w:div w:id="814025947">
      <w:bodyDiv w:val="1"/>
      <w:marLeft w:val="0"/>
      <w:marRight w:val="0"/>
      <w:marTop w:val="0"/>
      <w:marBottom w:val="0"/>
      <w:divBdr>
        <w:top w:val="none" w:sz="0" w:space="0" w:color="auto"/>
        <w:left w:val="none" w:sz="0" w:space="0" w:color="auto"/>
        <w:bottom w:val="none" w:sz="0" w:space="0" w:color="auto"/>
        <w:right w:val="none" w:sz="0" w:space="0" w:color="auto"/>
      </w:divBdr>
    </w:div>
    <w:div w:id="864485954">
      <w:bodyDiv w:val="1"/>
      <w:marLeft w:val="0"/>
      <w:marRight w:val="0"/>
      <w:marTop w:val="0"/>
      <w:marBottom w:val="0"/>
      <w:divBdr>
        <w:top w:val="none" w:sz="0" w:space="0" w:color="auto"/>
        <w:left w:val="none" w:sz="0" w:space="0" w:color="auto"/>
        <w:bottom w:val="none" w:sz="0" w:space="0" w:color="auto"/>
        <w:right w:val="none" w:sz="0" w:space="0" w:color="auto"/>
      </w:divBdr>
    </w:div>
    <w:div w:id="1011181996">
      <w:bodyDiv w:val="1"/>
      <w:marLeft w:val="0"/>
      <w:marRight w:val="0"/>
      <w:marTop w:val="0"/>
      <w:marBottom w:val="0"/>
      <w:divBdr>
        <w:top w:val="none" w:sz="0" w:space="0" w:color="auto"/>
        <w:left w:val="none" w:sz="0" w:space="0" w:color="auto"/>
        <w:bottom w:val="none" w:sz="0" w:space="0" w:color="auto"/>
        <w:right w:val="none" w:sz="0" w:space="0" w:color="auto"/>
      </w:divBdr>
    </w:div>
    <w:div w:id="1046028728">
      <w:bodyDiv w:val="1"/>
      <w:marLeft w:val="0"/>
      <w:marRight w:val="0"/>
      <w:marTop w:val="0"/>
      <w:marBottom w:val="0"/>
      <w:divBdr>
        <w:top w:val="none" w:sz="0" w:space="0" w:color="auto"/>
        <w:left w:val="none" w:sz="0" w:space="0" w:color="auto"/>
        <w:bottom w:val="none" w:sz="0" w:space="0" w:color="auto"/>
        <w:right w:val="none" w:sz="0" w:space="0" w:color="auto"/>
      </w:divBdr>
    </w:div>
    <w:div w:id="1051928584">
      <w:bodyDiv w:val="1"/>
      <w:marLeft w:val="0"/>
      <w:marRight w:val="0"/>
      <w:marTop w:val="0"/>
      <w:marBottom w:val="0"/>
      <w:divBdr>
        <w:top w:val="none" w:sz="0" w:space="0" w:color="auto"/>
        <w:left w:val="none" w:sz="0" w:space="0" w:color="auto"/>
        <w:bottom w:val="none" w:sz="0" w:space="0" w:color="auto"/>
        <w:right w:val="none" w:sz="0" w:space="0" w:color="auto"/>
      </w:divBdr>
    </w:div>
    <w:div w:id="1069421592">
      <w:bodyDiv w:val="1"/>
      <w:marLeft w:val="0"/>
      <w:marRight w:val="0"/>
      <w:marTop w:val="0"/>
      <w:marBottom w:val="0"/>
      <w:divBdr>
        <w:top w:val="none" w:sz="0" w:space="0" w:color="auto"/>
        <w:left w:val="none" w:sz="0" w:space="0" w:color="auto"/>
        <w:bottom w:val="none" w:sz="0" w:space="0" w:color="auto"/>
        <w:right w:val="none" w:sz="0" w:space="0" w:color="auto"/>
      </w:divBdr>
    </w:div>
    <w:div w:id="1728066441">
      <w:bodyDiv w:val="1"/>
      <w:marLeft w:val="0"/>
      <w:marRight w:val="0"/>
      <w:marTop w:val="0"/>
      <w:marBottom w:val="0"/>
      <w:divBdr>
        <w:top w:val="none" w:sz="0" w:space="0" w:color="auto"/>
        <w:left w:val="none" w:sz="0" w:space="0" w:color="auto"/>
        <w:bottom w:val="none" w:sz="0" w:space="0" w:color="auto"/>
        <w:right w:val="none" w:sz="0" w:space="0" w:color="auto"/>
      </w:divBdr>
    </w:div>
    <w:div w:id="1798640336">
      <w:bodyDiv w:val="1"/>
      <w:marLeft w:val="0"/>
      <w:marRight w:val="0"/>
      <w:marTop w:val="0"/>
      <w:marBottom w:val="0"/>
      <w:divBdr>
        <w:top w:val="none" w:sz="0" w:space="0" w:color="auto"/>
        <w:left w:val="none" w:sz="0" w:space="0" w:color="auto"/>
        <w:bottom w:val="none" w:sz="0" w:space="0" w:color="auto"/>
        <w:right w:val="none" w:sz="0" w:space="0" w:color="auto"/>
      </w:divBdr>
    </w:div>
    <w:div w:id="1849559780">
      <w:bodyDiv w:val="1"/>
      <w:marLeft w:val="0"/>
      <w:marRight w:val="0"/>
      <w:marTop w:val="0"/>
      <w:marBottom w:val="0"/>
      <w:divBdr>
        <w:top w:val="none" w:sz="0" w:space="0" w:color="auto"/>
        <w:left w:val="none" w:sz="0" w:space="0" w:color="auto"/>
        <w:bottom w:val="none" w:sz="0" w:space="0" w:color="auto"/>
        <w:right w:val="none" w:sz="0" w:space="0" w:color="auto"/>
      </w:divBdr>
    </w:div>
    <w:div w:id="1922596155">
      <w:bodyDiv w:val="1"/>
      <w:marLeft w:val="0"/>
      <w:marRight w:val="0"/>
      <w:marTop w:val="0"/>
      <w:marBottom w:val="0"/>
      <w:divBdr>
        <w:top w:val="none" w:sz="0" w:space="0" w:color="auto"/>
        <w:left w:val="none" w:sz="0" w:space="0" w:color="auto"/>
        <w:bottom w:val="none" w:sz="0" w:space="0" w:color="auto"/>
        <w:right w:val="none" w:sz="0" w:space="0" w:color="auto"/>
      </w:divBdr>
    </w:div>
    <w:div w:id="20877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D79BB-9760-4974-AF36-8FF67019C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701121-7769-4EE2-95EB-D99F7B6D0457}">
  <ds:schemaRefs>
    <ds:schemaRef ds:uri="http://schemas.microsoft.com/sharepoint/v3/contenttype/forms"/>
  </ds:schemaRefs>
</ds:datastoreItem>
</file>

<file path=customXml/itemProps3.xml><?xml version="1.0" encoding="utf-8"?>
<ds:datastoreItem xmlns:ds="http://schemas.openxmlformats.org/officeDocument/2006/customXml" ds:itemID="{A9A55AE7-C916-4363-83A6-601AA8F57C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097459-0265-405D-9AF1-00D6D6CD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1036</Words>
  <Characters>5698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ARTURO PIZARRO BALMORI</dc:creator>
  <cp:keywords/>
  <dc:description/>
  <cp:lastModifiedBy>MIGUEL ANGEL ANDRADE SOLANA</cp:lastModifiedBy>
  <cp:revision>6</cp:revision>
  <cp:lastPrinted>2021-10-05T19:07:00Z</cp:lastPrinted>
  <dcterms:created xsi:type="dcterms:W3CDTF">2022-08-24T03:34:00Z</dcterms:created>
  <dcterms:modified xsi:type="dcterms:W3CDTF">2022-08-24T03:37:00Z</dcterms:modified>
</cp:coreProperties>
</file>