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A165" w14:textId="76F2A4BB" w:rsidR="00DB692E" w:rsidRPr="00FE0F8D" w:rsidRDefault="00DB692E" w:rsidP="00F63C2A">
      <w:pPr>
        <w:spacing w:before="240" w:after="0" w:line="240" w:lineRule="auto"/>
        <w:ind w:left="2552"/>
        <w:jc w:val="both"/>
        <w:rPr>
          <w:rFonts w:ascii="Arial" w:hAnsi="Arial" w:cs="Arial"/>
          <w:b/>
          <w:sz w:val="28"/>
          <w:szCs w:val="28"/>
        </w:rPr>
      </w:pPr>
      <w:r w:rsidRPr="00FE0F8D">
        <w:rPr>
          <w:rFonts w:ascii="Arial" w:hAnsi="Arial" w:cs="Arial"/>
          <w:b/>
          <w:sz w:val="28"/>
          <w:szCs w:val="28"/>
        </w:rPr>
        <w:t>VOTO PARTICULAR QUE FORMULA EL MINISTRO JAV</w:t>
      </w:r>
      <w:r w:rsidR="00715AAA" w:rsidRPr="00FE0F8D">
        <w:rPr>
          <w:rFonts w:ascii="Arial" w:hAnsi="Arial" w:cs="Arial"/>
          <w:b/>
          <w:sz w:val="28"/>
          <w:szCs w:val="28"/>
        </w:rPr>
        <w:t xml:space="preserve">IER LAYNEZ POTISEK EN </w:t>
      </w:r>
      <w:r w:rsidR="000E3DEA">
        <w:rPr>
          <w:rFonts w:ascii="Arial" w:hAnsi="Arial" w:cs="Arial"/>
          <w:b/>
          <w:sz w:val="28"/>
          <w:szCs w:val="28"/>
        </w:rPr>
        <w:t xml:space="preserve">LA CONTRADICCIÓN DE TESIS </w:t>
      </w:r>
      <w:r w:rsidR="00F63C2A">
        <w:rPr>
          <w:rFonts w:ascii="Arial" w:hAnsi="Arial" w:cs="Arial"/>
          <w:b/>
          <w:sz w:val="28"/>
          <w:szCs w:val="28"/>
        </w:rPr>
        <w:t>42</w:t>
      </w:r>
      <w:r w:rsidR="00715AAA" w:rsidRPr="00FE0F8D">
        <w:rPr>
          <w:rFonts w:ascii="Arial" w:hAnsi="Arial" w:cs="Arial"/>
          <w:b/>
          <w:sz w:val="28"/>
          <w:szCs w:val="28"/>
          <w:lang w:val="es-MX"/>
        </w:rPr>
        <w:t>/20</w:t>
      </w:r>
      <w:r w:rsidR="00F63C2A">
        <w:rPr>
          <w:rFonts w:ascii="Arial" w:hAnsi="Arial" w:cs="Arial"/>
          <w:b/>
          <w:sz w:val="28"/>
          <w:szCs w:val="28"/>
          <w:lang w:val="es-MX"/>
        </w:rPr>
        <w:t>20</w:t>
      </w:r>
      <w:r w:rsidR="0006745A">
        <w:rPr>
          <w:rFonts w:ascii="Arial" w:hAnsi="Arial" w:cs="Arial"/>
          <w:b/>
          <w:sz w:val="28"/>
          <w:szCs w:val="28"/>
          <w:lang w:val="es-MX"/>
        </w:rPr>
        <w:t>.</w:t>
      </w:r>
    </w:p>
    <w:p w14:paraId="5D5BB518" w14:textId="5B8F0BDC" w:rsidR="00083C94" w:rsidRDefault="00083C94" w:rsidP="00B80466">
      <w:pPr>
        <w:spacing w:after="0" w:line="360" w:lineRule="auto"/>
        <w:ind w:firstLine="708"/>
        <w:mirrorIndents/>
        <w:jc w:val="both"/>
        <w:rPr>
          <w:rFonts w:ascii="Arial" w:hAnsi="Arial" w:cs="Arial"/>
          <w:sz w:val="12"/>
          <w:szCs w:val="12"/>
        </w:rPr>
      </w:pPr>
    </w:p>
    <w:p w14:paraId="19C6D2B6" w14:textId="77777777" w:rsidR="0082389B" w:rsidRPr="00321130" w:rsidRDefault="0082389B" w:rsidP="00B80466">
      <w:pPr>
        <w:spacing w:after="0" w:line="360" w:lineRule="auto"/>
        <w:ind w:firstLine="708"/>
        <w:mirrorIndents/>
        <w:jc w:val="both"/>
        <w:rPr>
          <w:rFonts w:ascii="Arial" w:hAnsi="Arial" w:cs="Arial"/>
          <w:sz w:val="12"/>
          <w:szCs w:val="12"/>
        </w:rPr>
      </w:pPr>
    </w:p>
    <w:p w14:paraId="04488E29" w14:textId="0F5A7FDA" w:rsidR="00CC1017" w:rsidRDefault="001351EA" w:rsidP="00B80466">
      <w:pPr>
        <w:spacing w:after="0" w:line="360" w:lineRule="auto"/>
        <w:ind w:firstLine="708"/>
        <w:mirrorIndents/>
        <w:jc w:val="both"/>
        <w:rPr>
          <w:rFonts w:ascii="Arial" w:hAnsi="Arial" w:cs="Arial"/>
          <w:sz w:val="27"/>
          <w:szCs w:val="27"/>
          <w:lang w:val="es-MX"/>
        </w:rPr>
      </w:pPr>
      <w:r>
        <w:rPr>
          <w:rFonts w:ascii="Arial" w:hAnsi="Arial" w:cs="Arial"/>
          <w:sz w:val="27"/>
          <w:szCs w:val="27"/>
        </w:rPr>
        <w:t xml:space="preserve">En sesión de </w:t>
      </w:r>
      <w:r w:rsidR="00556DFA">
        <w:rPr>
          <w:rFonts w:ascii="Arial" w:hAnsi="Arial" w:cs="Arial"/>
          <w:sz w:val="27"/>
          <w:szCs w:val="27"/>
        </w:rPr>
        <w:t>tres</w:t>
      </w:r>
      <w:r>
        <w:rPr>
          <w:rFonts w:ascii="Arial" w:hAnsi="Arial" w:cs="Arial"/>
          <w:sz w:val="27"/>
          <w:szCs w:val="27"/>
        </w:rPr>
        <w:t xml:space="preserve"> de </w:t>
      </w:r>
      <w:r w:rsidR="00556DFA">
        <w:rPr>
          <w:rFonts w:ascii="Arial" w:hAnsi="Arial" w:cs="Arial"/>
          <w:sz w:val="27"/>
          <w:szCs w:val="27"/>
        </w:rPr>
        <w:t>agosto</w:t>
      </w:r>
      <w:r>
        <w:rPr>
          <w:rFonts w:ascii="Arial" w:hAnsi="Arial" w:cs="Arial"/>
          <w:sz w:val="27"/>
          <w:szCs w:val="27"/>
        </w:rPr>
        <w:t xml:space="preserve"> de </w:t>
      </w:r>
      <w:r w:rsidR="00556DFA">
        <w:rPr>
          <w:rFonts w:ascii="Arial" w:hAnsi="Arial" w:cs="Arial"/>
          <w:sz w:val="27"/>
          <w:szCs w:val="27"/>
        </w:rPr>
        <w:t>dos mil veintiuno</w:t>
      </w:r>
      <w:r w:rsidR="00172D62" w:rsidRPr="009D7A52">
        <w:rPr>
          <w:rFonts w:ascii="Arial" w:hAnsi="Arial" w:cs="Arial"/>
          <w:sz w:val="27"/>
          <w:szCs w:val="27"/>
        </w:rPr>
        <w:t xml:space="preserve">, </w:t>
      </w:r>
      <w:r w:rsidR="00556DFA">
        <w:rPr>
          <w:rFonts w:ascii="Arial" w:hAnsi="Arial" w:cs="Arial"/>
          <w:sz w:val="27"/>
          <w:szCs w:val="27"/>
        </w:rPr>
        <w:t>el Pleno</w:t>
      </w:r>
      <w:r w:rsidR="00172D62" w:rsidRPr="009D7A52">
        <w:rPr>
          <w:rFonts w:ascii="Arial" w:hAnsi="Arial" w:cs="Arial"/>
          <w:sz w:val="27"/>
          <w:szCs w:val="27"/>
        </w:rPr>
        <w:t xml:space="preserve"> de la Suprema Corte de Justicia de la Nación </w:t>
      </w:r>
      <w:r w:rsidR="006F496E">
        <w:rPr>
          <w:rFonts w:ascii="Arial" w:hAnsi="Arial" w:cs="Arial"/>
          <w:sz w:val="27"/>
          <w:szCs w:val="27"/>
        </w:rPr>
        <w:t>declaró inexistente la</w:t>
      </w:r>
      <w:r w:rsidR="00172D62" w:rsidRPr="009D7A52">
        <w:rPr>
          <w:rFonts w:ascii="Arial" w:hAnsi="Arial" w:cs="Arial"/>
          <w:sz w:val="27"/>
          <w:szCs w:val="27"/>
        </w:rPr>
        <w:t xml:space="preserve"> contradicción</w:t>
      </w:r>
      <w:r w:rsidR="006F496E">
        <w:rPr>
          <w:rFonts w:ascii="Arial" w:hAnsi="Arial" w:cs="Arial"/>
          <w:sz w:val="27"/>
          <w:szCs w:val="27"/>
        </w:rPr>
        <w:t xml:space="preserve"> de tesis</w:t>
      </w:r>
      <w:r w:rsidR="00172D62" w:rsidRPr="009D7A52">
        <w:rPr>
          <w:rFonts w:ascii="Arial" w:hAnsi="Arial" w:cs="Arial"/>
          <w:sz w:val="27"/>
          <w:szCs w:val="27"/>
        </w:rPr>
        <w:t xml:space="preserve"> </w:t>
      </w:r>
      <w:r w:rsidR="00EA4318">
        <w:rPr>
          <w:rFonts w:ascii="Arial" w:hAnsi="Arial" w:cs="Arial"/>
          <w:sz w:val="27"/>
          <w:szCs w:val="27"/>
        </w:rPr>
        <w:t xml:space="preserve">indicada </w:t>
      </w:r>
      <w:r w:rsidR="00172D62" w:rsidRPr="009D7A52">
        <w:rPr>
          <w:rFonts w:ascii="Arial" w:hAnsi="Arial" w:cs="Arial"/>
          <w:sz w:val="27"/>
          <w:szCs w:val="27"/>
        </w:rPr>
        <w:t>al rubro</w:t>
      </w:r>
      <w:r w:rsidR="00A2414A">
        <w:rPr>
          <w:rFonts w:ascii="Arial" w:hAnsi="Arial" w:cs="Arial"/>
          <w:sz w:val="27"/>
          <w:szCs w:val="27"/>
        </w:rPr>
        <w:t>,</w:t>
      </w:r>
      <w:r w:rsidR="00023228">
        <w:rPr>
          <w:rFonts w:ascii="Arial" w:hAnsi="Arial" w:cs="Arial"/>
          <w:sz w:val="27"/>
          <w:szCs w:val="27"/>
          <w:lang w:val="es-MX"/>
        </w:rPr>
        <w:t xml:space="preserve"> </w:t>
      </w:r>
      <w:r w:rsidR="00A2414A">
        <w:rPr>
          <w:rFonts w:ascii="Arial" w:hAnsi="Arial" w:cs="Arial"/>
          <w:sz w:val="27"/>
          <w:szCs w:val="27"/>
          <w:lang w:val="es-MX"/>
        </w:rPr>
        <w:t>al</w:t>
      </w:r>
      <w:r w:rsidR="00F12A66">
        <w:rPr>
          <w:rFonts w:ascii="Arial" w:hAnsi="Arial" w:cs="Arial"/>
          <w:sz w:val="27"/>
          <w:szCs w:val="27"/>
          <w:lang w:val="es-MX"/>
        </w:rPr>
        <w:t xml:space="preserve"> estimar que no </w:t>
      </w:r>
      <w:r w:rsidR="006F496E">
        <w:rPr>
          <w:rFonts w:ascii="Arial" w:hAnsi="Arial" w:cs="Arial"/>
          <w:sz w:val="27"/>
          <w:szCs w:val="27"/>
          <w:lang w:val="es-MX"/>
        </w:rPr>
        <w:t xml:space="preserve">era </w:t>
      </w:r>
      <w:r w:rsidR="00F12A66">
        <w:rPr>
          <w:rFonts w:ascii="Arial" w:hAnsi="Arial" w:cs="Arial"/>
          <w:sz w:val="27"/>
          <w:szCs w:val="27"/>
          <w:lang w:val="es-MX"/>
        </w:rPr>
        <w:t xml:space="preserve">posible fijar un punto de toque entre los criterios sustentados por las Salas de este </w:t>
      </w:r>
      <w:r w:rsidR="0006745A">
        <w:rPr>
          <w:rFonts w:ascii="Arial" w:hAnsi="Arial" w:cs="Arial"/>
          <w:sz w:val="27"/>
          <w:szCs w:val="27"/>
          <w:lang w:val="es-MX"/>
        </w:rPr>
        <w:t xml:space="preserve">Alto </w:t>
      </w:r>
      <w:r w:rsidR="00F12A66">
        <w:rPr>
          <w:rFonts w:ascii="Arial" w:hAnsi="Arial" w:cs="Arial"/>
          <w:sz w:val="27"/>
          <w:szCs w:val="27"/>
          <w:lang w:val="es-MX"/>
        </w:rPr>
        <w:t>Tribunal</w:t>
      </w:r>
      <w:r w:rsidR="00446DF3">
        <w:rPr>
          <w:rFonts w:ascii="Arial" w:hAnsi="Arial" w:cs="Arial"/>
          <w:sz w:val="27"/>
          <w:szCs w:val="27"/>
          <w:lang w:val="es-MX"/>
        </w:rPr>
        <w:t xml:space="preserve"> porque</w:t>
      </w:r>
      <w:r w:rsidR="006F496E">
        <w:rPr>
          <w:rFonts w:ascii="Arial" w:hAnsi="Arial" w:cs="Arial"/>
          <w:sz w:val="27"/>
          <w:szCs w:val="27"/>
          <w:lang w:val="es-MX"/>
        </w:rPr>
        <w:t>,</w:t>
      </w:r>
      <w:r w:rsidR="00446DF3">
        <w:rPr>
          <w:rFonts w:ascii="Arial" w:hAnsi="Arial" w:cs="Arial"/>
          <w:sz w:val="27"/>
          <w:szCs w:val="27"/>
          <w:lang w:val="es-MX"/>
        </w:rPr>
        <w:t xml:space="preserve"> </w:t>
      </w:r>
      <w:r w:rsidR="00CC1017">
        <w:rPr>
          <w:rFonts w:ascii="Arial" w:hAnsi="Arial" w:cs="Arial"/>
          <w:sz w:val="27"/>
          <w:szCs w:val="27"/>
          <w:lang w:val="es-MX"/>
        </w:rPr>
        <w:t xml:space="preserve">aun cuando ambas se pronunciaron </w:t>
      </w:r>
      <w:r w:rsidR="00A2414A">
        <w:rPr>
          <w:rFonts w:ascii="Arial" w:hAnsi="Arial" w:cs="Arial"/>
          <w:sz w:val="27"/>
          <w:szCs w:val="27"/>
          <w:lang w:val="es-MX"/>
        </w:rPr>
        <w:t xml:space="preserve">sobre la </w:t>
      </w:r>
      <w:r w:rsidR="00CC1017">
        <w:rPr>
          <w:rFonts w:ascii="Arial" w:hAnsi="Arial" w:cs="Arial"/>
          <w:sz w:val="27"/>
          <w:szCs w:val="27"/>
          <w:lang w:val="es-MX"/>
        </w:rPr>
        <w:t xml:space="preserve"> constitucionalidad </w:t>
      </w:r>
      <w:r w:rsidR="00A2414A">
        <w:rPr>
          <w:rFonts w:ascii="Arial" w:hAnsi="Arial" w:cs="Arial"/>
          <w:sz w:val="27"/>
          <w:szCs w:val="27"/>
          <w:lang w:val="es-MX"/>
        </w:rPr>
        <w:t xml:space="preserve">del bloqueo de cuentas bancarias a cargo de la Unidad de Inteligencia Financiera previsto en </w:t>
      </w:r>
      <w:r w:rsidR="00CC1017">
        <w:rPr>
          <w:rFonts w:ascii="Arial" w:hAnsi="Arial" w:cs="Arial"/>
          <w:sz w:val="27"/>
          <w:szCs w:val="27"/>
          <w:lang w:val="es-MX"/>
        </w:rPr>
        <w:t xml:space="preserve">el artículo 115 de la Ley de Instituciones de Crédito, lo </w:t>
      </w:r>
      <w:r w:rsidR="00A2414A">
        <w:rPr>
          <w:rFonts w:ascii="Arial" w:hAnsi="Arial" w:cs="Arial"/>
          <w:sz w:val="27"/>
          <w:szCs w:val="27"/>
          <w:lang w:val="es-MX"/>
        </w:rPr>
        <w:t>hicieron</w:t>
      </w:r>
      <w:r w:rsidR="00CC1017">
        <w:rPr>
          <w:rFonts w:ascii="Arial" w:hAnsi="Arial" w:cs="Arial"/>
          <w:sz w:val="27"/>
          <w:szCs w:val="27"/>
          <w:lang w:val="es-MX"/>
        </w:rPr>
        <w:t xml:space="preserve"> a partir de una confrontación con diversos preceptos constitucionales</w:t>
      </w:r>
      <w:r w:rsidR="00EE28A9">
        <w:rPr>
          <w:rFonts w:ascii="Arial" w:hAnsi="Arial" w:cs="Arial"/>
          <w:sz w:val="27"/>
          <w:szCs w:val="27"/>
          <w:lang w:val="es-MX"/>
        </w:rPr>
        <w:t>.</w:t>
      </w:r>
    </w:p>
    <w:p w14:paraId="59E1EC48" w14:textId="77777777" w:rsidR="001351EA" w:rsidRPr="00321130" w:rsidRDefault="001351EA" w:rsidP="00B80466">
      <w:pPr>
        <w:spacing w:after="0" w:line="360" w:lineRule="auto"/>
        <w:ind w:firstLine="708"/>
        <w:mirrorIndents/>
        <w:jc w:val="both"/>
        <w:rPr>
          <w:rFonts w:ascii="Arial" w:hAnsi="Arial" w:cs="Arial"/>
          <w:sz w:val="20"/>
          <w:szCs w:val="20"/>
          <w:lang w:val="es-MX"/>
        </w:rPr>
      </w:pPr>
    </w:p>
    <w:p w14:paraId="0DE2CC2C" w14:textId="424B3DCF" w:rsidR="000A79BD" w:rsidRPr="009E275B" w:rsidRDefault="007157F2" w:rsidP="009E275B">
      <w:pPr>
        <w:spacing w:after="0" w:line="360" w:lineRule="auto"/>
        <w:ind w:firstLine="708"/>
        <w:mirrorIndents/>
        <w:jc w:val="both"/>
        <w:rPr>
          <w:rFonts w:ascii="Arial" w:hAnsi="Arial" w:cs="Arial"/>
          <w:sz w:val="27"/>
          <w:szCs w:val="27"/>
          <w:lang w:val="es-MX"/>
        </w:rPr>
      </w:pPr>
      <w:r w:rsidRPr="009E275B">
        <w:rPr>
          <w:rFonts w:ascii="Arial" w:hAnsi="Arial" w:cs="Arial"/>
          <w:sz w:val="27"/>
          <w:szCs w:val="27"/>
          <w:lang w:val="es-MX"/>
        </w:rPr>
        <w:t>D</w:t>
      </w:r>
      <w:r w:rsidR="00242C19" w:rsidRPr="009E275B">
        <w:rPr>
          <w:rFonts w:ascii="Arial" w:hAnsi="Arial" w:cs="Arial"/>
          <w:sz w:val="27"/>
          <w:szCs w:val="27"/>
          <w:lang w:val="es-MX"/>
        </w:rPr>
        <w:t>ifiero de</w:t>
      </w:r>
      <w:r w:rsidR="00172D62" w:rsidRPr="009E275B">
        <w:rPr>
          <w:rFonts w:ascii="Arial" w:hAnsi="Arial" w:cs="Arial"/>
          <w:sz w:val="27"/>
          <w:szCs w:val="27"/>
          <w:lang w:val="es-MX"/>
        </w:rPr>
        <w:t xml:space="preserve">l criterio mayoritario </w:t>
      </w:r>
      <w:r w:rsidR="009E275B">
        <w:rPr>
          <w:rFonts w:ascii="Arial" w:hAnsi="Arial" w:cs="Arial"/>
          <w:sz w:val="27"/>
          <w:szCs w:val="27"/>
          <w:lang w:val="es-MX"/>
        </w:rPr>
        <w:t xml:space="preserve">porque </w:t>
      </w:r>
      <w:r w:rsidR="002B511B" w:rsidRPr="009E275B">
        <w:rPr>
          <w:rFonts w:ascii="Arial" w:hAnsi="Arial" w:cs="Arial"/>
          <w:sz w:val="27"/>
          <w:szCs w:val="27"/>
          <w:lang w:val="es-MX"/>
        </w:rPr>
        <w:t>considero</w:t>
      </w:r>
      <w:r w:rsidR="000A79BD" w:rsidRPr="009E275B">
        <w:rPr>
          <w:rFonts w:ascii="Arial" w:hAnsi="Arial" w:cs="Arial"/>
          <w:sz w:val="27"/>
          <w:szCs w:val="27"/>
          <w:lang w:val="es-MX"/>
        </w:rPr>
        <w:t xml:space="preserve"> </w:t>
      </w:r>
      <w:r w:rsidR="00EE28A9" w:rsidRPr="009E275B">
        <w:rPr>
          <w:rFonts w:ascii="Arial" w:hAnsi="Arial" w:cs="Arial"/>
          <w:sz w:val="27"/>
          <w:szCs w:val="27"/>
          <w:lang w:val="es-MX"/>
        </w:rPr>
        <w:t>que sí existe un punto de contradicción entre los criterios sustentados por las Salas de la Suprema Corte de Justicia de la Nación</w:t>
      </w:r>
      <w:r w:rsidR="006F496E">
        <w:rPr>
          <w:rFonts w:ascii="Arial" w:hAnsi="Arial" w:cs="Arial"/>
          <w:sz w:val="27"/>
          <w:szCs w:val="27"/>
          <w:lang w:val="es-MX"/>
        </w:rPr>
        <w:t xml:space="preserve"> en atención a lo siguiente</w:t>
      </w:r>
      <w:r w:rsidR="0082389B">
        <w:rPr>
          <w:rFonts w:ascii="Arial" w:hAnsi="Arial" w:cs="Arial"/>
          <w:sz w:val="27"/>
          <w:szCs w:val="27"/>
          <w:lang w:val="es-MX"/>
        </w:rPr>
        <w:t>:</w:t>
      </w:r>
    </w:p>
    <w:p w14:paraId="2A95AC74" w14:textId="4B05A852" w:rsidR="00EE28A9" w:rsidRPr="00321130" w:rsidRDefault="00EE28A9" w:rsidP="00B80466">
      <w:pPr>
        <w:pStyle w:val="corte4fondo"/>
        <w:ind w:firstLine="708"/>
        <w:rPr>
          <w:rFonts w:cs="Arial"/>
          <w:snapToGrid w:val="0"/>
          <w:sz w:val="20"/>
        </w:rPr>
      </w:pPr>
    </w:p>
    <w:p w14:paraId="79E0B2E1" w14:textId="3D0698F5" w:rsidR="00EE28A9" w:rsidRDefault="006F496E" w:rsidP="00EA4318">
      <w:pPr>
        <w:spacing w:after="0" w:line="360" w:lineRule="auto"/>
        <w:ind w:firstLine="708"/>
        <w:mirrorIndents/>
        <w:jc w:val="both"/>
        <w:rPr>
          <w:rFonts w:ascii="Arial" w:hAnsi="Arial" w:cs="Arial"/>
          <w:sz w:val="27"/>
          <w:szCs w:val="27"/>
          <w:lang w:val="es-MX"/>
        </w:rPr>
      </w:pPr>
      <w:r>
        <w:rPr>
          <w:rFonts w:ascii="Arial" w:hAnsi="Arial" w:cs="Arial"/>
          <w:sz w:val="27"/>
          <w:szCs w:val="27"/>
          <w:lang w:val="es-MX"/>
        </w:rPr>
        <w:t>L</w:t>
      </w:r>
      <w:r w:rsidR="00EE28A9">
        <w:rPr>
          <w:rFonts w:ascii="Arial" w:hAnsi="Arial" w:cs="Arial"/>
          <w:sz w:val="27"/>
          <w:szCs w:val="27"/>
          <w:lang w:val="es-MX"/>
        </w:rPr>
        <w:t>a Primera Sala resolvió que el artículo 115 de la Ley de Instituciones de Crédito es inconstitucional por invadir facultades exclusivas del Ministerio Público</w:t>
      </w:r>
      <w:r w:rsidR="00A07328">
        <w:rPr>
          <w:rFonts w:ascii="Arial" w:hAnsi="Arial" w:cs="Arial"/>
          <w:sz w:val="27"/>
          <w:szCs w:val="27"/>
          <w:lang w:val="es-MX"/>
        </w:rPr>
        <w:t xml:space="preserve">, mientras que </w:t>
      </w:r>
      <w:r w:rsidR="00EE28A9">
        <w:rPr>
          <w:rFonts w:ascii="Arial" w:hAnsi="Arial" w:cs="Arial"/>
          <w:sz w:val="27"/>
          <w:szCs w:val="27"/>
          <w:lang w:val="es-MX"/>
        </w:rPr>
        <w:t xml:space="preserve">la Segunda consideró que dicho precepto es constitucional </w:t>
      </w:r>
      <w:r>
        <w:rPr>
          <w:rFonts w:ascii="Arial" w:hAnsi="Arial" w:cs="Arial"/>
          <w:sz w:val="27"/>
          <w:szCs w:val="27"/>
          <w:lang w:val="es-MX"/>
        </w:rPr>
        <w:t>siempre</w:t>
      </w:r>
      <w:r w:rsidR="00EE28A9">
        <w:rPr>
          <w:rFonts w:ascii="Arial" w:hAnsi="Arial" w:cs="Arial"/>
          <w:sz w:val="27"/>
          <w:szCs w:val="27"/>
          <w:lang w:val="es-MX"/>
        </w:rPr>
        <w:t xml:space="preserve"> </w:t>
      </w:r>
      <w:r w:rsidR="00E96193">
        <w:rPr>
          <w:rFonts w:ascii="Arial" w:hAnsi="Arial" w:cs="Arial"/>
          <w:sz w:val="27"/>
          <w:szCs w:val="27"/>
          <w:lang w:val="es-MX"/>
        </w:rPr>
        <w:t xml:space="preserve">que el bloqueo de cuentas </w:t>
      </w:r>
      <w:r w:rsidR="00A07328">
        <w:rPr>
          <w:rFonts w:ascii="Arial" w:hAnsi="Arial" w:cs="Arial"/>
          <w:sz w:val="27"/>
          <w:szCs w:val="27"/>
          <w:lang w:val="es-MX"/>
        </w:rPr>
        <w:t xml:space="preserve">se </w:t>
      </w:r>
      <w:r>
        <w:rPr>
          <w:rFonts w:ascii="Arial" w:hAnsi="Arial" w:cs="Arial"/>
          <w:sz w:val="27"/>
          <w:szCs w:val="27"/>
          <w:lang w:val="es-MX"/>
        </w:rPr>
        <w:t>efectúe dentro de</w:t>
      </w:r>
      <w:r w:rsidR="00EE28A9">
        <w:rPr>
          <w:rFonts w:ascii="Arial" w:hAnsi="Arial" w:cs="Arial"/>
          <w:sz w:val="27"/>
          <w:szCs w:val="27"/>
          <w:lang w:val="es-MX"/>
        </w:rPr>
        <w:t xml:space="preserve"> procedimientos</w:t>
      </w:r>
      <w:r>
        <w:rPr>
          <w:rFonts w:ascii="Arial" w:hAnsi="Arial" w:cs="Arial"/>
          <w:sz w:val="27"/>
          <w:szCs w:val="27"/>
          <w:lang w:val="es-MX"/>
        </w:rPr>
        <w:t xml:space="preserve"> </w:t>
      </w:r>
      <w:r w:rsidR="00A07328">
        <w:rPr>
          <w:rFonts w:ascii="Arial" w:hAnsi="Arial" w:cs="Arial"/>
          <w:sz w:val="27"/>
          <w:szCs w:val="27"/>
          <w:lang w:val="es-MX"/>
        </w:rPr>
        <w:t xml:space="preserve">relacionados con </w:t>
      </w:r>
      <w:r>
        <w:rPr>
          <w:rFonts w:ascii="Arial" w:hAnsi="Arial" w:cs="Arial"/>
          <w:sz w:val="27"/>
          <w:szCs w:val="27"/>
          <w:lang w:val="es-MX"/>
        </w:rPr>
        <w:t xml:space="preserve">el </w:t>
      </w:r>
      <w:r w:rsidR="00EE28A9">
        <w:rPr>
          <w:rFonts w:ascii="Arial" w:hAnsi="Arial" w:cs="Arial"/>
          <w:sz w:val="27"/>
          <w:szCs w:val="27"/>
          <w:lang w:val="es-MX"/>
        </w:rPr>
        <w:t xml:space="preserve">cumplimiento de compromisos internacionales asumidos por </w:t>
      </w:r>
      <w:r w:rsidR="00EA4318">
        <w:rPr>
          <w:rFonts w:ascii="Arial" w:hAnsi="Arial" w:cs="Arial"/>
          <w:sz w:val="27"/>
          <w:szCs w:val="27"/>
          <w:lang w:val="es-MX"/>
        </w:rPr>
        <w:t xml:space="preserve">el Estado </w:t>
      </w:r>
      <w:r w:rsidR="002A6384">
        <w:rPr>
          <w:rFonts w:ascii="Arial" w:hAnsi="Arial" w:cs="Arial"/>
          <w:sz w:val="27"/>
          <w:szCs w:val="27"/>
          <w:lang w:val="es-MX"/>
        </w:rPr>
        <w:t>M</w:t>
      </w:r>
      <w:r w:rsidR="00EA4318">
        <w:rPr>
          <w:rFonts w:ascii="Arial" w:hAnsi="Arial" w:cs="Arial"/>
          <w:sz w:val="27"/>
          <w:szCs w:val="27"/>
          <w:lang w:val="es-MX"/>
        </w:rPr>
        <w:t>exicano</w:t>
      </w:r>
      <w:r w:rsidR="00EE28A9">
        <w:rPr>
          <w:rFonts w:ascii="Arial" w:hAnsi="Arial" w:cs="Arial"/>
          <w:sz w:val="27"/>
          <w:szCs w:val="27"/>
          <w:lang w:val="es-MX"/>
        </w:rPr>
        <w:t xml:space="preserve">, por lo que no podría emplearse válidamente cuando </w:t>
      </w:r>
      <w:r w:rsidR="00EA4318">
        <w:rPr>
          <w:rFonts w:ascii="Arial" w:hAnsi="Arial" w:cs="Arial"/>
          <w:sz w:val="27"/>
          <w:szCs w:val="27"/>
          <w:lang w:val="es-MX"/>
        </w:rPr>
        <w:t xml:space="preserve">la investigación </w:t>
      </w:r>
      <w:r w:rsidR="00EE28A9">
        <w:rPr>
          <w:rFonts w:ascii="Arial" w:hAnsi="Arial" w:cs="Arial"/>
          <w:sz w:val="27"/>
          <w:szCs w:val="27"/>
          <w:lang w:val="es-MX"/>
        </w:rPr>
        <w:t>tenga un origen nacional</w:t>
      </w:r>
      <w:r w:rsidR="00A07328">
        <w:rPr>
          <w:rFonts w:ascii="Arial" w:hAnsi="Arial" w:cs="Arial"/>
          <w:sz w:val="27"/>
          <w:szCs w:val="27"/>
          <w:lang w:val="es-MX"/>
        </w:rPr>
        <w:t xml:space="preserve"> o interno. </w:t>
      </w:r>
      <w:r w:rsidR="009E275B">
        <w:rPr>
          <w:rFonts w:ascii="Arial" w:hAnsi="Arial" w:cs="Arial"/>
          <w:sz w:val="27"/>
          <w:szCs w:val="27"/>
          <w:lang w:val="es-MX"/>
        </w:rPr>
        <w:t>Con base en lo anterior, el Pleno</w:t>
      </w:r>
      <w:r w:rsidR="00ED019D">
        <w:rPr>
          <w:rFonts w:ascii="Arial" w:hAnsi="Arial" w:cs="Arial"/>
          <w:sz w:val="27"/>
          <w:szCs w:val="27"/>
          <w:lang w:val="es-MX"/>
        </w:rPr>
        <w:t xml:space="preserve"> </w:t>
      </w:r>
      <w:r w:rsidR="009E275B">
        <w:rPr>
          <w:rFonts w:ascii="Arial" w:hAnsi="Arial" w:cs="Arial"/>
          <w:sz w:val="27"/>
          <w:szCs w:val="27"/>
          <w:lang w:val="es-MX"/>
        </w:rPr>
        <w:t>concluyó</w:t>
      </w:r>
      <w:r w:rsidR="00ED019D">
        <w:rPr>
          <w:rFonts w:ascii="Arial" w:hAnsi="Arial" w:cs="Arial"/>
          <w:sz w:val="27"/>
          <w:szCs w:val="27"/>
          <w:lang w:val="es-MX"/>
        </w:rPr>
        <w:t xml:space="preserve"> que si bien la Primera Sala determinó la inconstitucionalidad del precepto referido </w:t>
      </w:r>
      <w:r w:rsidR="00A07328">
        <w:rPr>
          <w:rFonts w:ascii="Arial" w:hAnsi="Arial" w:cs="Arial"/>
          <w:sz w:val="27"/>
          <w:szCs w:val="27"/>
          <w:lang w:val="es-MX"/>
        </w:rPr>
        <w:t>en tanto que Sal</w:t>
      </w:r>
      <w:r w:rsidR="00ED019D">
        <w:rPr>
          <w:rFonts w:ascii="Arial" w:hAnsi="Arial" w:cs="Arial"/>
          <w:sz w:val="27"/>
          <w:szCs w:val="27"/>
          <w:lang w:val="es-MX"/>
        </w:rPr>
        <w:t xml:space="preserve">a Segunda </w:t>
      </w:r>
      <w:r w:rsidR="00A07328">
        <w:rPr>
          <w:rFonts w:ascii="Arial" w:hAnsi="Arial" w:cs="Arial"/>
          <w:sz w:val="27"/>
          <w:szCs w:val="27"/>
          <w:lang w:val="es-MX"/>
        </w:rPr>
        <w:t>estimó la in</w:t>
      </w:r>
      <w:r w:rsidR="00ED019D">
        <w:rPr>
          <w:rFonts w:ascii="Arial" w:hAnsi="Arial" w:cs="Arial"/>
          <w:sz w:val="27"/>
          <w:szCs w:val="27"/>
          <w:lang w:val="es-MX"/>
        </w:rPr>
        <w:t>constitucionalidad</w:t>
      </w:r>
      <w:r w:rsidR="00A07328">
        <w:rPr>
          <w:rFonts w:ascii="Arial" w:hAnsi="Arial" w:cs="Arial"/>
          <w:sz w:val="27"/>
          <w:szCs w:val="27"/>
          <w:lang w:val="es-MX"/>
        </w:rPr>
        <w:t xml:space="preserve"> sólo en cuanto a los procedimientos de aplicación de esa norma cuando son de origen interno</w:t>
      </w:r>
      <w:r w:rsidR="00ED019D">
        <w:rPr>
          <w:rFonts w:ascii="Arial" w:hAnsi="Arial" w:cs="Arial"/>
          <w:sz w:val="27"/>
          <w:szCs w:val="27"/>
          <w:lang w:val="es-MX"/>
        </w:rPr>
        <w:t xml:space="preserve">, la contradicción es inexistente porque ambas coinciden en que desde un plano de derecho </w:t>
      </w:r>
      <w:r w:rsidR="00A2414A">
        <w:rPr>
          <w:rFonts w:ascii="Arial" w:hAnsi="Arial" w:cs="Arial"/>
          <w:sz w:val="27"/>
          <w:szCs w:val="27"/>
          <w:lang w:val="es-MX"/>
        </w:rPr>
        <w:t>nacional</w:t>
      </w:r>
      <w:r w:rsidR="00ED019D">
        <w:rPr>
          <w:rFonts w:ascii="Arial" w:hAnsi="Arial" w:cs="Arial"/>
          <w:sz w:val="27"/>
          <w:szCs w:val="27"/>
          <w:lang w:val="es-MX"/>
        </w:rPr>
        <w:t xml:space="preserve"> el precepto impugnado tiene problemas de regularidad constitucional.</w:t>
      </w:r>
    </w:p>
    <w:p w14:paraId="331724E3" w14:textId="3C3B54AE" w:rsidR="00EE28A9" w:rsidRPr="00321130" w:rsidRDefault="00EE28A9" w:rsidP="00B80466">
      <w:pPr>
        <w:pStyle w:val="corte4fondo"/>
        <w:ind w:firstLine="708"/>
        <w:rPr>
          <w:rFonts w:cs="Arial"/>
          <w:sz w:val="18"/>
          <w:szCs w:val="18"/>
        </w:rPr>
      </w:pPr>
    </w:p>
    <w:p w14:paraId="50BF6CB4" w14:textId="31694086" w:rsidR="000A79BD" w:rsidRDefault="009E275B" w:rsidP="000A79BD">
      <w:pPr>
        <w:pStyle w:val="corte4fondo"/>
        <w:ind w:firstLine="851"/>
        <w:rPr>
          <w:rFonts w:cs="Arial"/>
          <w:snapToGrid w:val="0"/>
          <w:sz w:val="27"/>
          <w:szCs w:val="27"/>
        </w:rPr>
      </w:pPr>
      <w:r>
        <w:rPr>
          <w:rFonts w:cs="Arial"/>
          <w:snapToGrid w:val="0"/>
          <w:sz w:val="27"/>
          <w:szCs w:val="27"/>
        </w:rPr>
        <w:lastRenderedPageBreak/>
        <w:t>Respetuosamente no comparto dicha conclusión</w:t>
      </w:r>
      <w:r w:rsidR="00EA4318">
        <w:rPr>
          <w:rFonts w:cs="Arial"/>
          <w:snapToGrid w:val="0"/>
          <w:sz w:val="27"/>
          <w:szCs w:val="27"/>
        </w:rPr>
        <w:t>. S</w:t>
      </w:r>
      <w:r>
        <w:rPr>
          <w:rFonts w:cs="Arial"/>
          <w:snapToGrid w:val="0"/>
          <w:sz w:val="27"/>
          <w:szCs w:val="27"/>
        </w:rPr>
        <w:t xml:space="preserve">i bien es cierto que ambas Salas </w:t>
      </w:r>
      <w:r w:rsidR="00F534C5">
        <w:rPr>
          <w:rFonts w:cs="Arial"/>
          <w:snapToGrid w:val="0"/>
          <w:sz w:val="27"/>
          <w:szCs w:val="27"/>
        </w:rPr>
        <w:t>determinaron</w:t>
      </w:r>
      <w:r>
        <w:rPr>
          <w:rFonts w:cs="Arial"/>
          <w:snapToGrid w:val="0"/>
          <w:sz w:val="27"/>
          <w:szCs w:val="27"/>
        </w:rPr>
        <w:t xml:space="preserve"> la inconstitucionalidad del precepto respecto de procedimientos que tengan origen nacional, </w:t>
      </w:r>
      <w:r w:rsidR="00FA461A">
        <w:rPr>
          <w:rFonts w:cs="Arial"/>
          <w:snapToGrid w:val="0"/>
          <w:sz w:val="27"/>
          <w:szCs w:val="27"/>
        </w:rPr>
        <w:t xml:space="preserve">lo cierto es que la Segunda Sala también </w:t>
      </w:r>
      <w:r w:rsidR="00F534C5">
        <w:rPr>
          <w:rFonts w:cs="Arial"/>
          <w:snapToGrid w:val="0"/>
          <w:sz w:val="27"/>
          <w:szCs w:val="27"/>
        </w:rPr>
        <w:t>estableció</w:t>
      </w:r>
      <w:r w:rsidR="00FA461A">
        <w:rPr>
          <w:rFonts w:cs="Arial"/>
          <w:snapToGrid w:val="0"/>
          <w:sz w:val="27"/>
          <w:szCs w:val="27"/>
        </w:rPr>
        <w:t xml:space="preserve"> </w:t>
      </w:r>
      <w:proofErr w:type="gramStart"/>
      <w:r w:rsidR="00FA461A">
        <w:rPr>
          <w:rFonts w:cs="Arial"/>
          <w:snapToGrid w:val="0"/>
          <w:sz w:val="27"/>
          <w:szCs w:val="27"/>
        </w:rPr>
        <w:t>que</w:t>
      </w:r>
      <w:proofErr w:type="gramEnd"/>
      <w:r w:rsidR="00FA461A">
        <w:rPr>
          <w:rFonts w:cs="Arial"/>
          <w:snapToGrid w:val="0"/>
          <w:sz w:val="27"/>
          <w:szCs w:val="27"/>
        </w:rPr>
        <w:t xml:space="preserve"> si </w:t>
      </w:r>
      <w:r w:rsidR="00A2414A">
        <w:rPr>
          <w:rFonts w:cs="Arial"/>
          <w:snapToGrid w:val="0"/>
          <w:sz w:val="27"/>
          <w:szCs w:val="27"/>
        </w:rPr>
        <w:t xml:space="preserve">el </w:t>
      </w:r>
      <w:r w:rsidR="00F534C5">
        <w:rPr>
          <w:rFonts w:cs="Arial"/>
          <w:snapToGrid w:val="0"/>
          <w:sz w:val="27"/>
          <w:szCs w:val="27"/>
        </w:rPr>
        <w:t>bloqueo de cuentas</w:t>
      </w:r>
      <w:r w:rsidR="00FA461A">
        <w:rPr>
          <w:rFonts w:cs="Arial"/>
          <w:snapToGrid w:val="0"/>
          <w:sz w:val="27"/>
          <w:szCs w:val="27"/>
        </w:rPr>
        <w:t xml:space="preserve"> deriva </w:t>
      </w:r>
      <w:r w:rsidR="00F534C5">
        <w:rPr>
          <w:rFonts w:cs="Arial"/>
          <w:snapToGrid w:val="0"/>
          <w:sz w:val="27"/>
          <w:szCs w:val="27"/>
        </w:rPr>
        <w:t>de una resolución o pronunciamiento de un organismo internacional o del cumplimiento de una obligación bilateral o multilateral asumida por nuestro país</w:t>
      </w:r>
      <w:r w:rsidR="00FA461A">
        <w:rPr>
          <w:rFonts w:cs="Arial"/>
          <w:snapToGrid w:val="0"/>
          <w:sz w:val="27"/>
          <w:szCs w:val="27"/>
        </w:rPr>
        <w:t xml:space="preserve">, </w:t>
      </w:r>
      <w:r w:rsidR="006C4FB0">
        <w:rPr>
          <w:rFonts w:cs="Arial"/>
          <w:snapToGrid w:val="0"/>
          <w:sz w:val="27"/>
          <w:szCs w:val="27"/>
        </w:rPr>
        <w:t xml:space="preserve">debía realizarse una interpretación conforme para reconocer su </w:t>
      </w:r>
      <w:r w:rsidR="00F534C5">
        <w:rPr>
          <w:rFonts w:cs="Arial"/>
          <w:snapToGrid w:val="0"/>
          <w:sz w:val="27"/>
          <w:szCs w:val="27"/>
        </w:rPr>
        <w:t>constituciona</w:t>
      </w:r>
      <w:r w:rsidR="00A07328">
        <w:rPr>
          <w:rFonts w:cs="Arial"/>
          <w:snapToGrid w:val="0"/>
          <w:sz w:val="27"/>
          <w:szCs w:val="27"/>
        </w:rPr>
        <w:t>l</w:t>
      </w:r>
      <w:r w:rsidR="006C4FB0">
        <w:rPr>
          <w:rFonts w:cs="Arial"/>
          <w:snapToGrid w:val="0"/>
          <w:sz w:val="27"/>
          <w:szCs w:val="27"/>
        </w:rPr>
        <w:t xml:space="preserve">idad. Ello, a </w:t>
      </w:r>
      <w:r w:rsidR="00A07328">
        <w:rPr>
          <w:rFonts w:cs="Arial"/>
          <w:snapToGrid w:val="0"/>
          <w:sz w:val="27"/>
          <w:szCs w:val="27"/>
        </w:rPr>
        <w:t xml:space="preserve">mi parecer implica que para la Segunda Sala en ciertos </w:t>
      </w:r>
      <w:r w:rsidR="003B19B5">
        <w:rPr>
          <w:rFonts w:cs="Arial"/>
          <w:snapToGrid w:val="0"/>
          <w:sz w:val="27"/>
          <w:szCs w:val="27"/>
        </w:rPr>
        <w:t>casos el</w:t>
      </w:r>
      <w:r w:rsidR="006C4FB0">
        <w:rPr>
          <w:rFonts w:cs="Arial"/>
          <w:snapToGrid w:val="0"/>
          <w:sz w:val="27"/>
          <w:szCs w:val="27"/>
        </w:rPr>
        <w:t xml:space="preserve"> artículo 115 de la Ley de Instituciones de Crédito será </w:t>
      </w:r>
      <w:r w:rsidR="00A07328">
        <w:rPr>
          <w:rFonts w:cs="Arial"/>
          <w:snapToGrid w:val="0"/>
          <w:sz w:val="27"/>
          <w:szCs w:val="27"/>
        </w:rPr>
        <w:t xml:space="preserve">constitucional, mientras que para la Primera Sala todos </w:t>
      </w:r>
      <w:r w:rsidR="003B19B5">
        <w:rPr>
          <w:rFonts w:cs="Arial"/>
          <w:snapToGrid w:val="0"/>
          <w:sz w:val="27"/>
          <w:szCs w:val="27"/>
        </w:rPr>
        <w:t xml:space="preserve">los </w:t>
      </w:r>
      <w:r w:rsidR="00A07328">
        <w:rPr>
          <w:rFonts w:cs="Arial"/>
          <w:snapToGrid w:val="0"/>
          <w:sz w:val="27"/>
          <w:szCs w:val="27"/>
        </w:rPr>
        <w:t xml:space="preserve">procedimientos en que </w:t>
      </w:r>
      <w:r w:rsidR="006C4FB0">
        <w:rPr>
          <w:rFonts w:cs="Arial"/>
          <w:snapToGrid w:val="0"/>
          <w:sz w:val="27"/>
          <w:szCs w:val="27"/>
        </w:rPr>
        <w:t xml:space="preserve">se </w:t>
      </w:r>
      <w:r w:rsidR="00A07328">
        <w:rPr>
          <w:rFonts w:cs="Arial"/>
          <w:snapToGrid w:val="0"/>
          <w:sz w:val="27"/>
          <w:szCs w:val="27"/>
        </w:rPr>
        <w:t>aplique el referido</w:t>
      </w:r>
      <w:r w:rsidR="006C4FB0">
        <w:rPr>
          <w:rFonts w:cs="Arial"/>
          <w:snapToGrid w:val="0"/>
          <w:sz w:val="27"/>
          <w:szCs w:val="27"/>
        </w:rPr>
        <w:t xml:space="preserve"> precepto </w:t>
      </w:r>
      <w:r w:rsidR="00A07328">
        <w:rPr>
          <w:rFonts w:cs="Arial"/>
          <w:snapToGrid w:val="0"/>
          <w:sz w:val="27"/>
          <w:szCs w:val="27"/>
        </w:rPr>
        <w:t>serán inconstitucionales, con independencia de su origen nacional o internacional.</w:t>
      </w:r>
    </w:p>
    <w:p w14:paraId="112099E3" w14:textId="2ABC5D20" w:rsidR="00255B69" w:rsidRPr="00321130" w:rsidRDefault="00255B69" w:rsidP="000A79BD">
      <w:pPr>
        <w:pStyle w:val="corte4fondo"/>
        <w:ind w:firstLine="851"/>
        <w:rPr>
          <w:rFonts w:cs="Arial"/>
          <w:snapToGrid w:val="0"/>
          <w:sz w:val="20"/>
        </w:rPr>
      </w:pPr>
    </w:p>
    <w:p w14:paraId="105104FB" w14:textId="7D8ED143" w:rsidR="00EB302D" w:rsidRPr="00321130" w:rsidRDefault="00EB302D" w:rsidP="000A79BD">
      <w:pPr>
        <w:pStyle w:val="corte4fondo"/>
        <w:ind w:firstLine="851"/>
        <w:rPr>
          <w:rFonts w:cs="Arial"/>
          <w:snapToGrid w:val="0"/>
          <w:sz w:val="20"/>
        </w:rPr>
      </w:pPr>
    </w:p>
    <w:p w14:paraId="0FCEF9B7" w14:textId="16FFD474" w:rsidR="00EB302D" w:rsidRDefault="00EB302D" w:rsidP="00EB302D">
      <w:pPr>
        <w:pStyle w:val="corte4fondo"/>
        <w:ind w:firstLine="851"/>
        <w:rPr>
          <w:rFonts w:cs="Arial"/>
          <w:snapToGrid w:val="0"/>
          <w:sz w:val="27"/>
          <w:szCs w:val="27"/>
        </w:rPr>
      </w:pPr>
      <w:r>
        <w:rPr>
          <w:rFonts w:cs="Arial"/>
          <w:snapToGrid w:val="0"/>
          <w:sz w:val="27"/>
          <w:szCs w:val="27"/>
        </w:rPr>
        <w:t xml:space="preserve">Lo anterior implica que si bien existe coincidencia entre ambas Salas por cuanto hace a los aseguramientos cuya fuente sea nacional, lo cierto es que existe discrepancia </w:t>
      </w:r>
      <w:r w:rsidR="006C4FB0">
        <w:rPr>
          <w:rFonts w:cs="Arial"/>
          <w:snapToGrid w:val="0"/>
          <w:sz w:val="27"/>
          <w:szCs w:val="27"/>
        </w:rPr>
        <w:t xml:space="preserve">cuando </w:t>
      </w:r>
      <w:r>
        <w:rPr>
          <w:rFonts w:cs="Arial"/>
          <w:snapToGrid w:val="0"/>
          <w:sz w:val="27"/>
          <w:szCs w:val="27"/>
        </w:rPr>
        <w:t>l</w:t>
      </w:r>
      <w:r w:rsidR="006C4FB0">
        <w:rPr>
          <w:rFonts w:cs="Arial"/>
          <w:snapToGrid w:val="0"/>
          <w:sz w:val="27"/>
          <w:szCs w:val="27"/>
        </w:rPr>
        <w:t>a fuente de l</w:t>
      </w:r>
      <w:r>
        <w:rPr>
          <w:rFonts w:cs="Arial"/>
          <w:snapToGrid w:val="0"/>
          <w:sz w:val="27"/>
          <w:szCs w:val="27"/>
        </w:rPr>
        <w:t xml:space="preserve">os aseguramientos efectuados con fundamento en el artículo 115 de la Ley de Instituciones de Crédito </w:t>
      </w:r>
      <w:r w:rsidR="006C4FB0">
        <w:rPr>
          <w:rFonts w:cs="Arial"/>
          <w:snapToGrid w:val="0"/>
          <w:sz w:val="27"/>
          <w:szCs w:val="27"/>
        </w:rPr>
        <w:t xml:space="preserve">sea </w:t>
      </w:r>
      <w:r>
        <w:rPr>
          <w:rFonts w:cs="Arial"/>
          <w:snapToGrid w:val="0"/>
          <w:sz w:val="27"/>
          <w:szCs w:val="27"/>
        </w:rPr>
        <w:t>internacional.</w:t>
      </w:r>
    </w:p>
    <w:p w14:paraId="2F042F63" w14:textId="77777777" w:rsidR="00EB302D" w:rsidRPr="00321130" w:rsidRDefault="00EB302D" w:rsidP="000A79BD">
      <w:pPr>
        <w:pStyle w:val="corte4fondo"/>
        <w:ind w:firstLine="851"/>
        <w:rPr>
          <w:rFonts w:cs="Arial"/>
          <w:snapToGrid w:val="0"/>
          <w:sz w:val="20"/>
        </w:rPr>
      </w:pPr>
    </w:p>
    <w:p w14:paraId="174D6F4B" w14:textId="24A35DE0" w:rsidR="00255B69" w:rsidRPr="009D7A52" w:rsidRDefault="00255B69" w:rsidP="000A79BD">
      <w:pPr>
        <w:pStyle w:val="corte4fondo"/>
        <w:ind w:firstLine="851"/>
        <w:rPr>
          <w:rFonts w:cs="Arial"/>
          <w:snapToGrid w:val="0"/>
          <w:sz w:val="27"/>
          <w:szCs w:val="27"/>
        </w:rPr>
      </w:pPr>
      <w:r>
        <w:rPr>
          <w:rFonts w:cs="Arial"/>
          <w:snapToGrid w:val="0"/>
          <w:sz w:val="27"/>
          <w:szCs w:val="27"/>
        </w:rPr>
        <w:t>Con base en lo anterior, es</w:t>
      </w:r>
      <w:r w:rsidR="00361C90">
        <w:rPr>
          <w:rFonts w:cs="Arial"/>
          <w:snapToGrid w:val="0"/>
          <w:sz w:val="27"/>
          <w:szCs w:val="27"/>
        </w:rPr>
        <w:t xml:space="preserve">timo que </w:t>
      </w:r>
      <w:r w:rsidR="006C4FB0">
        <w:rPr>
          <w:rFonts w:cs="Arial"/>
          <w:snapToGrid w:val="0"/>
          <w:sz w:val="27"/>
          <w:szCs w:val="27"/>
        </w:rPr>
        <w:t xml:space="preserve">sí existía un genuino </w:t>
      </w:r>
      <w:r w:rsidR="00361C90">
        <w:rPr>
          <w:rFonts w:cs="Arial"/>
          <w:snapToGrid w:val="0"/>
          <w:sz w:val="27"/>
          <w:szCs w:val="27"/>
        </w:rPr>
        <w:t>punto de contradicción consist</w:t>
      </w:r>
      <w:r w:rsidR="006C4FB0">
        <w:rPr>
          <w:rFonts w:cs="Arial"/>
          <w:snapToGrid w:val="0"/>
          <w:sz w:val="27"/>
          <w:szCs w:val="27"/>
        </w:rPr>
        <w:t xml:space="preserve">ente </w:t>
      </w:r>
      <w:r w:rsidR="00361C90">
        <w:rPr>
          <w:rFonts w:cs="Arial"/>
          <w:snapToGrid w:val="0"/>
          <w:sz w:val="27"/>
          <w:szCs w:val="27"/>
        </w:rPr>
        <w:t xml:space="preserve">en </w:t>
      </w:r>
      <w:r w:rsidR="00E624D2">
        <w:rPr>
          <w:rFonts w:cs="Arial"/>
          <w:snapToGrid w:val="0"/>
          <w:sz w:val="27"/>
          <w:szCs w:val="27"/>
        </w:rPr>
        <w:t>determinar la constitucionalidad del bloque</w:t>
      </w:r>
      <w:r w:rsidR="00392B30">
        <w:rPr>
          <w:rFonts w:cs="Arial"/>
          <w:snapToGrid w:val="0"/>
          <w:sz w:val="27"/>
          <w:szCs w:val="27"/>
        </w:rPr>
        <w:t>o</w:t>
      </w:r>
      <w:r w:rsidR="00E624D2">
        <w:rPr>
          <w:rFonts w:cs="Arial"/>
          <w:snapToGrid w:val="0"/>
          <w:sz w:val="27"/>
          <w:szCs w:val="27"/>
        </w:rPr>
        <w:t xml:space="preserve"> de cuentas previsto en el artículo 115 de la Ley de Instituciones de Crédito cuando derive de una resolución u obligación de orden internacional</w:t>
      </w:r>
      <w:r w:rsidR="006C4FB0">
        <w:rPr>
          <w:rFonts w:cs="Arial"/>
          <w:snapToGrid w:val="0"/>
          <w:sz w:val="27"/>
          <w:szCs w:val="27"/>
        </w:rPr>
        <w:t xml:space="preserve">. Consecuentemente, </w:t>
      </w:r>
      <w:r w:rsidR="004427F4">
        <w:rPr>
          <w:rFonts w:cs="Arial"/>
          <w:snapToGrid w:val="0"/>
          <w:sz w:val="27"/>
          <w:szCs w:val="27"/>
        </w:rPr>
        <w:t xml:space="preserve">debió declararse la existencia de la contradicción y </w:t>
      </w:r>
      <w:r w:rsidR="00567CA4">
        <w:rPr>
          <w:rFonts w:cs="Arial"/>
          <w:snapToGrid w:val="0"/>
          <w:sz w:val="27"/>
          <w:szCs w:val="27"/>
        </w:rPr>
        <w:t xml:space="preserve">como Tribunal Pleno debimos </w:t>
      </w:r>
      <w:proofErr w:type="gramStart"/>
      <w:r w:rsidR="00567CA4">
        <w:rPr>
          <w:rFonts w:cs="Arial"/>
          <w:snapToGrid w:val="0"/>
          <w:sz w:val="27"/>
          <w:szCs w:val="27"/>
        </w:rPr>
        <w:t xml:space="preserve">proceder a </w:t>
      </w:r>
      <w:r w:rsidR="004427F4">
        <w:rPr>
          <w:rFonts w:cs="Arial"/>
          <w:snapToGrid w:val="0"/>
          <w:sz w:val="27"/>
          <w:szCs w:val="27"/>
        </w:rPr>
        <w:t>fijar</w:t>
      </w:r>
      <w:proofErr w:type="gramEnd"/>
      <w:r w:rsidR="004427F4">
        <w:rPr>
          <w:rFonts w:cs="Arial"/>
          <w:snapToGrid w:val="0"/>
          <w:sz w:val="27"/>
          <w:szCs w:val="27"/>
        </w:rPr>
        <w:t xml:space="preserve"> criterio </w:t>
      </w:r>
      <w:r w:rsidR="00567CA4">
        <w:rPr>
          <w:rFonts w:cs="Arial"/>
          <w:snapToGrid w:val="0"/>
          <w:sz w:val="27"/>
          <w:szCs w:val="27"/>
        </w:rPr>
        <w:t xml:space="preserve">respecto de </w:t>
      </w:r>
      <w:r w:rsidR="004427F4">
        <w:rPr>
          <w:rFonts w:cs="Arial"/>
          <w:snapToGrid w:val="0"/>
          <w:sz w:val="27"/>
          <w:szCs w:val="27"/>
        </w:rPr>
        <w:t>si los aseguramientos realizados con fundamento en esa norma y cuyo origen sea internacional, son o no constitucionalmente válidos.</w:t>
      </w:r>
    </w:p>
    <w:p w14:paraId="18F323DE" w14:textId="77777777" w:rsidR="001718C6" w:rsidRPr="00321130" w:rsidRDefault="001718C6" w:rsidP="00114723">
      <w:pPr>
        <w:pStyle w:val="corte4fondo"/>
        <w:spacing w:line="240" w:lineRule="auto"/>
        <w:ind w:firstLine="851"/>
        <w:rPr>
          <w:rFonts w:cs="Arial"/>
          <w:snapToGrid w:val="0"/>
          <w:sz w:val="18"/>
          <w:szCs w:val="18"/>
        </w:rPr>
      </w:pPr>
    </w:p>
    <w:p w14:paraId="006DE20D" w14:textId="2F809925" w:rsidR="007725C2" w:rsidRDefault="007725C2" w:rsidP="007725C2">
      <w:pPr>
        <w:spacing w:after="0" w:line="360" w:lineRule="auto"/>
        <w:ind w:firstLine="708"/>
        <w:jc w:val="both"/>
        <w:rPr>
          <w:rFonts w:ascii="Arial" w:hAnsi="Arial" w:cs="Arial"/>
          <w:sz w:val="27"/>
          <w:szCs w:val="27"/>
        </w:rPr>
      </w:pPr>
    </w:p>
    <w:p w14:paraId="31700796" w14:textId="77777777" w:rsidR="009D7A52" w:rsidRPr="009D7A52" w:rsidRDefault="009D7A52" w:rsidP="007725C2">
      <w:pPr>
        <w:spacing w:after="0" w:line="360" w:lineRule="auto"/>
        <w:ind w:firstLine="708"/>
        <w:jc w:val="both"/>
        <w:rPr>
          <w:rFonts w:ascii="Arial" w:hAnsi="Arial" w:cs="Arial"/>
          <w:sz w:val="27"/>
          <w:szCs w:val="27"/>
        </w:rPr>
      </w:pPr>
    </w:p>
    <w:p w14:paraId="31DFE510" w14:textId="77777777" w:rsidR="00DB692E" w:rsidRPr="009D7A52" w:rsidRDefault="00DB692E" w:rsidP="00DB692E">
      <w:pPr>
        <w:spacing w:after="0" w:line="360" w:lineRule="auto"/>
        <w:jc w:val="center"/>
        <w:rPr>
          <w:rFonts w:ascii="Arial" w:hAnsi="Arial" w:cs="Arial"/>
          <w:b/>
          <w:sz w:val="27"/>
          <w:szCs w:val="27"/>
          <w:lang w:val="es-MX"/>
        </w:rPr>
      </w:pPr>
      <w:r w:rsidRPr="009D7A52">
        <w:rPr>
          <w:rFonts w:ascii="Arial" w:hAnsi="Arial" w:cs="Arial"/>
          <w:b/>
          <w:sz w:val="27"/>
          <w:szCs w:val="27"/>
          <w:lang w:val="es-MX"/>
        </w:rPr>
        <w:t>MINISTRO JAVIER LAYNEZ POTISEK</w:t>
      </w:r>
    </w:p>
    <w:p w14:paraId="756377A8" w14:textId="77777777" w:rsidR="00B7363C" w:rsidRPr="009D7A52" w:rsidRDefault="00DB692E" w:rsidP="009D7A52">
      <w:pPr>
        <w:spacing w:after="0" w:line="360" w:lineRule="auto"/>
        <w:jc w:val="right"/>
        <w:rPr>
          <w:rFonts w:ascii="Arial" w:hAnsi="Arial" w:cs="Arial"/>
          <w:sz w:val="27"/>
          <w:szCs w:val="27"/>
        </w:rPr>
      </w:pPr>
      <w:r w:rsidRPr="009D7A52">
        <w:rPr>
          <w:rFonts w:ascii="Arial" w:hAnsi="Arial" w:cs="Arial"/>
          <w:sz w:val="27"/>
          <w:szCs w:val="27"/>
          <w:lang w:val="es-MX"/>
        </w:rPr>
        <w:t>CAAA</w:t>
      </w:r>
    </w:p>
    <w:sectPr w:rsidR="00B7363C" w:rsidRPr="009D7A52" w:rsidSect="0065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9442" w:code="10000"/>
      <w:pgMar w:top="2268" w:right="1701" w:bottom="2268" w:left="1701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C120" w14:textId="77777777" w:rsidR="00E35DEB" w:rsidRDefault="00E35DEB" w:rsidP="00DB692E">
      <w:pPr>
        <w:spacing w:after="0" w:line="240" w:lineRule="auto"/>
      </w:pPr>
      <w:r>
        <w:separator/>
      </w:r>
    </w:p>
  </w:endnote>
  <w:endnote w:type="continuationSeparator" w:id="0">
    <w:p w14:paraId="503DEF12" w14:textId="77777777" w:rsidR="00E35DEB" w:rsidRDefault="00E35DEB" w:rsidP="00DB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B672" w14:textId="77777777" w:rsidR="00FB5997" w:rsidRPr="007606D1" w:rsidRDefault="00FB5997" w:rsidP="00FB5997">
    <w:pPr>
      <w:pStyle w:val="Piedepgina"/>
      <w:framePr w:wrap="around" w:vAnchor="text" w:hAnchor="margin" w:xAlign="center" w:y="1"/>
      <w:jc w:val="right"/>
      <w:rPr>
        <w:rStyle w:val="Nmerodepgina"/>
        <w:rFonts w:ascii="Arial" w:hAnsi="Arial" w:cs="Arial"/>
      </w:rPr>
    </w:pPr>
    <w:r w:rsidRPr="007606D1">
      <w:rPr>
        <w:rStyle w:val="Nmerodepgina"/>
        <w:rFonts w:ascii="Arial" w:hAnsi="Arial" w:cs="Arial"/>
      </w:rPr>
      <w:fldChar w:fldCharType="begin"/>
    </w:r>
    <w:r w:rsidRPr="007606D1">
      <w:rPr>
        <w:rStyle w:val="Nmerodepgina"/>
        <w:rFonts w:ascii="Arial" w:hAnsi="Arial" w:cs="Arial"/>
      </w:rPr>
      <w:instrText xml:space="preserve">PAGE  </w:instrText>
    </w:r>
    <w:r w:rsidRPr="007606D1">
      <w:rPr>
        <w:rStyle w:val="Nmerodepgina"/>
        <w:rFonts w:ascii="Arial" w:hAnsi="Arial" w:cs="Arial"/>
      </w:rPr>
      <w:fldChar w:fldCharType="separate"/>
    </w:r>
    <w:r w:rsidR="00264224">
      <w:rPr>
        <w:rStyle w:val="Nmerodepgina"/>
        <w:rFonts w:ascii="Arial" w:hAnsi="Arial" w:cs="Arial"/>
        <w:noProof/>
      </w:rPr>
      <w:t>2</w:t>
    </w:r>
    <w:r w:rsidRPr="007606D1">
      <w:rPr>
        <w:rStyle w:val="Nmerodepgina"/>
        <w:rFonts w:ascii="Arial" w:hAnsi="Arial" w:cs="Arial"/>
      </w:rPr>
      <w:fldChar w:fldCharType="end"/>
    </w:r>
  </w:p>
  <w:p w14:paraId="673CDE92" w14:textId="77777777" w:rsidR="00FB5997" w:rsidRDefault="00FB5997" w:rsidP="00FB59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4007" w14:textId="77777777" w:rsidR="00FB5997" w:rsidRPr="002B3C9B" w:rsidRDefault="00FB5997" w:rsidP="00FB5997">
    <w:pPr>
      <w:pStyle w:val="Piedepgina"/>
      <w:jc w:val="center"/>
      <w:rPr>
        <w:rFonts w:ascii="Arial" w:hAnsi="Arial" w:cs="Arial"/>
      </w:rPr>
    </w:pPr>
    <w:r w:rsidRPr="002B3C9B">
      <w:rPr>
        <w:rFonts w:ascii="Arial" w:hAnsi="Arial" w:cs="Arial"/>
      </w:rPr>
      <w:fldChar w:fldCharType="begin"/>
    </w:r>
    <w:r w:rsidRPr="002B3C9B">
      <w:rPr>
        <w:rFonts w:ascii="Arial" w:hAnsi="Arial" w:cs="Arial"/>
      </w:rPr>
      <w:instrText>PAGE   \* MERGEFORMAT</w:instrText>
    </w:r>
    <w:r w:rsidRPr="002B3C9B">
      <w:rPr>
        <w:rFonts w:ascii="Arial" w:hAnsi="Arial" w:cs="Arial"/>
      </w:rPr>
      <w:fldChar w:fldCharType="separate"/>
    </w:r>
    <w:r w:rsidR="00264224" w:rsidRPr="00264224">
      <w:rPr>
        <w:rFonts w:ascii="Arial" w:hAnsi="Arial" w:cs="Arial"/>
        <w:noProof/>
        <w:lang w:val="es-ES"/>
      </w:rPr>
      <w:t>3</w:t>
    </w:r>
    <w:r w:rsidRPr="002B3C9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983E" w14:textId="77777777" w:rsidR="00E35DEB" w:rsidRDefault="00E35DEB" w:rsidP="00DB692E">
      <w:pPr>
        <w:spacing w:after="0" w:line="240" w:lineRule="auto"/>
      </w:pPr>
      <w:r>
        <w:separator/>
      </w:r>
    </w:p>
  </w:footnote>
  <w:footnote w:type="continuationSeparator" w:id="0">
    <w:p w14:paraId="701E2204" w14:textId="77777777" w:rsidR="00E35DEB" w:rsidRDefault="00E35DEB" w:rsidP="00DB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908E" w14:textId="77777777" w:rsidR="00F63C2A" w:rsidRDefault="00FB5997" w:rsidP="00814104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VOTO PARTICULAR FORMULADO EN </w:t>
    </w:r>
    <w:r w:rsidR="00814104">
      <w:rPr>
        <w:rFonts w:ascii="Arial" w:hAnsi="Arial" w:cs="Arial"/>
        <w:b/>
      </w:rPr>
      <w:t xml:space="preserve">LA </w:t>
    </w:r>
  </w:p>
  <w:p w14:paraId="4FAE0054" w14:textId="605C14A9" w:rsidR="00FB5997" w:rsidRPr="00762983" w:rsidRDefault="00814104" w:rsidP="00814104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CONTRADICCIÓN DE TESIS </w:t>
    </w:r>
    <w:r w:rsidR="00F63C2A">
      <w:rPr>
        <w:rFonts w:ascii="Arial" w:hAnsi="Arial" w:cs="Arial"/>
        <w:b/>
      </w:rPr>
      <w:t>42</w:t>
    </w:r>
    <w:r>
      <w:rPr>
        <w:rFonts w:ascii="Arial" w:hAnsi="Arial" w:cs="Arial"/>
        <w:b/>
      </w:rPr>
      <w:t>/</w:t>
    </w:r>
    <w:r w:rsidR="007157F2">
      <w:rPr>
        <w:rFonts w:ascii="Arial" w:hAnsi="Arial" w:cs="Arial"/>
        <w:b/>
      </w:rPr>
      <w:t>20</w:t>
    </w:r>
    <w:r w:rsidR="00F63C2A">
      <w:rPr>
        <w:rFonts w:ascii="Arial" w:hAnsi="Arial" w:cs="Arial"/>
        <w:b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BBB" w14:textId="77777777" w:rsidR="004E3038" w:rsidRDefault="00FB5997" w:rsidP="00814104">
    <w:pPr>
      <w:pStyle w:val="Encabezado"/>
      <w:jc w:val="right"/>
      <w:rPr>
        <w:rFonts w:ascii="Arial" w:hAnsi="Arial" w:cs="Arial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637FA6" wp14:editId="0F24B643">
              <wp:simplePos x="0" y="0"/>
              <wp:positionH relativeFrom="margin">
                <wp:posOffset>-626745</wp:posOffset>
              </wp:positionH>
              <wp:positionV relativeFrom="margin">
                <wp:posOffset>-1122045</wp:posOffset>
              </wp:positionV>
              <wp:extent cx="1946910" cy="18351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6910" cy="183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9ADA7" id="Rectángulo 1" o:spid="_x0000_s1026" style="position:absolute;margin-left:-49.35pt;margin-top:-88.35pt;width:153.3pt;height:1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" stroked="f">
              <w10:wrap type="square" anchorx="margin" anchory="margin"/>
            </v:rect>
          </w:pict>
        </mc:Fallback>
      </mc:AlternateContent>
    </w:r>
    <w:r>
      <w:rPr>
        <w:rFonts w:ascii="Arial" w:hAnsi="Arial" w:cs="Arial"/>
        <w:b/>
      </w:rPr>
      <w:t xml:space="preserve">VOTO PARTICULAR FORMULADO EN </w:t>
    </w:r>
    <w:r w:rsidR="00814104">
      <w:rPr>
        <w:rFonts w:ascii="Arial" w:hAnsi="Arial" w:cs="Arial"/>
        <w:b/>
      </w:rPr>
      <w:t xml:space="preserve">LA </w:t>
    </w:r>
  </w:p>
  <w:p w14:paraId="07CCA1DC" w14:textId="5679C1B4" w:rsidR="00FB5997" w:rsidRPr="00756058" w:rsidRDefault="00814104" w:rsidP="00814104">
    <w:pPr>
      <w:pStyle w:val="Encabezado"/>
      <w:jc w:val="right"/>
      <w:rPr>
        <w:rFonts w:ascii="Arial" w:hAnsi="Arial" w:cs="Arial"/>
        <w:b/>
        <w:lang w:val="es-MX"/>
      </w:rPr>
    </w:pPr>
    <w:r>
      <w:rPr>
        <w:rFonts w:ascii="Arial" w:hAnsi="Arial" w:cs="Arial"/>
        <w:b/>
      </w:rPr>
      <w:t xml:space="preserve">CONTRADICCIÓN DE TESIS </w:t>
    </w:r>
    <w:r w:rsidR="00023228">
      <w:rPr>
        <w:rFonts w:ascii="Arial" w:hAnsi="Arial" w:cs="Arial"/>
        <w:b/>
      </w:rPr>
      <w:t>42</w:t>
    </w:r>
    <w:r>
      <w:rPr>
        <w:rFonts w:ascii="Arial" w:hAnsi="Arial" w:cs="Arial"/>
        <w:b/>
      </w:rPr>
      <w:t>/</w:t>
    </w:r>
    <w:r w:rsidR="00B434E2">
      <w:rPr>
        <w:rFonts w:ascii="Arial" w:hAnsi="Arial" w:cs="Arial"/>
        <w:b/>
      </w:rPr>
      <w:t>20</w:t>
    </w:r>
    <w:r w:rsidR="00023228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8E1" w14:textId="77777777" w:rsidR="00FB5997" w:rsidRDefault="00FB599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70E03B" wp14:editId="1B56EEFF">
              <wp:simplePos x="0" y="0"/>
              <wp:positionH relativeFrom="margin">
                <wp:posOffset>-474345</wp:posOffset>
              </wp:positionH>
              <wp:positionV relativeFrom="margin">
                <wp:posOffset>-969645</wp:posOffset>
              </wp:positionV>
              <wp:extent cx="1946910" cy="1835150"/>
              <wp:effectExtent l="0" t="0" r="0" b="0"/>
              <wp:wrapSquare wrapText="bothSides"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6910" cy="183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A929D" id="Rectángulo 4" o:spid="_x0000_s1026" style="position:absolute;margin-left:-37.35pt;margin-top:-76.35pt;width:153.3pt;height:1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" stroked="f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8C9"/>
    <w:multiLevelType w:val="multilevel"/>
    <w:tmpl w:val="F3D23F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" w15:restartNumberingAfterBreak="0">
    <w:nsid w:val="704149E6"/>
    <w:multiLevelType w:val="hybridMultilevel"/>
    <w:tmpl w:val="DBF620AA"/>
    <w:lvl w:ilvl="0" w:tplc="FF1C9E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01406">
    <w:abstractNumId w:val="0"/>
  </w:num>
  <w:num w:numId="2" w16cid:durableId="38321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2E"/>
    <w:rsid w:val="00023228"/>
    <w:rsid w:val="00037B90"/>
    <w:rsid w:val="0005573C"/>
    <w:rsid w:val="0006745A"/>
    <w:rsid w:val="00083C94"/>
    <w:rsid w:val="000A79BD"/>
    <w:rsid w:val="000C49D4"/>
    <w:rsid w:val="000E3DEA"/>
    <w:rsid w:val="000F6231"/>
    <w:rsid w:val="00113EDD"/>
    <w:rsid w:val="00114723"/>
    <w:rsid w:val="0013158D"/>
    <w:rsid w:val="001351EA"/>
    <w:rsid w:val="0013614B"/>
    <w:rsid w:val="001718C6"/>
    <w:rsid w:val="00172D62"/>
    <w:rsid w:val="001A5D35"/>
    <w:rsid w:val="001C2475"/>
    <w:rsid w:val="001F1E59"/>
    <w:rsid w:val="00227279"/>
    <w:rsid w:val="00242C19"/>
    <w:rsid w:val="00250DC4"/>
    <w:rsid w:val="00255B69"/>
    <w:rsid w:val="00263602"/>
    <w:rsid w:val="00264224"/>
    <w:rsid w:val="00270FF4"/>
    <w:rsid w:val="002711D1"/>
    <w:rsid w:val="002933CD"/>
    <w:rsid w:val="002A6384"/>
    <w:rsid w:val="002B511B"/>
    <w:rsid w:val="003176C7"/>
    <w:rsid w:val="00321130"/>
    <w:rsid w:val="00343B81"/>
    <w:rsid w:val="00361C90"/>
    <w:rsid w:val="00383F56"/>
    <w:rsid w:val="00392B30"/>
    <w:rsid w:val="003B19B5"/>
    <w:rsid w:val="003C44C2"/>
    <w:rsid w:val="003C6911"/>
    <w:rsid w:val="003D68B8"/>
    <w:rsid w:val="004008E8"/>
    <w:rsid w:val="004427F4"/>
    <w:rsid w:val="00446DF3"/>
    <w:rsid w:val="00452C8A"/>
    <w:rsid w:val="004B4529"/>
    <w:rsid w:val="004E3038"/>
    <w:rsid w:val="004F575A"/>
    <w:rsid w:val="00556DFA"/>
    <w:rsid w:val="00557FB9"/>
    <w:rsid w:val="00567CA4"/>
    <w:rsid w:val="00571C35"/>
    <w:rsid w:val="005808CD"/>
    <w:rsid w:val="005A6DC4"/>
    <w:rsid w:val="005F7F4F"/>
    <w:rsid w:val="006329E5"/>
    <w:rsid w:val="00636D12"/>
    <w:rsid w:val="00642B43"/>
    <w:rsid w:val="00647027"/>
    <w:rsid w:val="00651742"/>
    <w:rsid w:val="006665CF"/>
    <w:rsid w:val="006C4FB0"/>
    <w:rsid w:val="006F496E"/>
    <w:rsid w:val="006F59D3"/>
    <w:rsid w:val="00702021"/>
    <w:rsid w:val="00702DF1"/>
    <w:rsid w:val="0071379B"/>
    <w:rsid w:val="007157F2"/>
    <w:rsid w:val="00715AAA"/>
    <w:rsid w:val="007260E1"/>
    <w:rsid w:val="00727654"/>
    <w:rsid w:val="00743377"/>
    <w:rsid w:val="00754B8B"/>
    <w:rsid w:val="007725C2"/>
    <w:rsid w:val="007D4F0B"/>
    <w:rsid w:val="007E19A7"/>
    <w:rsid w:val="007E5651"/>
    <w:rsid w:val="007F00BB"/>
    <w:rsid w:val="00807EDA"/>
    <w:rsid w:val="00814104"/>
    <w:rsid w:val="0082389B"/>
    <w:rsid w:val="00847AFD"/>
    <w:rsid w:val="00852171"/>
    <w:rsid w:val="008758C5"/>
    <w:rsid w:val="00880EA8"/>
    <w:rsid w:val="00891672"/>
    <w:rsid w:val="008C051D"/>
    <w:rsid w:val="008E30B6"/>
    <w:rsid w:val="008E4832"/>
    <w:rsid w:val="0091451D"/>
    <w:rsid w:val="00921A3E"/>
    <w:rsid w:val="00926054"/>
    <w:rsid w:val="00942E73"/>
    <w:rsid w:val="00955257"/>
    <w:rsid w:val="00975E6B"/>
    <w:rsid w:val="009875E1"/>
    <w:rsid w:val="009B1858"/>
    <w:rsid w:val="009D7A52"/>
    <w:rsid w:val="009E060B"/>
    <w:rsid w:val="009E275B"/>
    <w:rsid w:val="00A07328"/>
    <w:rsid w:val="00A1739D"/>
    <w:rsid w:val="00A2414A"/>
    <w:rsid w:val="00A43DD1"/>
    <w:rsid w:val="00A66D36"/>
    <w:rsid w:val="00AB5770"/>
    <w:rsid w:val="00AB7774"/>
    <w:rsid w:val="00AC131E"/>
    <w:rsid w:val="00AE1880"/>
    <w:rsid w:val="00AF2208"/>
    <w:rsid w:val="00AF623C"/>
    <w:rsid w:val="00B130BC"/>
    <w:rsid w:val="00B30A95"/>
    <w:rsid w:val="00B35ECE"/>
    <w:rsid w:val="00B434E2"/>
    <w:rsid w:val="00B6530D"/>
    <w:rsid w:val="00B7363C"/>
    <w:rsid w:val="00B80466"/>
    <w:rsid w:val="00B91FB2"/>
    <w:rsid w:val="00BB2B55"/>
    <w:rsid w:val="00C3579F"/>
    <w:rsid w:val="00C451B6"/>
    <w:rsid w:val="00C71518"/>
    <w:rsid w:val="00CB03C5"/>
    <w:rsid w:val="00CC1017"/>
    <w:rsid w:val="00D74AB5"/>
    <w:rsid w:val="00DA45DF"/>
    <w:rsid w:val="00DB692E"/>
    <w:rsid w:val="00E10505"/>
    <w:rsid w:val="00E27451"/>
    <w:rsid w:val="00E35C3A"/>
    <w:rsid w:val="00E35DEB"/>
    <w:rsid w:val="00E624D2"/>
    <w:rsid w:val="00E73271"/>
    <w:rsid w:val="00E94600"/>
    <w:rsid w:val="00E96193"/>
    <w:rsid w:val="00EA3B8E"/>
    <w:rsid w:val="00EA4318"/>
    <w:rsid w:val="00EB302D"/>
    <w:rsid w:val="00EC0474"/>
    <w:rsid w:val="00ED019D"/>
    <w:rsid w:val="00EE28A9"/>
    <w:rsid w:val="00EE75D6"/>
    <w:rsid w:val="00F12A66"/>
    <w:rsid w:val="00F50C89"/>
    <w:rsid w:val="00F534C5"/>
    <w:rsid w:val="00F63C2A"/>
    <w:rsid w:val="00F72A41"/>
    <w:rsid w:val="00FA2364"/>
    <w:rsid w:val="00FA461A"/>
    <w:rsid w:val="00FB5997"/>
    <w:rsid w:val="00FC4EA3"/>
    <w:rsid w:val="00FC58ED"/>
    <w:rsid w:val="00FD627B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5999"/>
  <w15:chartTrackingRefBased/>
  <w15:docId w15:val="{E4731616-CCB7-47A3-9607-9DDB7408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2E"/>
    <w:pPr>
      <w:spacing w:after="200" w:line="276" w:lineRule="auto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te4fondo">
    <w:name w:val="corte4 fondo"/>
    <w:basedOn w:val="Normal"/>
    <w:link w:val="corte4fondoCar1"/>
    <w:qFormat/>
    <w:rsid w:val="00DB692E"/>
    <w:pPr>
      <w:spacing w:after="0" w:line="360" w:lineRule="auto"/>
      <w:ind w:firstLine="709"/>
      <w:jc w:val="both"/>
    </w:pPr>
    <w:rPr>
      <w:rFonts w:ascii="Arial" w:eastAsia="Times New Roman" w:hAnsi="Arial"/>
      <w:sz w:val="30"/>
      <w:szCs w:val="20"/>
      <w:lang w:eastAsia="x-none"/>
    </w:rPr>
  </w:style>
  <w:style w:type="character" w:customStyle="1" w:styleId="corte4fondoCar1">
    <w:name w:val="corte4 fondo Car1"/>
    <w:link w:val="corte4fondo"/>
    <w:locked/>
    <w:rsid w:val="00DB692E"/>
    <w:rPr>
      <w:rFonts w:ascii="Arial" w:eastAsia="Times New Roman" w:hAnsi="Arial" w:cs="Times New Roman"/>
      <w:sz w:val="3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DB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92E"/>
    <w:rPr>
      <w:rFonts w:ascii="Cambria" w:eastAsia="Cambria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DB692E"/>
  </w:style>
  <w:style w:type="paragraph" w:styleId="Textonotapie">
    <w:name w:val="footnote text"/>
    <w:basedOn w:val="Normal"/>
    <w:link w:val="TextonotapieCar"/>
    <w:uiPriority w:val="99"/>
    <w:unhideWhenUsed/>
    <w:rsid w:val="00DB692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692E"/>
    <w:rPr>
      <w:rFonts w:ascii="Cambria" w:eastAsia="Cambria" w:hAnsi="Cambria" w:cs="Times New Roman"/>
      <w:sz w:val="24"/>
      <w:szCs w:val="24"/>
      <w:lang w:val="es-ES_tradnl"/>
    </w:rPr>
  </w:style>
  <w:style w:type="character" w:styleId="Refdenotaalpie">
    <w:name w:val="footnote reference"/>
    <w:aliases w:val="Ref. de nota al pie 2,Footnotes refss,Texto de nota al pie,Appel note de bas de page,Stinking Styles,Stinking Styles5,Footnote number,referencia nota al pie,BVI fnr,f,ftref,4_G,16 Point,Superscript 6 Point,Footnote Reference Char3,f1"/>
    <w:uiPriority w:val="99"/>
    <w:unhideWhenUsed/>
    <w:qFormat/>
    <w:rsid w:val="00DB692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B6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92E"/>
    <w:rPr>
      <w:rFonts w:ascii="Cambria" w:eastAsia="Cambria" w:hAnsi="Cambria" w:cs="Times New Roman"/>
      <w:lang w:val="es-ES_tradnl"/>
    </w:rPr>
  </w:style>
  <w:style w:type="paragraph" w:styleId="Prrafodelista">
    <w:name w:val="List Paragraph"/>
    <w:aliases w:val="TEXTO GENERAL SENTENCIAS,Cita texto,Footnote"/>
    <w:basedOn w:val="Normal"/>
    <w:link w:val="PrrafodelistaCar"/>
    <w:uiPriority w:val="34"/>
    <w:qFormat/>
    <w:rsid w:val="00E7327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MX"/>
    </w:rPr>
  </w:style>
  <w:style w:type="character" w:customStyle="1" w:styleId="PrrafodelistaCar">
    <w:name w:val="Párrafo de lista Car"/>
    <w:aliases w:val="TEXTO GENERAL SENTENCIAS Car,Cita texto Car,Footnote Car"/>
    <w:link w:val="Prrafodelista"/>
    <w:uiPriority w:val="34"/>
    <w:locked/>
    <w:rsid w:val="00E73271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t1">
    <w:name w:val="st1"/>
    <w:rsid w:val="00702DF1"/>
  </w:style>
  <w:style w:type="paragraph" w:customStyle="1" w:styleId="corte4fondoCar">
    <w:name w:val="corte4 fondo Car"/>
    <w:basedOn w:val="Normal"/>
    <w:link w:val="corte4fondoCarCar"/>
    <w:rsid w:val="003176C7"/>
    <w:pPr>
      <w:spacing w:after="0" w:line="360" w:lineRule="auto"/>
      <w:ind w:firstLine="709"/>
      <w:jc w:val="both"/>
    </w:pPr>
    <w:rPr>
      <w:rFonts w:ascii="Arial" w:eastAsia="Times New Roman" w:hAnsi="Arial"/>
      <w:sz w:val="30"/>
      <w:szCs w:val="20"/>
      <w:lang w:eastAsia="es-MX"/>
    </w:rPr>
  </w:style>
  <w:style w:type="character" w:customStyle="1" w:styleId="corte4fondoCarCar">
    <w:name w:val="corte4 fondo Car Car"/>
    <w:link w:val="corte4fondoCar"/>
    <w:rsid w:val="003176C7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C3A"/>
    <w:rPr>
      <w:rFonts w:ascii="Segoe UI" w:eastAsia="Cambria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EA4318"/>
    <w:pPr>
      <w:spacing w:after="0" w:line="240" w:lineRule="auto"/>
    </w:pPr>
    <w:rPr>
      <w:rFonts w:ascii="Cambria" w:eastAsia="Cambria" w:hAnsi="Cambria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C4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FB0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FB0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C091-411B-4C65-8E7A-BE5A312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SCJN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GONZALEZ ALCALA</dc:creator>
  <cp:keywords/>
  <dc:description/>
  <cp:lastModifiedBy>MIGUEL ANGEL ANDRADE SOLANA</cp:lastModifiedBy>
  <cp:revision>2</cp:revision>
  <cp:lastPrinted>2019-03-08T20:33:00Z</cp:lastPrinted>
  <dcterms:created xsi:type="dcterms:W3CDTF">2022-05-20T15:08:00Z</dcterms:created>
  <dcterms:modified xsi:type="dcterms:W3CDTF">2022-05-20T15:08:00Z</dcterms:modified>
</cp:coreProperties>
</file>