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6E82" w14:textId="29EBAF01" w:rsidR="0075028B" w:rsidRPr="005143F7" w:rsidRDefault="0075028B" w:rsidP="00C223C8">
      <w:pPr>
        <w:spacing w:before="240" w:after="240" w:line="360" w:lineRule="auto"/>
        <w:ind w:left="1560"/>
        <w:jc w:val="both"/>
        <w:rPr>
          <w:rFonts w:ascii="Arial" w:hAnsi="Arial" w:cs="Arial"/>
          <w:b/>
          <w:color w:val="000000" w:themeColor="text1"/>
          <w:sz w:val="28"/>
          <w:szCs w:val="28"/>
        </w:rPr>
      </w:pPr>
      <w:r w:rsidRPr="005143F7">
        <w:rPr>
          <w:rFonts w:ascii="Arial" w:hAnsi="Arial" w:cs="Arial"/>
          <w:b/>
          <w:sz w:val="28"/>
          <w:szCs w:val="28"/>
        </w:rPr>
        <w:t>VOTO ACLARATORIO QUE FORMULA LA MINISTRA ANA MARGARITA RÍOS FARJAT EN LA AC</w:t>
      </w:r>
      <w:r w:rsidR="002E556F" w:rsidRPr="005143F7">
        <w:rPr>
          <w:rFonts w:ascii="Arial" w:hAnsi="Arial" w:cs="Arial"/>
          <w:b/>
          <w:sz w:val="28"/>
          <w:szCs w:val="28"/>
        </w:rPr>
        <w:t xml:space="preserve">CIÓN DE INCONSTITUCIONALIDAD </w:t>
      </w:r>
      <w:r w:rsidR="00203942">
        <w:rPr>
          <w:rFonts w:ascii="Arial" w:hAnsi="Arial" w:cs="Arial"/>
          <w:b/>
          <w:sz w:val="28"/>
          <w:szCs w:val="28"/>
        </w:rPr>
        <w:t>285</w:t>
      </w:r>
      <w:r w:rsidR="007C0D76">
        <w:rPr>
          <w:rFonts w:ascii="Arial" w:hAnsi="Arial" w:cs="Arial"/>
          <w:b/>
          <w:sz w:val="28"/>
          <w:szCs w:val="28"/>
        </w:rPr>
        <w:t>/20</w:t>
      </w:r>
      <w:r w:rsidR="00203942">
        <w:rPr>
          <w:rFonts w:ascii="Arial" w:hAnsi="Arial" w:cs="Arial"/>
          <w:b/>
          <w:sz w:val="28"/>
          <w:szCs w:val="28"/>
        </w:rPr>
        <w:t>20</w:t>
      </w:r>
      <w:r w:rsidR="004C13E7">
        <w:rPr>
          <w:rFonts w:ascii="Arial" w:hAnsi="Arial" w:cs="Arial"/>
          <w:b/>
          <w:sz w:val="28"/>
          <w:szCs w:val="28"/>
        </w:rPr>
        <w:t>.</w:t>
      </w:r>
    </w:p>
    <w:p w14:paraId="1A053BBE" w14:textId="77777777" w:rsidR="002C05C9" w:rsidRPr="005143F7" w:rsidRDefault="002C05C9" w:rsidP="00C223C8">
      <w:pPr>
        <w:spacing w:before="240" w:after="240" w:line="360" w:lineRule="auto"/>
        <w:ind w:left="1560"/>
        <w:rPr>
          <w:rFonts w:ascii="Arial" w:eastAsiaTheme="minorHAnsi" w:hAnsi="Arial" w:cs="Arial"/>
          <w:b/>
          <w:spacing w:val="60"/>
          <w:sz w:val="26"/>
          <w:szCs w:val="26"/>
          <w:lang w:val="es-MX" w:eastAsia="en-US"/>
        </w:rPr>
      </w:pPr>
    </w:p>
    <w:p w14:paraId="6F2BB319" w14:textId="666A4453" w:rsidR="00C223C8" w:rsidRPr="005143F7" w:rsidRDefault="00EF482D" w:rsidP="00C223C8">
      <w:pPr>
        <w:spacing w:before="240" w:after="240" w:line="360" w:lineRule="auto"/>
        <w:jc w:val="both"/>
        <w:rPr>
          <w:rFonts w:ascii="Arial" w:hAnsi="Arial" w:cs="Arial"/>
          <w:sz w:val="26"/>
          <w:szCs w:val="26"/>
        </w:rPr>
      </w:pPr>
      <w:r w:rsidRPr="00EF482D">
        <w:rPr>
          <w:rFonts w:ascii="Arial" w:hAnsi="Arial" w:cs="Arial"/>
          <w:sz w:val="26"/>
          <w:szCs w:val="26"/>
        </w:rPr>
        <w:t xml:space="preserve">En la sesión celebrada el </w:t>
      </w:r>
      <w:r w:rsidR="00F42D6C">
        <w:rPr>
          <w:rFonts w:ascii="Arial" w:hAnsi="Arial" w:cs="Arial"/>
          <w:sz w:val="26"/>
          <w:szCs w:val="26"/>
        </w:rPr>
        <w:t>trece de julio</w:t>
      </w:r>
      <w:r w:rsidRPr="00EF482D">
        <w:rPr>
          <w:rFonts w:ascii="Arial" w:hAnsi="Arial" w:cs="Arial"/>
          <w:sz w:val="26"/>
          <w:szCs w:val="26"/>
        </w:rPr>
        <w:t xml:space="preserve"> de dos mil veintiuno, el Pleno de la Suprema Corte de Justicia de la Nación resolvió la acción de inconstitucionalidad que </w:t>
      </w:r>
      <w:r w:rsidR="00602F4C" w:rsidRPr="005143F7">
        <w:rPr>
          <w:rFonts w:ascii="Arial" w:hAnsi="Arial" w:cs="Arial"/>
          <w:sz w:val="26"/>
          <w:szCs w:val="26"/>
        </w:rPr>
        <w:t>promovió la Comisión Nacional de los Derechos Humanos</w:t>
      </w:r>
      <w:r w:rsidRPr="00EF482D">
        <w:rPr>
          <w:rFonts w:ascii="Arial" w:hAnsi="Arial" w:cs="Arial"/>
          <w:sz w:val="26"/>
          <w:szCs w:val="26"/>
        </w:rPr>
        <w:t xml:space="preserve">, en contra del “Decreto </w:t>
      </w:r>
      <w:r w:rsidR="00602F4C">
        <w:rPr>
          <w:rFonts w:ascii="Arial" w:hAnsi="Arial" w:cs="Arial"/>
          <w:sz w:val="26"/>
          <w:szCs w:val="26"/>
        </w:rPr>
        <w:t>N</w:t>
      </w:r>
      <w:r w:rsidRPr="00EF482D">
        <w:rPr>
          <w:rFonts w:ascii="Arial" w:hAnsi="Arial" w:cs="Arial"/>
          <w:sz w:val="26"/>
          <w:szCs w:val="26"/>
        </w:rPr>
        <w:t>úmero 7</w:t>
      </w:r>
      <w:r w:rsidR="00602F4C">
        <w:rPr>
          <w:rFonts w:ascii="Arial" w:hAnsi="Arial" w:cs="Arial"/>
          <w:sz w:val="26"/>
          <w:szCs w:val="26"/>
        </w:rPr>
        <w:t>39</w:t>
      </w:r>
      <w:r w:rsidRPr="00EF482D">
        <w:rPr>
          <w:rFonts w:ascii="Arial" w:hAnsi="Arial" w:cs="Arial"/>
          <w:sz w:val="26"/>
          <w:szCs w:val="26"/>
        </w:rPr>
        <w:t xml:space="preserve"> por el que se</w:t>
      </w:r>
      <w:r w:rsidR="00602F4C">
        <w:rPr>
          <w:rFonts w:ascii="Arial" w:hAnsi="Arial" w:cs="Arial"/>
          <w:sz w:val="26"/>
          <w:szCs w:val="26"/>
        </w:rPr>
        <w:t xml:space="preserve"> adicionaron un tercer, cuarto, quinto y sexto párrafos, recorriéndose los ulteriores, del artículo 7° de la Constitución Política del Estado de Coahuila de Zaragoza</w:t>
      </w:r>
      <w:r w:rsidRPr="00EF482D">
        <w:rPr>
          <w:rFonts w:ascii="Arial" w:hAnsi="Arial" w:cs="Arial"/>
          <w:sz w:val="26"/>
          <w:szCs w:val="26"/>
        </w:rPr>
        <w:t>” al considerar que vulneran el derecho a la consulta de los pueblos y comunidades indígenas.</w:t>
      </w:r>
    </w:p>
    <w:p w14:paraId="7023AB84" w14:textId="356AC026" w:rsidR="00C223C8" w:rsidRPr="005143F7" w:rsidRDefault="00B27F45" w:rsidP="00D53CF4">
      <w:pPr>
        <w:spacing w:before="240" w:after="240" w:line="360" w:lineRule="auto"/>
        <w:jc w:val="both"/>
        <w:rPr>
          <w:rFonts w:ascii="Arial" w:hAnsi="Arial" w:cs="Arial"/>
          <w:sz w:val="26"/>
          <w:szCs w:val="26"/>
        </w:rPr>
      </w:pPr>
      <w:r w:rsidRPr="005143F7">
        <w:rPr>
          <w:rFonts w:ascii="Arial" w:hAnsi="Arial" w:cs="Arial"/>
          <w:sz w:val="26"/>
          <w:szCs w:val="26"/>
        </w:rPr>
        <w:t>Por unanimidad de once votos, el Pleno declaró la invalidez de</w:t>
      </w:r>
      <w:r w:rsidR="00EF482D">
        <w:rPr>
          <w:rFonts w:ascii="Arial" w:hAnsi="Arial" w:cs="Arial"/>
          <w:sz w:val="26"/>
          <w:szCs w:val="26"/>
        </w:rPr>
        <w:t>l Decreto</w:t>
      </w:r>
      <w:r w:rsidRPr="005143F7">
        <w:rPr>
          <w:rFonts w:ascii="Arial" w:hAnsi="Arial" w:cs="Arial"/>
          <w:sz w:val="26"/>
          <w:szCs w:val="26"/>
        </w:rPr>
        <w:t xml:space="preserve"> impugnado </w:t>
      </w:r>
      <w:r w:rsidR="00EF482D" w:rsidRPr="00C223C8">
        <w:rPr>
          <w:rFonts w:ascii="Arial" w:hAnsi="Arial" w:cs="Arial"/>
          <w:sz w:val="26"/>
          <w:szCs w:val="26"/>
        </w:rPr>
        <w:t>porque el Congreso local no realizó la consulta exigida constitucionalmente, lo que violó en forma directa el artículo 2° de la Constitución Política del país; así como</w:t>
      </w:r>
      <w:r w:rsidR="00EF482D">
        <w:rPr>
          <w:rFonts w:ascii="Arial" w:hAnsi="Arial" w:cs="Arial"/>
          <w:sz w:val="26"/>
          <w:szCs w:val="26"/>
        </w:rPr>
        <w:t xml:space="preserve"> el numeral 6 del</w:t>
      </w:r>
      <w:r w:rsidR="00EF482D" w:rsidRPr="00C223C8">
        <w:rPr>
          <w:rFonts w:ascii="Arial" w:hAnsi="Arial" w:cs="Arial"/>
          <w:sz w:val="26"/>
          <w:szCs w:val="26"/>
        </w:rPr>
        <w:t xml:space="preserve"> Convenio 169 </w:t>
      </w:r>
      <w:r w:rsidR="00EF482D">
        <w:rPr>
          <w:rFonts w:ascii="Arial" w:hAnsi="Arial" w:cs="Arial"/>
          <w:sz w:val="26"/>
          <w:szCs w:val="26"/>
        </w:rPr>
        <w:t>Sobre</w:t>
      </w:r>
      <w:r w:rsidR="00EF482D" w:rsidRPr="00C223C8">
        <w:rPr>
          <w:rFonts w:ascii="Arial" w:hAnsi="Arial" w:cs="Arial"/>
          <w:sz w:val="26"/>
          <w:szCs w:val="26"/>
        </w:rPr>
        <w:t xml:space="preserve"> Pueblos Indígenas y Tribales</w:t>
      </w:r>
      <w:r w:rsidR="00EF482D">
        <w:rPr>
          <w:rFonts w:ascii="Arial" w:hAnsi="Arial" w:cs="Arial"/>
          <w:sz w:val="26"/>
          <w:szCs w:val="26"/>
        </w:rPr>
        <w:t xml:space="preserve"> en Países Independientes.</w:t>
      </w:r>
      <w:r w:rsidR="00D53CF4">
        <w:rPr>
          <w:rFonts w:ascii="Arial" w:hAnsi="Arial" w:cs="Arial"/>
          <w:sz w:val="26"/>
          <w:szCs w:val="26"/>
        </w:rPr>
        <w:t xml:space="preserve"> Coincido con la decisión alcanzada y las consideraciones</w:t>
      </w:r>
      <w:r w:rsidR="00532148">
        <w:rPr>
          <w:rFonts w:ascii="Arial" w:hAnsi="Arial" w:cs="Arial"/>
          <w:sz w:val="26"/>
          <w:szCs w:val="26"/>
        </w:rPr>
        <w:t>,</w:t>
      </w:r>
      <w:r w:rsidR="00D53CF4">
        <w:rPr>
          <w:rFonts w:ascii="Arial" w:hAnsi="Arial" w:cs="Arial"/>
          <w:sz w:val="26"/>
          <w:szCs w:val="26"/>
        </w:rPr>
        <w:t xml:space="preserve"> sin embargo, quiero dejar constancia de algunas reflexiones a manera de voto aclaratorio en cuanto a la invalidez decretada de las normas</w:t>
      </w:r>
      <w:r w:rsidR="0013540E" w:rsidRPr="005143F7">
        <w:rPr>
          <w:rFonts w:ascii="Arial" w:hAnsi="Arial" w:cs="Arial"/>
          <w:sz w:val="26"/>
          <w:szCs w:val="26"/>
        </w:rPr>
        <w:t>.</w:t>
      </w:r>
    </w:p>
    <w:p w14:paraId="5B663D74" w14:textId="77777777" w:rsidR="00536CDE" w:rsidRPr="005143F7" w:rsidRDefault="00536CDE" w:rsidP="00C223C8">
      <w:pPr>
        <w:spacing w:before="240" w:after="240" w:line="360" w:lineRule="auto"/>
        <w:jc w:val="both"/>
        <w:rPr>
          <w:rFonts w:ascii="Arial" w:hAnsi="Arial" w:cs="Arial"/>
          <w:sz w:val="26"/>
          <w:szCs w:val="26"/>
        </w:rPr>
      </w:pPr>
    </w:p>
    <w:p w14:paraId="585AA452" w14:textId="5B5A45CC" w:rsidR="00C223C8" w:rsidRPr="005143F7" w:rsidRDefault="00B27F45" w:rsidP="00C223C8">
      <w:pPr>
        <w:spacing w:before="240" w:after="240" w:line="360" w:lineRule="auto"/>
        <w:jc w:val="both"/>
        <w:rPr>
          <w:rFonts w:ascii="Arial" w:hAnsi="Arial" w:cs="Arial"/>
          <w:sz w:val="26"/>
          <w:szCs w:val="26"/>
        </w:rPr>
      </w:pPr>
      <w:r w:rsidRPr="005143F7">
        <w:rPr>
          <w:rFonts w:ascii="Arial" w:hAnsi="Arial" w:cs="Arial"/>
          <w:b/>
          <w:bCs/>
          <w:sz w:val="26"/>
          <w:szCs w:val="26"/>
          <w:u w:val="single"/>
        </w:rPr>
        <w:t>Comentarios previos</w:t>
      </w:r>
      <w:r w:rsidR="00532148">
        <w:rPr>
          <w:rFonts w:ascii="Arial" w:hAnsi="Arial" w:cs="Arial"/>
          <w:b/>
          <w:bCs/>
          <w:sz w:val="26"/>
          <w:szCs w:val="26"/>
          <w:u w:val="single"/>
        </w:rPr>
        <w:t>.</w:t>
      </w:r>
    </w:p>
    <w:p w14:paraId="4C3D1ACE" w14:textId="68D879A9" w:rsidR="00D53CF4" w:rsidRPr="005143F7" w:rsidRDefault="006E7FF0" w:rsidP="00D53CF4">
      <w:pPr>
        <w:spacing w:before="240" w:after="240" w:line="360" w:lineRule="auto"/>
        <w:jc w:val="both"/>
        <w:rPr>
          <w:rFonts w:ascii="Arial" w:hAnsi="Arial" w:cs="Arial"/>
          <w:sz w:val="26"/>
          <w:szCs w:val="26"/>
        </w:rPr>
      </w:pPr>
      <w:r>
        <w:rPr>
          <w:rFonts w:ascii="Arial" w:hAnsi="Arial" w:cs="Arial"/>
          <w:sz w:val="26"/>
          <w:szCs w:val="26"/>
        </w:rPr>
        <w:t>Existe un marco constitucional y convencional que parte del artículo</w:t>
      </w:r>
      <w:r w:rsidR="00D53CF4" w:rsidRPr="005143F7">
        <w:rPr>
          <w:rFonts w:ascii="Arial" w:hAnsi="Arial" w:cs="Arial"/>
          <w:sz w:val="26"/>
          <w:szCs w:val="26"/>
        </w:rPr>
        <w:t xml:space="preserve"> 2º, en relación con el 1º, de la Constitución Política del país</w:t>
      </w:r>
      <w:r w:rsidR="00D53CF4" w:rsidRPr="005143F7">
        <w:rPr>
          <w:rStyle w:val="Refdenotaalpie"/>
          <w:rFonts w:ascii="Arial" w:hAnsi="Arial" w:cs="Arial"/>
          <w:sz w:val="26"/>
          <w:szCs w:val="26"/>
        </w:rPr>
        <w:footnoteReference w:id="1"/>
      </w:r>
      <w:r w:rsidR="00D53CF4" w:rsidRPr="005143F7">
        <w:rPr>
          <w:rFonts w:ascii="Arial" w:hAnsi="Arial" w:cs="Arial"/>
          <w:sz w:val="26"/>
          <w:szCs w:val="26"/>
        </w:rPr>
        <w:t xml:space="preserve">, y con los numerales </w:t>
      </w:r>
      <w:r w:rsidR="00D53CF4" w:rsidRPr="005143F7">
        <w:rPr>
          <w:rFonts w:ascii="Arial" w:hAnsi="Arial" w:cs="Arial"/>
          <w:sz w:val="26"/>
          <w:szCs w:val="26"/>
        </w:rPr>
        <w:lastRenderedPageBreak/>
        <w:t xml:space="preserve">2.1, 6.1 y 6.2 del </w:t>
      </w:r>
      <w:r w:rsidR="00D53CF4" w:rsidRPr="005143F7">
        <w:rPr>
          <w:rFonts w:ascii="Arial" w:hAnsi="Arial" w:cs="Arial"/>
          <w:sz w:val="26"/>
          <w:szCs w:val="26"/>
          <w:u w:val="single"/>
        </w:rPr>
        <w:t xml:space="preserve">Convenio 169 sobre </w:t>
      </w:r>
      <w:r w:rsidR="00D53CF4" w:rsidRPr="005143F7">
        <w:rPr>
          <w:rFonts w:ascii="Arial" w:hAnsi="Arial" w:cs="Arial"/>
          <w:sz w:val="26"/>
          <w:szCs w:val="26"/>
          <w:u w:val="single"/>
          <w:shd w:val="clear" w:color="auto" w:fill="D9E2F3" w:themeFill="accent5" w:themeFillTint="33"/>
        </w:rPr>
        <w:t>Pueblos Indígenas y Tribales</w:t>
      </w:r>
      <w:r w:rsidR="00D53CF4" w:rsidRPr="005143F7">
        <w:rPr>
          <w:rFonts w:ascii="Arial" w:hAnsi="Arial" w:cs="Arial"/>
          <w:sz w:val="26"/>
          <w:szCs w:val="26"/>
          <w:u w:val="single"/>
        </w:rPr>
        <w:t xml:space="preserve"> en Países independientes de la Organización Internacional del Trabajo</w:t>
      </w:r>
      <w:r w:rsidR="00D53CF4" w:rsidRPr="005143F7">
        <w:rPr>
          <w:rFonts w:ascii="Arial" w:hAnsi="Arial" w:cs="Arial"/>
          <w:sz w:val="26"/>
          <w:szCs w:val="26"/>
        </w:rPr>
        <w:t xml:space="preserve"> (OIT)</w:t>
      </w:r>
      <w:r w:rsidR="00D53CF4" w:rsidRPr="005143F7">
        <w:rPr>
          <w:rStyle w:val="Refdenotaalpie"/>
          <w:rFonts w:ascii="Arial" w:hAnsi="Arial" w:cs="Arial"/>
          <w:sz w:val="26"/>
          <w:szCs w:val="26"/>
        </w:rPr>
        <w:footnoteReference w:id="2"/>
      </w:r>
      <w:r w:rsidR="00D53CF4" w:rsidRPr="005143F7">
        <w:rPr>
          <w:rFonts w:ascii="Arial" w:hAnsi="Arial" w:cs="Arial"/>
          <w:sz w:val="26"/>
          <w:szCs w:val="26"/>
        </w:rPr>
        <w:t xml:space="preserve">, los pueblos indígenas tienen el derecho humano a ser consultados, mediante procedimientos culturalmente adecuados, informados y de buena fe, a través de sus representantes, cada vez que se prevean medidas legislativas susceptibles de afectarles directamente. Los preceptos </w:t>
      </w:r>
      <w:r w:rsidR="00D53CF4">
        <w:rPr>
          <w:rFonts w:ascii="Arial" w:hAnsi="Arial" w:cs="Arial"/>
          <w:sz w:val="26"/>
          <w:szCs w:val="26"/>
        </w:rPr>
        <w:t xml:space="preserve">convencionales </w:t>
      </w:r>
      <w:r w:rsidR="00D53CF4" w:rsidRPr="005143F7">
        <w:rPr>
          <w:rFonts w:ascii="Arial" w:hAnsi="Arial" w:cs="Arial"/>
          <w:sz w:val="26"/>
          <w:szCs w:val="26"/>
        </w:rPr>
        <w:t>referidos son los siguientes:</w:t>
      </w:r>
    </w:p>
    <w:p w14:paraId="015F1BC0" w14:textId="77777777" w:rsidR="00A629FF" w:rsidRDefault="00A629FF" w:rsidP="00D53CF4">
      <w:pPr>
        <w:spacing w:before="240" w:after="240"/>
        <w:ind w:left="567" w:right="618"/>
        <w:jc w:val="both"/>
        <w:rPr>
          <w:b/>
          <w:bCs/>
          <w:i/>
          <w:iCs/>
          <w:sz w:val="26"/>
          <w:szCs w:val="26"/>
        </w:rPr>
      </w:pPr>
    </w:p>
    <w:p w14:paraId="5F3A2487" w14:textId="40185AC5" w:rsidR="00D53CF4" w:rsidRPr="005143F7" w:rsidRDefault="00D53CF4" w:rsidP="00D53CF4">
      <w:pPr>
        <w:spacing w:before="240" w:after="240"/>
        <w:ind w:left="567" w:right="618"/>
        <w:jc w:val="both"/>
        <w:rPr>
          <w:b/>
          <w:bCs/>
          <w:i/>
          <w:iCs/>
          <w:sz w:val="26"/>
          <w:szCs w:val="26"/>
        </w:rPr>
      </w:pPr>
      <w:r w:rsidRPr="005143F7">
        <w:rPr>
          <w:b/>
          <w:bCs/>
          <w:i/>
          <w:iCs/>
          <w:sz w:val="26"/>
          <w:szCs w:val="26"/>
        </w:rPr>
        <w:t>Artículo 2</w:t>
      </w:r>
    </w:p>
    <w:p w14:paraId="54984B20" w14:textId="77777777" w:rsidR="00D53CF4" w:rsidRPr="005143F7" w:rsidRDefault="00D53CF4" w:rsidP="00D53CF4">
      <w:pPr>
        <w:shd w:val="clear" w:color="auto" w:fill="D9E2F3" w:themeFill="accent5" w:themeFillTint="33"/>
        <w:spacing w:before="240" w:after="240"/>
        <w:ind w:left="567" w:right="618"/>
        <w:jc w:val="both"/>
        <w:rPr>
          <w:i/>
          <w:iCs/>
          <w:sz w:val="26"/>
          <w:szCs w:val="26"/>
        </w:rPr>
      </w:pPr>
      <w:r w:rsidRPr="005143F7">
        <w:rPr>
          <w:i/>
          <w:iCs/>
          <w:sz w:val="26"/>
          <w:szCs w:val="26"/>
        </w:rPr>
        <w:t>1. Los gobiernos deberán asumir la responsabilidad de desarrollar, con la participación de los pueblos interesados, una acción coordinada y sistemática con miras a proteger los derechos de esos pueblos y a garantizar el respeto de su integridad.</w:t>
      </w:r>
    </w:p>
    <w:p w14:paraId="4AF5505A" w14:textId="77777777" w:rsidR="00A629FF" w:rsidRDefault="00A629FF" w:rsidP="00D53CF4">
      <w:pPr>
        <w:spacing w:before="240" w:after="240"/>
        <w:ind w:left="567" w:right="618"/>
        <w:jc w:val="both"/>
        <w:rPr>
          <w:b/>
          <w:bCs/>
          <w:i/>
          <w:iCs/>
          <w:sz w:val="26"/>
          <w:szCs w:val="26"/>
        </w:rPr>
      </w:pPr>
    </w:p>
    <w:p w14:paraId="7186DCAB" w14:textId="120E5591" w:rsidR="00D53CF4" w:rsidRPr="005143F7" w:rsidRDefault="00D53CF4" w:rsidP="00D53CF4">
      <w:pPr>
        <w:spacing w:before="240" w:after="240"/>
        <w:ind w:left="567" w:right="618"/>
        <w:jc w:val="both"/>
        <w:rPr>
          <w:b/>
          <w:bCs/>
          <w:i/>
          <w:iCs/>
          <w:sz w:val="26"/>
          <w:szCs w:val="26"/>
        </w:rPr>
      </w:pPr>
      <w:r w:rsidRPr="005143F7">
        <w:rPr>
          <w:b/>
          <w:bCs/>
          <w:i/>
          <w:iCs/>
          <w:sz w:val="26"/>
          <w:szCs w:val="26"/>
        </w:rPr>
        <w:t>Artículo 6</w:t>
      </w:r>
    </w:p>
    <w:p w14:paraId="5DCC885A" w14:textId="77777777" w:rsidR="00D53CF4" w:rsidRPr="005143F7" w:rsidRDefault="00D53CF4" w:rsidP="00D53CF4">
      <w:pPr>
        <w:spacing w:before="240" w:after="240"/>
        <w:ind w:left="567" w:right="618"/>
        <w:jc w:val="both"/>
        <w:rPr>
          <w:i/>
          <w:iCs/>
          <w:sz w:val="26"/>
          <w:szCs w:val="26"/>
        </w:rPr>
      </w:pPr>
      <w:r w:rsidRPr="005143F7">
        <w:rPr>
          <w:i/>
          <w:iCs/>
          <w:sz w:val="26"/>
          <w:szCs w:val="26"/>
        </w:rPr>
        <w:t xml:space="preserve">1. Al aplicar las disposiciones del presente Convenio, los gobiernos </w:t>
      </w:r>
      <w:r w:rsidRPr="005143F7">
        <w:rPr>
          <w:b/>
          <w:bCs/>
          <w:i/>
          <w:iCs/>
          <w:sz w:val="26"/>
          <w:szCs w:val="26"/>
        </w:rPr>
        <w:t>deberán</w:t>
      </w:r>
      <w:r w:rsidRPr="005143F7">
        <w:rPr>
          <w:i/>
          <w:iCs/>
          <w:sz w:val="26"/>
          <w:szCs w:val="26"/>
        </w:rPr>
        <w:t>:</w:t>
      </w:r>
    </w:p>
    <w:p w14:paraId="0A97C4D5" w14:textId="77777777" w:rsidR="00D53CF4" w:rsidRPr="005143F7" w:rsidRDefault="00D53CF4" w:rsidP="00D53CF4">
      <w:pPr>
        <w:shd w:val="clear" w:color="auto" w:fill="D9E2F3" w:themeFill="accent5" w:themeFillTint="33"/>
        <w:spacing w:before="240" w:after="240"/>
        <w:ind w:left="851" w:right="618" w:hanging="284"/>
        <w:jc w:val="both"/>
        <w:rPr>
          <w:i/>
          <w:iCs/>
          <w:sz w:val="26"/>
          <w:szCs w:val="26"/>
        </w:rPr>
      </w:pPr>
      <w:r w:rsidRPr="005143F7">
        <w:rPr>
          <w:i/>
          <w:iCs/>
          <w:sz w:val="26"/>
          <w:szCs w:val="26"/>
        </w:rPr>
        <w:t xml:space="preserve">a) </w:t>
      </w:r>
      <w:r w:rsidRPr="005143F7">
        <w:rPr>
          <w:b/>
          <w:bCs/>
          <w:i/>
          <w:iCs/>
          <w:sz w:val="26"/>
          <w:szCs w:val="26"/>
        </w:rPr>
        <w:t>consultar</w:t>
      </w:r>
      <w:r w:rsidRPr="005143F7">
        <w:rPr>
          <w:i/>
          <w:iCs/>
          <w:sz w:val="26"/>
          <w:szCs w:val="26"/>
        </w:rPr>
        <w:t xml:space="preserve"> a los pueblos interesados, mediante procedimientos apropiados y en particular a través de sus instituciones representativas, cada vez que se prevean medidas legislativas o administrativas </w:t>
      </w:r>
      <w:r w:rsidRPr="005143F7">
        <w:rPr>
          <w:b/>
          <w:bCs/>
          <w:i/>
          <w:iCs/>
          <w:sz w:val="26"/>
          <w:szCs w:val="26"/>
        </w:rPr>
        <w:t>susceptibles de afectarles</w:t>
      </w:r>
      <w:r w:rsidRPr="005143F7">
        <w:rPr>
          <w:i/>
          <w:iCs/>
          <w:sz w:val="26"/>
          <w:szCs w:val="26"/>
        </w:rPr>
        <w:t xml:space="preserve"> </w:t>
      </w:r>
      <w:r w:rsidRPr="005143F7">
        <w:rPr>
          <w:b/>
          <w:bCs/>
          <w:i/>
          <w:iCs/>
          <w:sz w:val="26"/>
          <w:szCs w:val="26"/>
        </w:rPr>
        <w:t>directamente</w:t>
      </w:r>
      <w:r w:rsidRPr="005143F7">
        <w:rPr>
          <w:i/>
          <w:iCs/>
          <w:sz w:val="26"/>
          <w:szCs w:val="26"/>
        </w:rPr>
        <w:t>;</w:t>
      </w:r>
    </w:p>
    <w:p w14:paraId="7B66D493" w14:textId="77777777" w:rsidR="00D53CF4" w:rsidRPr="005143F7" w:rsidRDefault="00D53CF4" w:rsidP="00D53CF4">
      <w:pPr>
        <w:spacing w:before="240" w:after="240"/>
        <w:ind w:left="851" w:right="618" w:hanging="284"/>
        <w:jc w:val="both"/>
        <w:rPr>
          <w:i/>
          <w:iCs/>
          <w:sz w:val="26"/>
          <w:szCs w:val="26"/>
        </w:rPr>
      </w:pPr>
      <w:r w:rsidRPr="005143F7">
        <w:rPr>
          <w:i/>
          <w:iCs/>
          <w:sz w:val="26"/>
          <w:szCs w:val="26"/>
        </w:rPr>
        <w:t>b) establecer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w:t>
      </w:r>
    </w:p>
    <w:p w14:paraId="32F60A42" w14:textId="77777777" w:rsidR="00D53CF4" w:rsidRPr="005143F7" w:rsidRDefault="00D53CF4" w:rsidP="00D53CF4">
      <w:pPr>
        <w:spacing w:before="240" w:after="240"/>
        <w:ind w:left="851" w:right="618" w:hanging="284"/>
        <w:jc w:val="both"/>
        <w:rPr>
          <w:i/>
          <w:iCs/>
          <w:sz w:val="26"/>
          <w:szCs w:val="26"/>
        </w:rPr>
      </w:pPr>
      <w:r w:rsidRPr="005143F7">
        <w:rPr>
          <w:i/>
          <w:iCs/>
          <w:sz w:val="26"/>
          <w:szCs w:val="26"/>
        </w:rPr>
        <w:lastRenderedPageBreak/>
        <w:t>c) establecer los medios para el pleno desarrollo de las instituciones e iniciativas de esos pueblos, y en los casos apropiados proporcionar los recursos necesarios para este fin.</w:t>
      </w:r>
    </w:p>
    <w:p w14:paraId="23F44D63" w14:textId="77777777" w:rsidR="00D53CF4" w:rsidRPr="005143F7" w:rsidRDefault="00D53CF4" w:rsidP="00D53CF4">
      <w:pPr>
        <w:spacing w:before="240" w:after="240"/>
        <w:ind w:left="567" w:right="618"/>
        <w:jc w:val="both"/>
        <w:rPr>
          <w:b/>
          <w:bCs/>
          <w:i/>
          <w:iCs/>
          <w:sz w:val="26"/>
          <w:szCs w:val="26"/>
        </w:rPr>
      </w:pPr>
      <w:r w:rsidRPr="005143F7">
        <w:rPr>
          <w:i/>
          <w:iCs/>
          <w:sz w:val="26"/>
          <w:szCs w:val="26"/>
        </w:rPr>
        <w:t>2. Las consultas llevadas a cabo en aplicación de este Convenio deberán efectuarse de buena fe y de una manera apropiada a las circunstancias, con la finalidad de llegar a un acuerdo o lograr el consentimiento acerca de las medidas propuestas.</w:t>
      </w:r>
    </w:p>
    <w:p w14:paraId="6E498669" w14:textId="77777777" w:rsidR="00D53CF4" w:rsidRPr="005143F7" w:rsidRDefault="00D53CF4" w:rsidP="00D53CF4">
      <w:pPr>
        <w:spacing w:before="240" w:after="240" w:line="360" w:lineRule="auto"/>
        <w:jc w:val="right"/>
        <w:rPr>
          <w:rFonts w:ascii="Arial" w:hAnsi="Arial" w:cs="Arial"/>
        </w:rPr>
      </w:pPr>
      <w:r w:rsidRPr="005143F7">
        <w:rPr>
          <w:rFonts w:ascii="Arial" w:hAnsi="Arial" w:cs="Arial"/>
        </w:rPr>
        <w:t>*</w:t>
      </w:r>
      <w:r>
        <w:rPr>
          <w:rFonts w:ascii="Arial" w:hAnsi="Arial" w:cs="Arial"/>
        </w:rPr>
        <w:t>[énfasis añadido]</w:t>
      </w:r>
      <w:r w:rsidRPr="005143F7">
        <w:rPr>
          <w:rFonts w:ascii="Arial" w:hAnsi="Arial" w:cs="Arial"/>
        </w:rPr>
        <w:t>.</w:t>
      </w:r>
    </w:p>
    <w:p w14:paraId="0FE01472" w14:textId="77777777" w:rsidR="00A629FF" w:rsidRDefault="00A629FF" w:rsidP="00C223C8">
      <w:pPr>
        <w:spacing w:before="240" w:after="240" w:line="360" w:lineRule="auto"/>
        <w:jc w:val="both"/>
        <w:rPr>
          <w:rFonts w:ascii="Arial" w:hAnsi="Arial" w:cs="Arial"/>
          <w:sz w:val="26"/>
          <w:szCs w:val="26"/>
        </w:rPr>
      </w:pPr>
    </w:p>
    <w:p w14:paraId="5D90E1E2" w14:textId="38B8429B" w:rsidR="00C223C8"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En términos generales, el Pleno había estado considerando, desde la controversia constitucional 32/2012</w:t>
      </w:r>
      <w:r w:rsidRPr="005143F7">
        <w:rPr>
          <w:rStyle w:val="Refdenotaalpie"/>
          <w:rFonts w:ascii="Arial" w:hAnsi="Arial" w:cs="Arial"/>
          <w:sz w:val="26"/>
          <w:szCs w:val="26"/>
        </w:rPr>
        <w:footnoteReference w:id="3"/>
      </w:r>
      <w:r w:rsidR="00A47184">
        <w:rPr>
          <w:rFonts w:ascii="Arial" w:hAnsi="Arial" w:cs="Arial"/>
          <w:sz w:val="26"/>
          <w:szCs w:val="26"/>
        </w:rPr>
        <w:t>,</w:t>
      </w:r>
      <w:r w:rsidRPr="005143F7">
        <w:rPr>
          <w:rFonts w:ascii="Arial" w:hAnsi="Arial" w:cs="Arial"/>
          <w:sz w:val="26"/>
          <w:szCs w:val="26"/>
        </w:rPr>
        <w:t xml:space="preserve"> que la falta de consulta es un vicio de procedimiento que provocaba invalidar todo el acto legislativo emanado de ese procedimiento, para el efecto de que la consulta a pueblos y comunidades indígenas fuera llevada a cabo y, tomando en cuenta la opinión de las personas consultadas, entonces se legislara.</w:t>
      </w:r>
    </w:p>
    <w:p w14:paraId="45BC5F96" w14:textId="6B22F325" w:rsidR="003E6ECB"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En ese precedente se determinó que </w:t>
      </w:r>
      <w:r w:rsidRPr="005143F7">
        <w:rPr>
          <w:rFonts w:ascii="Arial" w:hAnsi="Arial" w:cs="Arial"/>
          <w:b/>
          <w:bCs/>
          <w:sz w:val="26"/>
          <w:szCs w:val="26"/>
        </w:rPr>
        <w:t>no constaba</w:t>
      </w:r>
      <w:r w:rsidRPr="005143F7">
        <w:rPr>
          <w:rFonts w:ascii="Arial" w:hAnsi="Arial" w:cs="Arial"/>
          <w:sz w:val="26"/>
          <w:szCs w:val="26"/>
        </w:rPr>
        <w:t xml:space="preserve"> que el municipio indígena de Cherán hubiera sido consultado de manera previa, libre e informada mediante un procedimiento adecuado y de buena fe, a través de las instituciones que lo representaban, por lo que era claro que el Poder Legislativo local había violado sus derechos y entonces se declaró la invalidez de las normas impugnadas.</w:t>
      </w:r>
      <w:r w:rsidR="00D30F22">
        <w:rPr>
          <w:rFonts w:ascii="Arial" w:hAnsi="Arial" w:cs="Arial"/>
          <w:sz w:val="26"/>
          <w:szCs w:val="26"/>
        </w:rPr>
        <w:t xml:space="preserve"> </w:t>
      </w:r>
      <w:r w:rsidR="002B0737" w:rsidRPr="005143F7">
        <w:rPr>
          <w:rFonts w:ascii="Arial" w:hAnsi="Arial" w:cs="Arial"/>
          <w:sz w:val="26"/>
          <w:szCs w:val="26"/>
        </w:rPr>
        <w:t>Más aún,</w:t>
      </w:r>
      <w:r w:rsidR="003E6ECB" w:rsidRPr="005143F7">
        <w:rPr>
          <w:rFonts w:ascii="Arial" w:hAnsi="Arial" w:cs="Arial"/>
          <w:sz w:val="26"/>
          <w:szCs w:val="26"/>
        </w:rPr>
        <w:t xml:space="preserve"> el Municipio actor argumentó que</w:t>
      </w:r>
      <w:r w:rsidR="00955E95" w:rsidRPr="005143F7">
        <w:rPr>
          <w:rFonts w:ascii="Arial" w:hAnsi="Arial" w:cs="Arial"/>
          <w:sz w:val="26"/>
          <w:szCs w:val="26"/>
        </w:rPr>
        <w:t>,</w:t>
      </w:r>
      <w:r w:rsidR="003E6ECB" w:rsidRPr="005143F7">
        <w:rPr>
          <w:rFonts w:ascii="Arial" w:hAnsi="Arial" w:cs="Arial"/>
          <w:sz w:val="26"/>
          <w:szCs w:val="26"/>
        </w:rPr>
        <w:t xml:space="preserve"> si bien se realizaron algunos “foros de consulta”, </w:t>
      </w:r>
      <w:r w:rsidR="008322BB" w:rsidRPr="005143F7">
        <w:rPr>
          <w:rFonts w:ascii="Arial" w:hAnsi="Arial" w:cs="Arial"/>
          <w:sz w:val="26"/>
          <w:szCs w:val="26"/>
        </w:rPr>
        <w:t xml:space="preserve">lo cierto es que </w:t>
      </w:r>
      <w:r w:rsidR="003E6ECB" w:rsidRPr="005143F7">
        <w:rPr>
          <w:rFonts w:ascii="Arial" w:hAnsi="Arial" w:cs="Arial"/>
          <w:sz w:val="26"/>
          <w:szCs w:val="26"/>
        </w:rPr>
        <w:t>no fueron procedimientos adecuados con los representantes</w:t>
      </w:r>
      <w:r w:rsidR="008322BB" w:rsidRPr="005143F7">
        <w:rPr>
          <w:rFonts w:ascii="Arial" w:hAnsi="Arial" w:cs="Arial"/>
          <w:sz w:val="26"/>
          <w:szCs w:val="26"/>
        </w:rPr>
        <w:t xml:space="preserve">, fueron suspendidos y reanudados sin el quórum necesario y sin cumplir con el objetivo de </w:t>
      </w:r>
      <w:r w:rsidR="008322BB" w:rsidRPr="005143F7">
        <w:rPr>
          <w:rFonts w:ascii="Arial" w:hAnsi="Arial" w:cs="Arial"/>
          <w:sz w:val="26"/>
          <w:szCs w:val="26"/>
        </w:rPr>
        <w:lastRenderedPageBreak/>
        <w:t>consultarles</w:t>
      </w:r>
      <w:r w:rsidR="00955E95" w:rsidRPr="005143F7">
        <w:rPr>
          <w:rFonts w:ascii="Arial" w:hAnsi="Arial" w:cs="Arial"/>
          <w:sz w:val="26"/>
          <w:szCs w:val="26"/>
        </w:rPr>
        <w:t>; cuestión</w:t>
      </w:r>
      <w:r w:rsidR="008322BB" w:rsidRPr="005143F7">
        <w:rPr>
          <w:rFonts w:ascii="Arial" w:hAnsi="Arial" w:cs="Arial"/>
          <w:sz w:val="26"/>
          <w:szCs w:val="26"/>
        </w:rPr>
        <w:t xml:space="preserve"> que el Poder Legislativo local no controvirtió y sólo basó su argumentación en el contenido de la reforma.</w:t>
      </w:r>
    </w:p>
    <w:p w14:paraId="40ACE0A0" w14:textId="534FF9B6" w:rsidR="00B27F45" w:rsidRPr="0082052B" w:rsidRDefault="00B27F45" w:rsidP="00C223C8">
      <w:pPr>
        <w:shd w:val="clear" w:color="auto" w:fill="FFFFFF" w:themeFill="background1"/>
        <w:spacing w:before="240" w:after="240" w:line="360" w:lineRule="auto"/>
        <w:jc w:val="both"/>
        <w:rPr>
          <w:rFonts w:ascii="Arial" w:hAnsi="Arial" w:cs="Arial"/>
          <w:sz w:val="26"/>
          <w:szCs w:val="26"/>
        </w:rPr>
      </w:pPr>
      <w:r w:rsidRPr="0082052B">
        <w:rPr>
          <w:rFonts w:ascii="Arial" w:hAnsi="Arial" w:cs="Arial"/>
          <w:sz w:val="26"/>
          <w:szCs w:val="26"/>
        </w:rPr>
        <w:t>A partir de esta convenci</w:t>
      </w:r>
      <w:r w:rsidR="00EF482D">
        <w:rPr>
          <w:rFonts w:ascii="Arial" w:hAnsi="Arial" w:cs="Arial"/>
          <w:sz w:val="26"/>
          <w:szCs w:val="26"/>
        </w:rPr>
        <w:t>ón</w:t>
      </w:r>
      <w:r w:rsidRPr="0082052B">
        <w:rPr>
          <w:rFonts w:ascii="Arial" w:hAnsi="Arial" w:cs="Arial"/>
          <w:sz w:val="26"/>
          <w:szCs w:val="26"/>
        </w:rPr>
        <w:t xml:space="preserve"> internacional, directamente imbricada con la Constitución Política del país, y de</w:t>
      </w:r>
      <w:r w:rsidR="00EF482D">
        <w:rPr>
          <w:rFonts w:ascii="Arial" w:hAnsi="Arial" w:cs="Arial"/>
          <w:sz w:val="26"/>
          <w:szCs w:val="26"/>
        </w:rPr>
        <w:t>l</w:t>
      </w:r>
      <w:r w:rsidRPr="0082052B">
        <w:rPr>
          <w:rFonts w:ascii="Arial" w:hAnsi="Arial" w:cs="Arial"/>
          <w:sz w:val="26"/>
          <w:szCs w:val="26"/>
        </w:rPr>
        <w:t xml:space="preserve"> caso mencionado </w:t>
      </w:r>
      <w:r w:rsidR="00EF482D" w:rsidRPr="00C223C8">
        <w:rPr>
          <w:rFonts w:ascii="Arial" w:hAnsi="Arial" w:cs="Arial"/>
          <w:sz w:val="26"/>
          <w:szCs w:val="26"/>
        </w:rPr>
        <w:t>es que se desarro</w:t>
      </w:r>
      <w:r w:rsidR="00EF482D">
        <w:rPr>
          <w:rFonts w:ascii="Arial" w:hAnsi="Arial" w:cs="Arial"/>
          <w:sz w:val="26"/>
          <w:szCs w:val="26"/>
        </w:rPr>
        <w:t>lló una línea</w:t>
      </w:r>
      <w:r w:rsidR="00EF482D" w:rsidRPr="00C223C8">
        <w:rPr>
          <w:rFonts w:ascii="Arial" w:hAnsi="Arial" w:cs="Arial"/>
          <w:sz w:val="26"/>
          <w:szCs w:val="26"/>
        </w:rPr>
        <w:t xml:space="preserve"> de precedentes para los </w:t>
      </w:r>
      <w:r w:rsidR="00EF482D">
        <w:rPr>
          <w:rFonts w:ascii="Arial" w:hAnsi="Arial" w:cs="Arial"/>
          <w:sz w:val="26"/>
          <w:szCs w:val="26"/>
        </w:rPr>
        <w:t>pueblos y comunidades indígenas que</w:t>
      </w:r>
      <w:r w:rsidR="00EF482D" w:rsidRPr="00C223C8">
        <w:rPr>
          <w:rFonts w:ascii="Arial" w:hAnsi="Arial" w:cs="Arial"/>
          <w:sz w:val="26"/>
          <w:szCs w:val="26"/>
        </w:rPr>
        <w:t xml:space="preserve"> </w:t>
      </w:r>
      <w:r w:rsidR="00EF482D">
        <w:rPr>
          <w:rFonts w:ascii="Arial" w:hAnsi="Arial" w:cs="Arial"/>
          <w:sz w:val="26"/>
          <w:szCs w:val="26"/>
        </w:rPr>
        <w:t>c</w:t>
      </w:r>
      <w:r w:rsidR="00EF482D" w:rsidRPr="00C223C8">
        <w:rPr>
          <w:rFonts w:ascii="Arial" w:hAnsi="Arial" w:cs="Arial"/>
          <w:sz w:val="26"/>
          <w:szCs w:val="26"/>
        </w:rPr>
        <w:t>onsidera la falta de consulta como una trasgresión constitucional.</w:t>
      </w:r>
    </w:p>
    <w:p w14:paraId="433243D9" w14:textId="418BB99D" w:rsidR="00B27F45" w:rsidRPr="0082052B" w:rsidRDefault="00B02044" w:rsidP="00C223C8">
      <w:pPr>
        <w:spacing w:before="240" w:after="240" w:line="360" w:lineRule="auto"/>
        <w:jc w:val="both"/>
        <w:rPr>
          <w:rFonts w:ascii="Arial" w:hAnsi="Arial" w:cs="Arial"/>
          <w:sz w:val="26"/>
          <w:szCs w:val="26"/>
        </w:rPr>
      </w:pPr>
      <w:r>
        <w:rPr>
          <w:rFonts w:ascii="Arial" w:hAnsi="Arial" w:cs="Arial"/>
          <w:sz w:val="26"/>
          <w:szCs w:val="26"/>
        </w:rPr>
        <w:t>En esa línea de precedentes,</w:t>
      </w:r>
      <w:r w:rsidR="00B27F45" w:rsidRPr="0082052B">
        <w:rPr>
          <w:rFonts w:ascii="Arial" w:hAnsi="Arial" w:cs="Arial"/>
          <w:sz w:val="26"/>
          <w:szCs w:val="26"/>
        </w:rPr>
        <w:t xml:space="preserve"> la Suprema Corte </w:t>
      </w:r>
      <w:r w:rsidR="00F657A0" w:rsidRPr="0082052B">
        <w:rPr>
          <w:rFonts w:ascii="Arial" w:hAnsi="Arial" w:cs="Arial"/>
          <w:sz w:val="26"/>
          <w:szCs w:val="26"/>
        </w:rPr>
        <w:t xml:space="preserve">ha </w:t>
      </w:r>
      <w:r w:rsidR="00B27F45" w:rsidRPr="0082052B">
        <w:rPr>
          <w:rFonts w:ascii="Arial" w:hAnsi="Arial" w:cs="Arial"/>
          <w:sz w:val="26"/>
          <w:szCs w:val="26"/>
        </w:rPr>
        <w:t xml:space="preserve">sido </w:t>
      </w:r>
      <w:r w:rsidR="00B27F45" w:rsidRPr="0082052B">
        <w:rPr>
          <w:rFonts w:ascii="Arial" w:hAnsi="Arial" w:cs="Arial"/>
          <w:sz w:val="26"/>
          <w:szCs w:val="26"/>
          <w:u w:val="single"/>
        </w:rPr>
        <w:t>unánime cuando a todos los que la integramos nos parece inminente la afectación</w:t>
      </w:r>
      <w:r w:rsidR="00B27F45" w:rsidRPr="0082052B">
        <w:rPr>
          <w:rFonts w:ascii="Arial" w:hAnsi="Arial" w:cs="Arial"/>
          <w:sz w:val="26"/>
          <w:szCs w:val="26"/>
        </w:rPr>
        <w:t>. Por ejemplo, así votamos en la</w:t>
      </w:r>
      <w:r w:rsidR="00EF482D">
        <w:rPr>
          <w:rFonts w:ascii="Arial" w:hAnsi="Arial" w:cs="Arial"/>
          <w:sz w:val="26"/>
          <w:szCs w:val="26"/>
        </w:rPr>
        <w:t xml:space="preserve"> </w:t>
      </w:r>
      <w:r w:rsidR="00B27F45" w:rsidRPr="0082052B">
        <w:rPr>
          <w:rFonts w:ascii="Arial" w:hAnsi="Arial" w:cs="Arial"/>
          <w:sz w:val="26"/>
          <w:szCs w:val="26"/>
        </w:rPr>
        <w:t>acci</w:t>
      </w:r>
      <w:r w:rsidR="00EF482D">
        <w:rPr>
          <w:rFonts w:ascii="Arial" w:hAnsi="Arial" w:cs="Arial"/>
          <w:sz w:val="26"/>
          <w:szCs w:val="26"/>
        </w:rPr>
        <w:t>ón</w:t>
      </w:r>
      <w:r w:rsidR="00B27F45" w:rsidRPr="0082052B">
        <w:rPr>
          <w:rFonts w:ascii="Arial" w:hAnsi="Arial" w:cs="Arial"/>
          <w:sz w:val="26"/>
          <w:szCs w:val="26"/>
        </w:rPr>
        <w:t xml:space="preserve"> de inconstitucionalidad 123/2020, cuando se invalid</w:t>
      </w:r>
      <w:r w:rsidR="00EF482D">
        <w:rPr>
          <w:rFonts w:ascii="Arial" w:hAnsi="Arial" w:cs="Arial"/>
          <w:sz w:val="26"/>
          <w:szCs w:val="26"/>
        </w:rPr>
        <w:t xml:space="preserve">ó </w:t>
      </w:r>
      <w:r w:rsidR="00B27F45" w:rsidRPr="0082052B">
        <w:rPr>
          <w:rFonts w:ascii="Arial" w:hAnsi="Arial" w:cs="Arial"/>
          <w:sz w:val="26"/>
          <w:szCs w:val="26"/>
        </w:rPr>
        <w:t>la Ley de los Derechos de las Personas Indígenas y Afromexicanas en el Estado de Nuevo León</w:t>
      </w:r>
      <w:r w:rsidR="00B27F45" w:rsidRPr="0082052B">
        <w:rPr>
          <w:rStyle w:val="Refdenotaalpie"/>
          <w:rFonts w:ascii="Arial" w:hAnsi="Arial" w:cs="Arial"/>
          <w:sz w:val="26"/>
          <w:szCs w:val="26"/>
        </w:rPr>
        <w:footnoteReference w:id="4"/>
      </w:r>
      <w:r w:rsidR="00B27F45" w:rsidRPr="0082052B">
        <w:rPr>
          <w:rFonts w:ascii="Arial" w:hAnsi="Arial" w:cs="Arial"/>
          <w:sz w:val="26"/>
          <w:szCs w:val="26"/>
        </w:rPr>
        <w:t xml:space="preserve">. </w:t>
      </w:r>
      <w:r w:rsidR="00EF482D">
        <w:rPr>
          <w:rFonts w:ascii="Arial" w:hAnsi="Arial" w:cs="Arial"/>
          <w:sz w:val="26"/>
          <w:szCs w:val="26"/>
        </w:rPr>
        <w:t>E</w:t>
      </w:r>
      <w:r w:rsidR="00EF482D" w:rsidRPr="0069235C">
        <w:rPr>
          <w:rFonts w:ascii="Arial" w:hAnsi="Arial" w:cs="Arial"/>
          <w:sz w:val="26"/>
          <w:szCs w:val="26"/>
        </w:rPr>
        <w:t>n</w:t>
      </w:r>
      <w:r w:rsidR="00EF482D">
        <w:rPr>
          <w:rFonts w:ascii="Arial" w:hAnsi="Arial" w:cs="Arial"/>
          <w:sz w:val="26"/>
          <w:szCs w:val="26"/>
        </w:rPr>
        <w:t xml:space="preserve"> este caso</w:t>
      </w:r>
      <w:r w:rsidR="00EF482D" w:rsidRPr="0069235C">
        <w:rPr>
          <w:rFonts w:ascii="Arial" w:hAnsi="Arial" w:cs="Arial"/>
          <w:sz w:val="26"/>
          <w:szCs w:val="26"/>
        </w:rPr>
        <w:t xml:space="preserve"> </w:t>
      </w:r>
      <w:r w:rsidR="00EF482D">
        <w:rPr>
          <w:rFonts w:ascii="Arial" w:hAnsi="Arial" w:cs="Arial"/>
          <w:sz w:val="26"/>
          <w:szCs w:val="26"/>
        </w:rPr>
        <w:t>se impugnaba una</w:t>
      </w:r>
      <w:r w:rsidR="00EF482D" w:rsidRPr="0069235C">
        <w:rPr>
          <w:rFonts w:ascii="Arial" w:hAnsi="Arial" w:cs="Arial"/>
          <w:sz w:val="26"/>
          <w:szCs w:val="26"/>
        </w:rPr>
        <w:t xml:space="preserve"> ley fundamental</w:t>
      </w:r>
      <w:r w:rsidR="00EF482D">
        <w:rPr>
          <w:rFonts w:ascii="Arial" w:hAnsi="Arial" w:cs="Arial"/>
          <w:sz w:val="26"/>
          <w:szCs w:val="26"/>
        </w:rPr>
        <w:t xml:space="preserve"> para este</w:t>
      </w:r>
      <w:r w:rsidR="00EF482D" w:rsidRPr="0069235C">
        <w:rPr>
          <w:rFonts w:ascii="Arial" w:hAnsi="Arial" w:cs="Arial"/>
          <w:sz w:val="26"/>
          <w:szCs w:val="26"/>
        </w:rPr>
        <w:t xml:space="preserve"> grupo en situación de vulnerabilidad</w:t>
      </w:r>
      <w:r w:rsidR="00EF482D">
        <w:rPr>
          <w:rFonts w:ascii="Arial" w:hAnsi="Arial" w:cs="Arial"/>
          <w:sz w:val="26"/>
          <w:szCs w:val="26"/>
        </w:rPr>
        <w:t>,</w:t>
      </w:r>
      <w:r w:rsidR="00EF482D" w:rsidRPr="0069235C">
        <w:rPr>
          <w:rFonts w:ascii="Arial" w:hAnsi="Arial" w:cs="Arial"/>
          <w:sz w:val="26"/>
          <w:szCs w:val="26"/>
        </w:rPr>
        <w:t xml:space="preserve"> pues estaba orientada a regular aspectos torales de su</w:t>
      </w:r>
      <w:r w:rsidR="00ED5580">
        <w:rPr>
          <w:rFonts w:ascii="Arial" w:hAnsi="Arial" w:cs="Arial"/>
          <w:sz w:val="26"/>
          <w:szCs w:val="26"/>
        </w:rPr>
        <w:t>s</w:t>
      </w:r>
      <w:r w:rsidR="00EF482D" w:rsidRPr="0069235C">
        <w:rPr>
          <w:rFonts w:ascii="Arial" w:hAnsi="Arial" w:cs="Arial"/>
          <w:sz w:val="26"/>
          <w:szCs w:val="26"/>
        </w:rPr>
        <w:t xml:space="preserve"> vida</w:t>
      </w:r>
      <w:r w:rsidR="00EF482D">
        <w:rPr>
          <w:rFonts w:ascii="Arial" w:hAnsi="Arial" w:cs="Arial"/>
          <w:sz w:val="26"/>
          <w:szCs w:val="26"/>
        </w:rPr>
        <w:t>s</w:t>
      </w:r>
      <w:r w:rsidR="00B27F45" w:rsidRPr="0082052B">
        <w:rPr>
          <w:rFonts w:ascii="Arial" w:hAnsi="Arial" w:cs="Arial"/>
          <w:sz w:val="26"/>
          <w:szCs w:val="26"/>
        </w:rPr>
        <w:t>.</w:t>
      </w:r>
    </w:p>
    <w:p w14:paraId="12A9ADE6" w14:textId="77777777" w:rsidR="00890380"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t>No consultar a los destinatarios primigenios, no sólo constituye una trasgresión constitucional y una falta de respeto, sino que es un despliegue de paternalismo, al pensar que, desde una posición cómoda, por mayoritaria y aventajada, se puede determinar de forma infalible qué es mejor para quienes han sido, no pocas veces, históricamente invisibles. Se presume, por supuesto, la buena fe de las legislaturas, que suelen idear provisiones muy responsables y beneficiosas, pero parten del problema principal, que es obviar la necesidad de preguntar si la normativa que se propone le parece, a la comunidad a la que está dirigida, correcta, útil y favorable, si prevé políticas y procesos realmente integradores, o si, al contrario, contiene mecanismos gravosos o parte de suposiciones estigmatizantes que requieren erradicarse.</w:t>
      </w:r>
    </w:p>
    <w:p w14:paraId="1281199D" w14:textId="78E71AF3" w:rsidR="00890380"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lastRenderedPageBreak/>
        <w:t xml:space="preserve">Comprensiblemente, cada integrante del Tribunal Pleno tiene su propia concepción de cómo cada norma impugnada afecta o impacta a estos grupos sociales, así que hay muchos casos en los que no hemos coincidido. No siempre tenemos frente a nosotros casos tan claros como </w:t>
      </w:r>
      <w:r w:rsidR="00B02044">
        <w:rPr>
          <w:rFonts w:ascii="Arial" w:hAnsi="Arial" w:cs="Arial"/>
          <w:sz w:val="26"/>
          <w:szCs w:val="26"/>
        </w:rPr>
        <w:t>el tomado como</w:t>
      </w:r>
      <w:r w:rsidRPr="0082052B">
        <w:rPr>
          <w:rFonts w:ascii="Arial" w:hAnsi="Arial" w:cs="Arial"/>
          <w:sz w:val="26"/>
          <w:szCs w:val="26"/>
        </w:rPr>
        <w:t xml:space="preserve"> como ejemplo, donde toda la ley se encamina a colisionar por la falta de consulta. En otras ocasiones son artículos aislados en temas de dudosa afectación para grupos históricamente soslayados, y las apreciaciones personales encuentran mayor espacio en la ponderación.</w:t>
      </w:r>
    </w:p>
    <w:p w14:paraId="7DC05354" w14:textId="227D1A14" w:rsidR="00890380"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t xml:space="preserve">La mayoría del Pleno ha considerado, por ejemplo, que invalidar una norma por el sólo hecho de </w:t>
      </w:r>
      <w:r w:rsidR="00B90F59" w:rsidRPr="0082052B">
        <w:rPr>
          <w:rFonts w:ascii="Arial" w:hAnsi="Arial" w:cs="Arial"/>
          <w:sz w:val="26"/>
          <w:szCs w:val="26"/>
        </w:rPr>
        <w:t>mencionar</w:t>
      </w:r>
      <w:r w:rsidRPr="0082052B">
        <w:rPr>
          <w:rFonts w:ascii="Arial" w:hAnsi="Arial" w:cs="Arial"/>
          <w:sz w:val="26"/>
          <w:szCs w:val="26"/>
        </w:rPr>
        <w:t xml:space="preserve"> algún tema que involucre a pueblos y comunidades indígenas, puede ser un criterio rígido, que no garantiza una mejora en las condiciones de los destinatarios, ni facilita la agenda legislativa, y que, al contrario, puede impactar perniciosamente en los derechos de la sociedad en general al generar vacíos normativos.</w:t>
      </w:r>
    </w:p>
    <w:p w14:paraId="7296BB7E" w14:textId="17FB4A33" w:rsidR="00B90F59"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t xml:space="preserve">Así, tenemos el caso de la acción de inconstitucionalidad 87/2017, relacionada con la materia de transparencia, en la que discutimos artículos de la Ley de Protección de Datos Personales en Posesión de los Sujetos Obligados del Estado de Aguascalientes y sus Municipios, y en mayoría de ocho determinamos que no era necesario llevar a cabo la consulta porque los derechos de comunidades indígenas no eran el tema fundamental de la ley ni de </w:t>
      </w:r>
      <w:r w:rsidR="00F472D3">
        <w:rPr>
          <w:rFonts w:ascii="Arial" w:hAnsi="Arial" w:cs="Arial"/>
          <w:sz w:val="26"/>
          <w:szCs w:val="26"/>
        </w:rPr>
        <w:t>su</w:t>
      </w:r>
      <w:r w:rsidRPr="0082052B">
        <w:rPr>
          <w:rFonts w:ascii="Arial" w:hAnsi="Arial" w:cs="Arial"/>
          <w:sz w:val="26"/>
          <w:szCs w:val="26"/>
        </w:rPr>
        <w:t xml:space="preserve"> reforma</w:t>
      </w:r>
      <w:r w:rsidRPr="0082052B">
        <w:rPr>
          <w:rStyle w:val="Refdenotaalpie"/>
          <w:rFonts w:ascii="Arial" w:hAnsi="Arial" w:cs="Arial"/>
          <w:sz w:val="26"/>
          <w:szCs w:val="26"/>
        </w:rPr>
        <w:footnoteReference w:id="5"/>
      </w:r>
      <w:r w:rsidRPr="0082052B">
        <w:rPr>
          <w:rFonts w:ascii="Arial" w:hAnsi="Arial" w:cs="Arial"/>
          <w:sz w:val="26"/>
          <w:szCs w:val="26"/>
        </w:rPr>
        <w:t>.</w:t>
      </w:r>
    </w:p>
    <w:p w14:paraId="5649BFAA" w14:textId="1E5A43D2" w:rsidR="00890380"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t>También podemos contar como ejemplo la controversia constitucional 38/2019, donde a una mayoría de nueve nos pareció que no se afectaban derechos indígenas en la integración constitucional del Cabildo</w:t>
      </w:r>
      <w:r w:rsidRPr="0082052B">
        <w:rPr>
          <w:rStyle w:val="Refdenotaalpie"/>
          <w:rFonts w:ascii="Arial" w:hAnsi="Arial" w:cs="Arial"/>
          <w:sz w:val="26"/>
          <w:szCs w:val="26"/>
        </w:rPr>
        <w:footnoteReference w:id="6"/>
      </w:r>
      <w:r w:rsidRPr="0082052B">
        <w:rPr>
          <w:rFonts w:ascii="Arial" w:hAnsi="Arial" w:cs="Arial"/>
          <w:sz w:val="26"/>
          <w:szCs w:val="26"/>
        </w:rPr>
        <w:t xml:space="preserve">. La reforma </w:t>
      </w:r>
      <w:r w:rsidRPr="0082052B">
        <w:rPr>
          <w:rFonts w:ascii="Arial" w:hAnsi="Arial" w:cs="Arial"/>
          <w:sz w:val="26"/>
          <w:szCs w:val="26"/>
        </w:rPr>
        <w:lastRenderedPageBreak/>
        <w:t>impugnada simplemente definía a los presidentes de comunidad y los integraba al Cabildo con voz y voto, de manera que consideramos que no impactaba en los derechos de pueblos y comunidades indígenas porque no se dirigía a estos, y tampoco se hizo valer.</w:t>
      </w:r>
    </w:p>
    <w:p w14:paraId="75FBA70E" w14:textId="07E89919" w:rsidR="00E67D82" w:rsidRPr="0082052B" w:rsidRDefault="00890380" w:rsidP="00C223C8">
      <w:pPr>
        <w:spacing w:before="240" w:after="240" w:line="360" w:lineRule="auto"/>
        <w:jc w:val="both"/>
        <w:rPr>
          <w:rFonts w:ascii="Arial" w:hAnsi="Arial" w:cs="Arial"/>
          <w:sz w:val="26"/>
          <w:szCs w:val="26"/>
        </w:rPr>
      </w:pPr>
      <w:r w:rsidRPr="0082052B">
        <w:rPr>
          <w:rFonts w:ascii="Arial" w:hAnsi="Arial" w:cs="Arial"/>
          <w:sz w:val="26"/>
          <w:szCs w:val="26"/>
        </w:rPr>
        <w:t>La misma determinación tomamos, en una votación dividida, cuando resolvimos que no era necesaria la consulta previa (ni se había argumentado como concepto de invalidez) respecto de las obligaciones de las autoridades encargadas de producir campañas de comunicación social para que se transmitan en versiones y formatos accesibles para personas con discapacidad y se difundan en las lenguas correspondientes en las comunidades indígenas, de la Ley de Comunicación Social de Veracruz, que fue la acción de inconstitucionalidad 61/2019</w:t>
      </w:r>
      <w:r w:rsidRPr="0082052B">
        <w:rPr>
          <w:rStyle w:val="Refdenotaalpie"/>
          <w:rFonts w:ascii="Arial" w:hAnsi="Arial" w:cs="Arial"/>
          <w:sz w:val="26"/>
          <w:szCs w:val="26"/>
        </w:rPr>
        <w:footnoteReference w:id="7"/>
      </w:r>
      <w:r w:rsidRPr="0082052B">
        <w:rPr>
          <w:rFonts w:ascii="Arial" w:hAnsi="Arial" w:cs="Arial"/>
          <w:sz w:val="26"/>
          <w:szCs w:val="26"/>
        </w:rPr>
        <w:t xml:space="preserve">. </w:t>
      </w:r>
      <w:r w:rsidR="00E67D82" w:rsidRPr="0082052B">
        <w:rPr>
          <w:rFonts w:ascii="Arial" w:hAnsi="Arial" w:cs="Arial"/>
          <w:sz w:val="26"/>
          <w:szCs w:val="26"/>
        </w:rPr>
        <w:t>En estos casos, sopesando lo que es “afectación” y la deferencia que amerita la culminación de un proceso legislativo, la mayoría del Pleno decidió que no era prudente anular por falta de consulta como proponía oficiosamente el proyecto.</w:t>
      </w:r>
    </w:p>
    <w:p w14:paraId="49C15351" w14:textId="7777777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Los anteriores botones de muestra ilustran que quienes integramos el Tribunal Pleno no siempre coincidimos en qué configura una afectación tal que detone la decisión de anular el proceso legislativo que dio lugar a una norma para que sea consultada antes de formar parte del orden jurídico. </w:t>
      </w:r>
    </w:p>
    <w:p w14:paraId="18A62D09" w14:textId="0146045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La decisión de la Suprema Corte se finca en el principio de afectación. Mientras más claramente incida una norma en estos grupos sociales, mayor tendencia a la unanimidad desplegará el Pleno.</w:t>
      </w:r>
    </w:p>
    <w:p w14:paraId="3A1A673F" w14:textId="7C506D25" w:rsidR="00B27F45" w:rsidRDefault="00B27F45" w:rsidP="00C223C8">
      <w:pPr>
        <w:spacing w:before="240" w:after="240" w:line="360" w:lineRule="auto"/>
        <w:jc w:val="both"/>
        <w:rPr>
          <w:rFonts w:ascii="Arial" w:hAnsi="Arial" w:cs="Arial"/>
          <w:sz w:val="26"/>
          <w:szCs w:val="26"/>
        </w:rPr>
      </w:pPr>
    </w:p>
    <w:p w14:paraId="21F79F79" w14:textId="59C94C7F" w:rsidR="00B27F45" w:rsidRPr="00A961A7" w:rsidRDefault="00A961A7" w:rsidP="00A961A7">
      <w:pPr>
        <w:spacing w:before="240" w:after="240" w:line="360" w:lineRule="auto"/>
        <w:jc w:val="both"/>
        <w:rPr>
          <w:rFonts w:ascii="Arial" w:hAnsi="Arial" w:cs="Arial"/>
          <w:b/>
          <w:bCs/>
          <w:sz w:val="26"/>
          <w:szCs w:val="26"/>
          <w:u w:val="single"/>
        </w:rPr>
      </w:pPr>
      <w:r w:rsidRPr="00A961A7">
        <w:rPr>
          <w:rFonts w:ascii="Arial" w:hAnsi="Arial" w:cs="Arial"/>
          <w:b/>
          <w:bCs/>
          <w:sz w:val="26"/>
          <w:szCs w:val="26"/>
          <w:u w:val="single"/>
        </w:rPr>
        <w:t>Voto aclaratorio</w:t>
      </w:r>
    </w:p>
    <w:p w14:paraId="4276474D" w14:textId="193AF40E" w:rsidR="00B27F45" w:rsidRPr="0082052B" w:rsidRDefault="00B27F45" w:rsidP="001E27A9">
      <w:pPr>
        <w:spacing w:before="400" w:after="400" w:line="360" w:lineRule="auto"/>
        <w:jc w:val="both"/>
        <w:rPr>
          <w:rFonts w:ascii="Arial" w:hAnsi="Arial" w:cs="Arial"/>
          <w:sz w:val="26"/>
          <w:szCs w:val="26"/>
        </w:rPr>
      </w:pPr>
      <w:r w:rsidRPr="0082052B">
        <w:rPr>
          <w:rFonts w:ascii="Arial" w:hAnsi="Arial" w:cs="Arial"/>
          <w:sz w:val="26"/>
          <w:szCs w:val="26"/>
        </w:rPr>
        <w:t xml:space="preserve">Es </w:t>
      </w:r>
      <w:r w:rsidRPr="004A5DF9">
        <w:rPr>
          <w:rFonts w:ascii="Arial" w:hAnsi="Arial" w:cs="Arial"/>
          <w:b/>
          <w:bCs/>
          <w:sz w:val="26"/>
          <w:szCs w:val="26"/>
          <w:u w:val="single"/>
        </w:rPr>
        <w:t>absolutamente reprochable</w:t>
      </w:r>
      <w:r w:rsidRPr="00A961A7">
        <w:rPr>
          <w:rFonts w:ascii="Arial" w:hAnsi="Arial" w:cs="Arial"/>
          <w:sz w:val="26"/>
          <w:szCs w:val="26"/>
        </w:rPr>
        <w:t xml:space="preserve"> </w:t>
      </w:r>
      <w:r w:rsidRPr="0082052B">
        <w:rPr>
          <w:rFonts w:ascii="Arial" w:hAnsi="Arial" w:cs="Arial"/>
          <w:sz w:val="26"/>
          <w:szCs w:val="26"/>
        </w:rPr>
        <w:t xml:space="preserve">que, a pesar de esta fuerza convencional, los legisladores locales hayan omitido las obligaciones adquiridas por el </w:t>
      </w:r>
      <w:r w:rsidRPr="0082052B">
        <w:rPr>
          <w:rFonts w:ascii="Arial" w:hAnsi="Arial" w:cs="Arial"/>
          <w:sz w:val="26"/>
          <w:szCs w:val="26"/>
        </w:rPr>
        <w:lastRenderedPageBreak/>
        <w:t xml:space="preserve">Estado </w:t>
      </w:r>
      <w:r w:rsidR="001E27A9">
        <w:rPr>
          <w:rFonts w:ascii="Arial" w:hAnsi="Arial" w:cs="Arial"/>
          <w:sz w:val="26"/>
          <w:szCs w:val="26"/>
        </w:rPr>
        <w:t>M</w:t>
      </w:r>
      <w:r w:rsidRPr="0082052B">
        <w:rPr>
          <w:rFonts w:ascii="Arial" w:hAnsi="Arial" w:cs="Arial"/>
          <w:sz w:val="26"/>
          <w:szCs w:val="26"/>
        </w:rPr>
        <w:t>exicano, obligaciones mínimas de solidaridad hacia sus propios pueblos y comunidades indígenas</w:t>
      </w:r>
      <w:r w:rsidR="00D466B5">
        <w:rPr>
          <w:rFonts w:ascii="Arial" w:hAnsi="Arial" w:cs="Arial"/>
          <w:sz w:val="26"/>
          <w:szCs w:val="26"/>
        </w:rPr>
        <w:t xml:space="preserve">. </w:t>
      </w:r>
    </w:p>
    <w:p w14:paraId="2B333A96" w14:textId="0B2EC4A2" w:rsidR="00B27F45" w:rsidRPr="005143F7" w:rsidRDefault="00B27F45" w:rsidP="001E27A9">
      <w:pPr>
        <w:spacing w:before="400" w:after="400" w:line="360" w:lineRule="auto"/>
        <w:jc w:val="both"/>
        <w:rPr>
          <w:rFonts w:ascii="Arial" w:hAnsi="Arial" w:cs="Arial"/>
          <w:sz w:val="26"/>
          <w:szCs w:val="26"/>
        </w:rPr>
      </w:pPr>
      <w:bookmarkStart w:id="0" w:name="_Hlk93429115"/>
      <w:r w:rsidRPr="005143F7">
        <w:rPr>
          <w:rFonts w:ascii="Arial" w:hAnsi="Arial" w:cs="Arial"/>
          <w:sz w:val="26"/>
          <w:szCs w:val="26"/>
        </w:rPr>
        <w:t xml:space="preserve">El incumplimiento a </w:t>
      </w:r>
      <w:r w:rsidR="00A961A7">
        <w:rPr>
          <w:rFonts w:ascii="Arial" w:hAnsi="Arial" w:cs="Arial"/>
          <w:sz w:val="26"/>
          <w:szCs w:val="26"/>
        </w:rPr>
        <w:t>l</w:t>
      </w:r>
      <w:r w:rsidRPr="005143F7">
        <w:rPr>
          <w:rFonts w:ascii="Arial" w:hAnsi="Arial" w:cs="Arial"/>
          <w:sz w:val="26"/>
          <w:szCs w:val="26"/>
        </w:rPr>
        <w:t>a disposici</w:t>
      </w:r>
      <w:r w:rsidR="005D520B">
        <w:rPr>
          <w:rFonts w:ascii="Arial" w:hAnsi="Arial" w:cs="Arial"/>
          <w:sz w:val="26"/>
          <w:szCs w:val="26"/>
        </w:rPr>
        <w:t>ón</w:t>
      </w:r>
      <w:r w:rsidRPr="005143F7">
        <w:rPr>
          <w:rFonts w:ascii="Arial" w:hAnsi="Arial" w:cs="Arial"/>
          <w:sz w:val="26"/>
          <w:szCs w:val="26"/>
        </w:rPr>
        <w:t xml:space="preserve"> convencional </w:t>
      </w:r>
      <w:r w:rsidR="00A961A7">
        <w:rPr>
          <w:rFonts w:ascii="Arial" w:hAnsi="Arial" w:cs="Arial"/>
          <w:sz w:val="26"/>
          <w:szCs w:val="26"/>
        </w:rPr>
        <w:t xml:space="preserve">que rige en este tema </w:t>
      </w:r>
      <w:r w:rsidRPr="005143F7">
        <w:rPr>
          <w:rFonts w:ascii="Arial" w:hAnsi="Arial" w:cs="Arial"/>
          <w:sz w:val="26"/>
          <w:szCs w:val="26"/>
        </w:rPr>
        <w:t xml:space="preserve">genera </w:t>
      </w:r>
      <w:bookmarkEnd w:id="0"/>
      <w:r w:rsidRPr="005143F7">
        <w:rPr>
          <w:rFonts w:ascii="Arial" w:hAnsi="Arial" w:cs="Arial"/>
          <w:sz w:val="26"/>
          <w:szCs w:val="26"/>
        </w:rPr>
        <w:t xml:space="preserve">normas inválidas, precisamente porque nacen de un incumplimiento. Sin embargo, </w:t>
      </w:r>
      <w:r w:rsidR="00A961A7">
        <w:rPr>
          <w:rFonts w:ascii="Arial" w:hAnsi="Arial" w:cs="Arial"/>
          <w:sz w:val="26"/>
          <w:szCs w:val="26"/>
        </w:rPr>
        <w:t xml:space="preserve">no puedo dejar de ser reflexiva. El </w:t>
      </w:r>
      <w:r w:rsidRPr="005143F7">
        <w:rPr>
          <w:rFonts w:ascii="Arial" w:hAnsi="Arial" w:cs="Arial"/>
          <w:sz w:val="26"/>
          <w:szCs w:val="26"/>
        </w:rPr>
        <w:t>efecto invalidatorio parece reñir con los propios instrumentos internacionales que mandatan consultar. Por ejemplo, el artículo 35 de</w:t>
      </w:r>
      <w:r w:rsidR="00A961A7">
        <w:rPr>
          <w:rFonts w:ascii="Arial" w:hAnsi="Arial" w:cs="Arial"/>
          <w:sz w:val="26"/>
          <w:szCs w:val="26"/>
        </w:rPr>
        <w:t>l citado</w:t>
      </w:r>
      <w:r w:rsidRPr="005143F7">
        <w:rPr>
          <w:rFonts w:ascii="Arial" w:hAnsi="Arial" w:cs="Arial"/>
          <w:sz w:val="26"/>
          <w:szCs w:val="26"/>
        </w:rPr>
        <w:t xml:space="preserve"> Convenio 169 de la OIT sobre pueblos indígenas dice: </w:t>
      </w:r>
      <w:r w:rsidRPr="005143F7">
        <w:rPr>
          <w:rFonts w:ascii="Arial" w:hAnsi="Arial" w:cs="Arial"/>
          <w:i/>
          <w:iCs/>
          <w:sz w:val="26"/>
          <w:szCs w:val="26"/>
        </w:rPr>
        <w:t xml:space="preserve">“La aplicación de las disposiciones del presente Convenio </w:t>
      </w:r>
      <w:r w:rsidRPr="005143F7">
        <w:rPr>
          <w:rFonts w:ascii="Arial" w:hAnsi="Arial" w:cs="Arial"/>
          <w:b/>
          <w:bCs/>
          <w:i/>
          <w:iCs/>
          <w:sz w:val="26"/>
          <w:szCs w:val="26"/>
        </w:rPr>
        <w:t>no deberá menoscabar los derechos y las ventajas garantizados</w:t>
      </w:r>
      <w:r w:rsidRPr="005143F7">
        <w:rPr>
          <w:rFonts w:ascii="Arial" w:hAnsi="Arial" w:cs="Arial"/>
          <w:i/>
          <w:iCs/>
          <w:sz w:val="26"/>
          <w:szCs w:val="26"/>
        </w:rPr>
        <w:t xml:space="preserve"> a los pueblos interesados en virtud de otros convenios y recomendaciones, instrumentos internacionales, tratados, o leyes, laudos, costumbres o acuerdos nacionales”</w:t>
      </w:r>
      <w:r w:rsidRPr="005143F7">
        <w:rPr>
          <w:rFonts w:ascii="Arial" w:hAnsi="Arial" w:cs="Arial"/>
          <w:sz w:val="26"/>
          <w:szCs w:val="26"/>
        </w:rPr>
        <w:t>.</w:t>
      </w:r>
    </w:p>
    <w:p w14:paraId="675B6189" w14:textId="45FD2951" w:rsidR="00B27F45" w:rsidRPr="005143F7" w:rsidRDefault="00B27F45" w:rsidP="001E27A9">
      <w:pPr>
        <w:spacing w:before="400" w:after="400" w:line="360" w:lineRule="auto"/>
        <w:jc w:val="both"/>
        <w:rPr>
          <w:rFonts w:ascii="Arial" w:hAnsi="Arial" w:cs="Arial"/>
          <w:sz w:val="26"/>
          <w:szCs w:val="26"/>
        </w:rPr>
      </w:pPr>
      <w:r w:rsidRPr="005143F7">
        <w:rPr>
          <w:rFonts w:ascii="Arial" w:hAnsi="Arial" w:cs="Arial"/>
          <w:sz w:val="26"/>
          <w:szCs w:val="26"/>
        </w:rPr>
        <w:t>Una lectura empática</w:t>
      </w:r>
      <w:r w:rsidR="004F5CF5">
        <w:rPr>
          <w:rFonts w:ascii="Arial" w:hAnsi="Arial" w:cs="Arial"/>
          <w:sz w:val="26"/>
          <w:szCs w:val="26"/>
        </w:rPr>
        <w:t xml:space="preserve"> del</w:t>
      </w:r>
      <w:r w:rsidRPr="005143F7">
        <w:rPr>
          <w:rFonts w:ascii="Arial" w:hAnsi="Arial" w:cs="Arial"/>
          <w:sz w:val="26"/>
          <w:szCs w:val="26"/>
        </w:rPr>
        <w:t xml:space="preserve"> </w:t>
      </w:r>
      <w:r w:rsidR="004F5CF5" w:rsidRPr="004F5CF5">
        <w:rPr>
          <w:rFonts w:ascii="Arial" w:hAnsi="Arial" w:cs="Arial"/>
          <w:sz w:val="26"/>
          <w:szCs w:val="26"/>
        </w:rPr>
        <w:t xml:space="preserve">Decreto de reforma a la Constitución de </w:t>
      </w:r>
      <w:r w:rsidR="004A5DF9">
        <w:rPr>
          <w:rFonts w:ascii="Arial" w:hAnsi="Arial" w:cs="Arial"/>
          <w:sz w:val="26"/>
          <w:szCs w:val="26"/>
        </w:rPr>
        <w:t>Coahuila</w:t>
      </w:r>
      <w:r w:rsidRPr="005143F7">
        <w:rPr>
          <w:rFonts w:ascii="Arial" w:hAnsi="Arial" w:cs="Arial"/>
          <w:sz w:val="26"/>
          <w:szCs w:val="26"/>
        </w:rPr>
        <w:t xml:space="preserve"> sugiere </w:t>
      </w:r>
      <w:r w:rsidRPr="005143F7">
        <w:rPr>
          <w:rFonts w:ascii="Arial" w:hAnsi="Arial" w:cs="Arial"/>
          <w:i/>
          <w:iCs/>
          <w:sz w:val="26"/>
          <w:szCs w:val="26"/>
          <w:u w:val="single"/>
        </w:rPr>
        <w:t>prima facie</w:t>
      </w:r>
      <w:r w:rsidRPr="005143F7">
        <w:rPr>
          <w:rFonts w:ascii="Arial" w:hAnsi="Arial" w:cs="Arial"/>
          <w:sz w:val="26"/>
          <w:szCs w:val="26"/>
        </w:rPr>
        <w:t xml:space="preserve"> que son positivos para los pueblos y comunidades indígenas. Al invalidar</w:t>
      </w:r>
      <w:r w:rsidR="00A961A7">
        <w:rPr>
          <w:rFonts w:ascii="Arial" w:hAnsi="Arial" w:cs="Arial"/>
          <w:sz w:val="26"/>
          <w:szCs w:val="26"/>
        </w:rPr>
        <w:t xml:space="preserve"> el decreto de reformas</w:t>
      </w:r>
      <w:r w:rsidRPr="005143F7">
        <w:rPr>
          <w:rFonts w:ascii="Arial" w:hAnsi="Arial" w:cs="Arial"/>
          <w:sz w:val="26"/>
          <w:szCs w:val="26"/>
        </w:rPr>
        <w:t xml:space="preserve">, ¿no se menoscaban algunos derechos y ventajas, no se eliminan provisiones que pudieran facilitarle la vida a </w:t>
      </w:r>
      <w:r w:rsidR="00A961A7">
        <w:rPr>
          <w:rFonts w:ascii="Arial" w:hAnsi="Arial" w:cs="Arial"/>
          <w:sz w:val="26"/>
          <w:szCs w:val="26"/>
        </w:rPr>
        <w:t>pueblos y comunidades indígenas,</w:t>
      </w:r>
      <w:r w:rsidR="00120235" w:rsidRPr="005143F7">
        <w:rPr>
          <w:rFonts w:ascii="Arial" w:hAnsi="Arial" w:cs="Arial"/>
          <w:sz w:val="26"/>
          <w:szCs w:val="26"/>
        </w:rPr>
        <w:t xml:space="preserve"> </w:t>
      </w:r>
      <w:r w:rsidR="0069235C" w:rsidRPr="005143F7">
        <w:rPr>
          <w:rFonts w:ascii="Arial" w:hAnsi="Arial" w:cs="Arial"/>
          <w:sz w:val="26"/>
          <w:szCs w:val="26"/>
        </w:rPr>
        <w:t>históricamente soslayados</w:t>
      </w:r>
      <w:r w:rsidRPr="005143F7">
        <w:rPr>
          <w:rFonts w:ascii="Arial" w:hAnsi="Arial" w:cs="Arial"/>
          <w:sz w:val="26"/>
          <w:szCs w:val="26"/>
        </w:rPr>
        <w:t>?</w:t>
      </w:r>
    </w:p>
    <w:p w14:paraId="37B9A4D4" w14:textId="5E2C0DF5" w:rsidR="00B27F45" w:rsidRPr="005143F7" w:rsidRDefault="00B27F45" w:rsidP="001E27A9">
      <w:pPr>
        <w:spacing w:before="400" w:after="400" w:line="360" w:lineRule="auto"/>
        <w:jc w:val="both"/>
        <w:rPr>
          <w:rFonts w:ascii="Arial" w:hAnsi="Arial" w:cs="Arial"/>
          <w:sz w:val="26"/>
          <w:szCs w:val="26"/>
        </w:rPr>
      </w:pPr>
      <w:r w:rsidRPr="005143F7">
        <w:rPr>
          <w:rFonts w:ascii="Arial" w:hAnsi="Arial" w:cs="Arial"/>
          <w:sz w:val="26"/>
          <w:szCs w:val="26"/>
        </w:rPr>
        <w:t xml:space="preserve">Lo más importante que debe procurarse con dicho grupo es el respeto a su dignidad y a que </w:t>
      </w:r>
      <w:r w:rsidR="001C2D57">
        <w:rPr>
          <w:rFonts w:ascii="Arial" w:hAnsi="Arial" w:cs="Arial"/>
          <w:sz w:val="26"/>
          <w:szCs w:val="26"/>
        </w:rPr>
        <w:t xml:space="preserve">sus integrantes sean quienes </w:t>
      </w:r>
      <w:r w:rsidRPr="005143F7">
        <w:rPr>
          <w:rFonts w:ascii="Arial" w:hAnsi="Arial" w:cs="Arial"/>
          <w:sz w:val="26"/>
          <w:szCs w:val="26"/>
        </w:rPr>
        <w:t>determinen cuál es la forma ideal de llevar a cabo tal o cual política para que les sea funcional y respetuosa, pues quienes no formamos parte de es</w:t>
      </w:r>
      <w:r w:rsidR="004F5CF5">
        <w:rPr>
          <w:rFonts w:ascii="Arial" w:hAnsi="Arial" w:cs="Arial"/>
          <w:sz w:val="26"/>
          <w:szCs w:val="26"/>
        </w:rPr>
        <w:t>e</w:t>
      </w:r>
      <w:r w:rsidRPr="005143F7">
        <w:rPr>
          <w:rFonts w:ascii="Arial" w:hAnsi="Arial" w:cs="Arial"/>
          <w:sz w:val="26"/>
          <w:szCs w:val="26"/>
        </w:rPr>
        <w:t xml:space="preserve"> grupo no poseemos elementos para poder valorar con solvencia qué es lo más pertinente. Sin embargo, para aplicar correctamente este derecho convencional me parece necesaria una primera fase valorativa, aunque sea </w:t>
      </w:r>
      <w:r w:rsidRPr="005143F7">
        <w:rPr>
          <w:rFonts w:ascii="Arial" w:hAnsi="Arial" w:cs="Arial"/>
          <w:i/>
          <w:iCs/>
          <w:sz w:val="26"/>
          <w:szCs w:val="26"/>
        </w:rPr>
        <w:t>prima facie</w:t>
      </w:r>
      <w:r w:rsidRPr="005143F7">
        <w:rPr>
          <w:rFonts w:ascii="Arial" w:hAnsi="Arial" w:cs="Arial"/>
          <w:sz w:val="26"/>
          <w:szCs w:val="26"/>
        </w:rPr>
        <w:t>, justamente para observar si las disposiciones que atañen a las personas consultadas les generan beneficios o ventajas, les amplían derechos o en cualquier forma les facilitan la vida.</w:t>
      </w:r>
    </w:p>
    <w:p w14:paraId="67F52D9C" w14:textId="52A0C135" w:rsidR="00B27F45" w:rsidRPr="005143F7" w:rsidRDefault="00B27F45" w:rsidP="001E27A9">
      <w:pPr>
        <w:spacing w:before="400" w:after="400" w:line="360" w:lineRule="auto"/>
        <w:jc w:val="both"/>
        <w:rPr>
          <w:rFonts w:ascii="Arial" w:hAnsi="Arial" w:cs="Arial"/>
          <w:sz w:val="26"/>
          <w:szCs w:val="26"/>
        </w:rPr>
      </w:pPr>
      <w:r w:rsidRPr="005143F7">
        <w:rPr>
          <w:rFonts w:ascii="Arial" w:hAnsi="Arial" w:cs="Arial"/>
          <w:sz w:val="26"/>
          <w:szCs w:val="26"/>
        </w:rPr>
        <w:t xml:space="preserve">La decisión de la Suprema Corte en esta acción de inconstitucionalidad invalidó </w:t>
      </w:r>
      <w:r w:rsidR="004F5CF5">
        <w:rPr>
          <w:rFonts w:ascii="Arial" w:hAnsi="Arial" w:cs="Arial"/>
          <w:sz w:val="26"/>
          <w:szCs w:val="26"/>
        </w:rPr>
        <w:t>el Decreto impugnado</w:t>
      </w:r>
      <w:r w:rsidRPr="005143F7">
        <w:rPr>
          <w:rFonts w:ascii="Arial" w:hAnsi="Arial" w:cs="Arial"/>
          <w:sz w:val="26"/>
          <w:szCs w:val="26"/>
        </w:rPr>
        <w:t xml:space="preserve"> porque adolece del vicio insalvable de no haber sido consultado. </w:t>
      </w:r>
      <w:r w:rsidR="00E03BD9" w:rsidRPr="005143F7">
        <w:rPr>
          <w:rFonts w:ascii="Arial" w:hAnsi="Arial" w:cs="Arial"/>
          <w:sz w:val="26"/>
          <w:szCs w:val="26"/>
        </w:rPr>
        <w:t xml:space="preserve">Al amparo de una mayor reflexión en el tema que nos ocupa, </w:t>
      </w:r>
      <w:r w:rsidR="00E03BD9" w:rsidRPr="005143F7">
        <w:rPr>
          <w:rFonts w:ascii="Arial" w:hAnsi="Arial" w:cs="Arial"/>
          <w:b/>
          <w:bCs/>
          <w:sz w:val="26"/>
          <w:szCs w:val="26"/>
        </w:rPr>
        <w:t>n</w:t>
      </w:r>
      <w:r w:rsidRPr="005143F7">
        <w:rPr>
          <w:rFonts w:ascii="Arial" w:hAnsi="Arial" w:cs="Arial"/>
          <w:b/>
          <w:bCs/>
          <w:sz w:val="26"/>
          <w:szCs w:val="26"/>
        </w:rPr>
        <w:t xml:space="preserve">o me convence del todo que invalidar la norma sea el efecto más </w:t>
      </w:r>
      <w:r w:rsidRPr="005143F7">
        <w:rPr>
          <w:rFonts w:ascii="Arial" w:hAnsi="Arial" w:cs="Arial"/>
          <w:b/>
          <w:bCs/>
          <w:sz w:val="26"/>
          <w:szCs w:val="26"/>
        </w:rPr>
        <w:lastRenderedPageBreak/>
        <w:t>deseable</w:t>
      </w:r>
      <w:r w:rsidRPr="005143F7">
        <w:rPr>
          <w:rFonts w:ascii="Arial" w:hAnsi="Arial" w:cs="Arial"/>
          <w:sz w:val="26"/>
          <w:szCs w:val="26"/>
        </w:rPr>
        <w:t xml:space="preserve">, </w:t>
      </w:r>
      <w:bookmarkStart w:id="1" w:name="_Hlk93429376"/>
      <w:r w:rsidRPr="005143F7">
        <w:rPr>
          <w:rFonts w:ascii="Arial" w:hAnsi="Arial" w:cs="Arial"/>
          <w:sz w:val="26"/>
          <w:szCs w:val="26"/>
        </w:rPr>
        <w:t>incluso a pesar de que la invalidez se haya sujetado a</w:t>
      </w:r>
      <w:r w:rsidR="001C2D57">
        <w:rPr>
          <w:rFonts w:ascii="Arial" w:hAnsi="Arial" w:cs="Arial"/>
          <w:sz w:val="26"/>
          <w:szCs w:val="26"/>
        </w:rPr>
        <w:t xml:space="preserve"> un </w:t>
      </w:r>
      <w:r w:rsidRPr="005143F7">
        <w:rPr>
          <w:rFonts w:ascii="Arial" w:hAnsi="Arial" w:cs="Arial"/>
          <w:sz w:val="26"/>
          <w:szCs w:val="26"/>
        </w:rPr>
        <w:t xml:space="preserve">plazo de </w:t>
      </w:r>
      <w:r w:rsidR="001C2D57">
        <w:rPr>
          <w:rFonts w:ascii="Arial" w:hAnsi="Arial" w:cs="Arial"/>
          <w:sz w:val="26"/>
          <w:szCs w:val="26"/>
        </w:rPr>
        <w:t>varios</w:t>
      </w:r>
      <w:r w:rsidRPr="005143F7">
        <w:rPr>
          <w:rFonts w:ascii="Arial" w:hAnsi="Arial" w:cs="Arial"/>
          <w:sz w:val="26"/>
          <w:szCs w:val="26"/>
        </w:rPr>
        <w:t xml:space="preserve"> meses pues, como señala la propia </w:t>
      </w:r>
      <w:r w:rsidR="001C2D57" w:rsidRPr="005143F7">
        <w:rPr>
          <w:rFonts w:ascii="Arial" w:hAnsi="Arial" w:cs="Arial"/>
          <w:sz w:val="26"/>
          <w:szCs w:val="26"/>
        </w:rPr>
        <w:t>convención</w:t>
      </w:r>
      <w:r w:rsidRPr="005143F7">
        <w:rPr>
          <w:rFonts w:ascii="Arial" w:hAnsi="Arial" w:cs="Arial"/>
          <w:sz w:val="26"/>
          <w:szCs w:val="26"/>
        </w:rPr>
        <w:t xml:space="preserve"> internacional, idealmente no deberían eliminarse provisiones que pudieran servir de ayuda a </w:t>
      </w:r>
      <w:r w:rsidR="001C2D57">
        <w:rPr>
          <w:rFonts w:ascii="Arial" w:hAnsi="Arial" w:cs="Arial"/>
          <w:sz w:val="26"/>
          <w:szCs w:val="26"/>
        </w:rPr>
        <w:t>personas</w:t>
      </w:r>
      <w:r w:rsidRPr="005143F7">
        <w:rPr>
          <w:rFonts w:ascii="Arial" w:hAnsi="Arial" w:cs="Arial"/>
          <w:sz w:val="26"/>
          <w:szCs w:val="26"/>
        </w:rPr>
        <w:t xml:space="preserve"> históricamente discriminad</w:t>
      </w:r>
      <w:r w:rsidR="001C2D57">
        <w:rPr>
          <w:rFonts w:ascii="Arial" w:hAnsi="Arial" w:cs="Arial"/>
          <w:sz w:val="26"/>
          <w:szCs w:val="26"/>
        </w:rPr>
        <w:t>a</w:t>
      </w:r>
      <w:r w:rsidRPr="005143F7">
        <w:rPr>
          <w:rFonts w:ascii="Arial" w:hAnsi="Arial" w:cs="Arial"/>
          <w:sz w:val="26"/>
          <w:szCs w:val="26"/>
        </w:rPr>
        <w:t>s</w:t>
      </w:r>
      <w:bookmarkEnd w:id="1"/>
      <w:r w:rsidRPr="005143F7">
        <w:rPr>
          <w:rFonts w:ascii="Arial" w:hAnsi="Arial" w:cs="Arial"/>
          <w:sz w:val="26"/>
          <w:szCs w:val="26"/>
        </w:rPr>
        <w:t xml:space="preserve">. </w:t>
      </w:r>
    </w:p>
    <w:p w14:paraId="43E39649" w14:textId="30B59030" w:rsidR="00B27F45" w:rsidRPr="005143F7" w:rsidRDefault="00B27F45" w:rsidP="001E27A9">
      <w:pPr>
        <w:spacing w:before="400" w:after="400" w:line="360" w:lineRule="auto"/>
        <w:jc w:val="both"/>
        <w:rPr>
          <w:rFonts w:ascii="Arial" w:hAnsi="Arial" w:cs="Arial"/>
          <w:sz w:val="26"/>
          <w:szCs w:val="26"/>
        </w:rPr>
      </w:pPr>
      <w:r w:rsidRPr="005143F7">
        <w:rPr>
          <w:rFonts w:ascii="Arial" w:hAnsi="Arial" w:cs="Arial"/>
          <w:sz w:val="26"/>
          <w:szCs w:val="26"/>
        </w:rPr>
        <w:t xml:space="preserve">La invalidez parece colisionar con lo que se tutela, porque puede implicar la extracción del orden jurídico de alguna disposición que, aunque sea de forma deficiente, </w:t>
      </w:r>
      <w:r w:rsidRPr="001C2D57">
        <w:rPr>
          <w:rFonts w:ascii="Arial" w:hAnsi="Arial" w:cs="Arial"/>
          <w:i/>
          <w:iCs/>
          <w:sz w:val="26"/>
          <w:szCs w:val="26"/>
          <w:u w:val="single"/>
        </w:rPr>
        <w:t>pudiera</w:t>
      </w:r>
      <w:r w:rsidRPr="005143F7">
        <w:rPr>
          <w:rFonts w:ascii="Arial" w:hAnsi="Arial" w:cs="Arial"/>
          <w:sz w:val="26"/>
          <w:szCs w:val="26"/>
        </w:rPr>
        <w:t xml:space="preserve"> constituir un avance fáctico en los derechos de estas minorías. </w:t>
      </w:r>
      <w:r w:rsidR="008632AA" w:rsidRPr="005143F7">
        <w:rPr>
          <w:rFonts w:ascii="Arial" w:hAnsi="Arial" w:cs="Arial"/>
          <w:sz w:val="26"/>
          <w:szCs w:val="26"/>
        </w:rPr>
        <w:t xml:space="preserve"> </w:t>
      </w:r>
      <w:r w:rsidRPr="005143F7">
        <w:rPr>
          <w:rFonts w:ascii="Arial" w:hAnsi="Arial" w:cs="Arial"/>
          <w:sz w:val="26"/>
          <w:szCs w:val="26"/>
        </w:rPr>
        <w:t xml:space="preserve">Para evaluar ese avance fáctico es que señalé que </w:t>
      </w:r>
      <w:r w:rsidR="001C2D57">
        <w:rPr>
          <w:rFonts w:ascii="Arial" w:hAnsi="Arial" w:cs="Arial"/>
          <w:sz w:val="26"/>
          <w:szCs w:val="26"/>
        </w:rPr>
        <w:t>sería</w:t>
      </w:r>
      <w:r w:rsidRPr="005143F7">
        <w:rPr>
          <w:rFonts w:ascii="Arial" w:hAnsi="Arial" w:cs="Arial"/>
          <w:sz w:val="26"/>
          <w:szCs w:val="26"/>
        </w:rPr>
        <w:t xml:space="preserve"> necesaria una aproximación valorativa </w:t>
      </w:r>
      <w:r w:rsidRPr="001C2D57">
        <w:rPr>
          <w:rFonts w:ascii="Arial" w:hAnsi="Arial" w:cs="Arial"/>
          <w:i/>
          <w:iCs/>
          <w:sz w:val="26"/>
          <w:szCs w:val="26"/>
        </w:rPr>
        <w:t>prima facie</w:t>
      </w:r>
      <w:r w:rsidRPr="005143F7">
        <w:rPr>
          <w:rFonts w:ascii="Arial" w:hAnsi="Arial" w:cs="Arial"/>
          <w:sz w:val="26"/>
          <w:szCs w:val="26"/>
        </w:rPr>
        <w:t xml:space="preserve">. </w:t>
      </w:r>
      <w:r w:rsidR="004F5CF5" w:rsidRPr="004F5CF5">
        <w:rPr>
          <w:rFonts w:ascii="Arial" w:hAnsi="Arial" w:cs="Arial"/>
          <w:sz w:val="26"/>
          <w:szCs w:val="26"/>
        </w:rPr>
        <w:t>En este caso, es posible que el Decreto Número 7</w:t>
      </w:r>
      <w:r w:rsidR="0076228E">
        <w:rPr>
          <w:rFonts w:ascii="Arial" w:hAnsi="Arial" w:cs="Arial"/>
          <w:sz w:val="26"/>
          <w:szCs w:val="26"/>
        </w:rPr>
        <w:t>39</w:t>
      </w:r>
      <w:r w:rsidR="004F5CF5" w:rsidRPr="004F5CF5">
        <w:rPr>
          <w:rFonts w:ascii="Arial" w:hAnsi="Arial" w:cs="Arial"/>
          <w:sz w:val="26"/>
          <w:szCs w:val="26"/>
        </w:rPr>
        <w:t xml:space="preserve"> por el que se</w:t>
      </w:r>
      <w:r w:rsidR="0076228E">
        <w:rPr>
          <w:rFonts w:ascii="Arial" w:hAnsi="Arial" w:cs="Arial"/>
          <w:sz w:val="26"/>
          <w:szCs w:val="26"/>
        </w:rPr>
        <w:t xml:space="preserve"> adicionan un tercer, cuarto, quinto y sexto párrafos, del artículo 7° de la Constitución Política del Estado de Coahuila de Zaragoza</w:t>
      </w:r>
      <w:r w:rsidR="004F5CF5" w:rsidRPr="004F5CF5">
        <w:rPr>
          <w:rFonts w:ascii="Arial" w:hAnsi="Arial" w:cs="Arial"/>
          <w:sz w:val="26"/>
          <w:szCs w:val="26"/>
        </w:rPr>
        <w:t>, contuviese modificaciones susceptibles de impactar positivamente en las comunidades indígenas.</w:t>
      </w:r>
    </w:p>
    <w:p w14:paraId="0D09357B" w14:textId="05B17B0E" w:rsidR="00B27F45" w:rsidRPr="005143F7" w:rsidRDefault="00B27F45" w:rsidP="001E27A9">
      <w:pPr>
        <w:shd w:val="clear" w:color="auto" w:fill="FFFFFF" w:themeFill="background1"/>
        <w:spacing w:before="400" w:after="400" w:line="360" w:lineRule="auto"/>
        <w:jc w:val="both"/>
        <w:rPr>
          <w:rFonts w:ascii="Arial" w:hAnsi="Arial" w:cs="Arial"/>
          <w:sz w:val="26"/>
          <w:szCs w:val="26"/>
        </w:rPr>
      </w:pPr>
      <w:r w:rsidRPr="005143F7">
        <w:rPr>
          <w:rFonts w:ascii="Arial" w:hAnsi="Arial" w:cs="Arial"/>
          <w:sz w:val="26"/>
          <w:szCs w:val="26"/>
        </w:rPr>
        <w:t>En este contexto, y tomando en cuenta el amplio margen de maniobra que a esta Suprema Corte permite lo dispuesto en el artículo 41, fracción IV</w:t>
      </w:r>
      <w:r w:rsidR="001E27A9">
        <w:rPr>
          <w:rFonts w:ascii="Arial" w:hAnsi="Arial" w:cs="Arial"/>
          <w:sz w:val="26"/>
          <w:szCs w:val="26"/>
        </w:rPr>
        <w:t>,</w:t>
      </w:r>
      <w:r w:rsidRPr="005143F7">
        <w:rPr>
          <w:rFonts w:ascii="Arial" w:hAnsi="Arial" w:cs="Arial"/>
          <w:sz w:val="26"/>
          <w:szCs w:val="26"/>
        </w:rPr>
        <w:t xml:space="preserve"> de la ley reglamentaria</w:t>
      </w:r>
      <w:r w:rsidRPr="005143F7">
        <w:rPr>
          <w:rStyle w:val="Refdenotaalpie"/>
          <w:rFonts w:ascii="Arial" w:hAnsi="Arial" w:cs="Arial"/>
          <w:sz w:val="26"/>
          <w:szCs w:val="26"/>
        </w:rPr>
        <w:footnoteReference w:id="8"/>
      </w:r>
      <w:r w:rsidRPr="005143F7">
        <w:rPr>
          <w:rFonts w:ascii="Arial" w:hAnsi="Arial" w:cs="Arial"/>
          <w:sz w:val="26"/>
          <w:szCs w:val="26"/>
        </w:rPr>
        <w:t>, quizá sea mejor ordenar al Congreso local a llevar a cabo estas consultas previas y reponer el procedimiento legislativo, sin decretar la invalidez de los preceptos, es decir, sin poner en riesgo la validez de los posibles beneficios que lo ya legislado pudiera contener.</w:t>
      </w:r>
    </w:p>
    <w:p w14:paraId="355563AF" w14:textId="6726309D" w:rsidR="00B27F45" w:rsidRDefault="00B27F45" w:rsidP="001E27A9">
      <w:pPr>
        <w:spacing w:before="400" w:after="400" w:line="360" w:lineRule="auto"/>
        <w:jc w:val="both"/>
        <w:rPr>
          <w:rFonts w:ascii="Arial" w:hAnsi="Arial" w:cs="Arial"/>
          <w:sz w:val="26"/>
          <w:szCs w:val="26"/>
        </w:rPr>
      </w:pPr>
      <w:r w:rsidRPr="005143F7">
        <w:rPr>
          <w:rFonts w:ascii="Arial" w:hAnsi="Arial" w:cs="Arial"/>
          <w:sz w:val="26"/>
          <w:szCs w:val="26"/>
        </w:rPr>
        <w:t>Sin embargo, el problema realmente grave está en mantener la costumbre de no consultar. Lo que se requiere es visibilidad normativa, es decir, voltear la mirada legislativa a estos grupos que requieren normas específicas que ellos conocen mejor, y mayores salvaguardas a fin de lograr plenamente su derecho a la igualdad y no discriminación.</w:t>
      </w:r>
    </w:p>
    <w:p w14:paraId="27DE0CAA" w14:textId="4069549C" w:rsidR="00B27F45" w:rsidRPr="005143F7" w:rsidRDefault="00B27F45" w:rsidP="001E27A9">
      <w:pPr>
        <w:spacing w:before="400" w:after="400" w:line="360" w:lineRule="auto"/>
        <w:jc w:val="both"/>
        <w:rPr>
          <w:rFonts w:ascii="Arial" w:hAnsi="Arial" w:cs="Arial"/>
          <w:sz w:val="26"/>
          <w:szCs w:val="26"/>
        </w:rPr>
      </w:pPr>
      <w:r w:rsidRPr="005143F7">
        <w:rPr>
          <w:rFonts w:ascii="Arial" w:hAnsi="Arial" w:cs="Arial"/>
          <w:sz w:val="26"/>
          <w:szCs w:val="26"/>
        </w:rPr>
        <w:t xml:space="preserve">Tomando esto en cuenta, convengo en que la invalidación es el mecanismo más eficaz que posee la Suprema Corte para lograr que el Legislativo sea compelido a legislar de nueva cuenta tomando en consideración </w:t>
      </w:r>
      <w:r w:rsidR="001C2D57">
        <w:rPr>
          <w:rFonts w:ascii="Arial" w:hAnsi="Arial" w:cs="Arial"/>
          <w:sz w:val="26"/>
          <w:szCs w:val="26"/>
        </w:rPr>
        <w:t xml:space="preserve">a pueblos y </w:t>
      </w:r>
      <w:r w:rsidR="001C2D57">
        <w:rPr>
          <w:rFonts w:ascii="Arial" w:hAnsi="Arial" w:cs="Arial"/>
          <w:sz w:val="26"/>
          <w:szCs w:val="26"/>
        </w:rPr>
        <w:lastRenderedPageBreak/>
        <w:t xml:space="preserve">comunidades indígenas y </w:t>
      </w:r>
      <w:proofErr w:type="spellStart"/>
      <w:r w:rsidR="001C2D57">
        <w:rPr>
          <w:rFonts w:ascii="Arial" w:hAnsi="Arial" w:cs="Arial"/>
          <w:sz w:val="26"/>
          <w:szCs w:val="26"/>
        </w:rPr>
        <w:t>afromexicanas</w:t>
      </w:r>
      <w:proofErr w:type="spellEnd"/>
      <w:r w:rsidRPr="005143F7">
        <w:rPr>
          <w:rFonts w:ascii="Arial" w:hAnsi="Arial" w:cs="Arial"/>
          <w:sz w:val="26"/>
          <w:szCs w:val="26"/>
        </w:rPr>
        <w:t>. Además, permitir la subsistencia de lo ya legislado sin haber</w:t>
      </w:r>
      <w:r w:rsidR="001C2D57">
        <w:rPr>
          <w:rFonts w:ascii="Arial" w:hAnsi="Arial" w:cs="Arial"/>
          <w:sz w:val="26"/>
          <w:szCs w:val="26"/>
        </w:rPr>
        <w:t>se</w:t>
      </w:r>
      <w:r w:rsidRPr="005143F7">
        <w:rPr>
          <w:rFonts w:ascii="Arial" w:hAnsi="Arial" w:cs="Arial"/>
          <w:sz w:val="26"/>
          <w:szCs w:val="26"/>
        </w:rPr>
        <w:t xml:space="preserve"> consultado, presuponiendo la benevolencia de los artículos impugnados que establecen políticas, formas de hacer, formas de entender, derechos y obligaciones, dejándolos intactos con tal de no contrariar los posibles avances a que se refiere el Convenio 169 de la OIT representaría, de facto, suprimir el carácter obligatorio de la consulta.</w:t>
      </w:r>
    </w:p>
    <w:p w14:paraId="0C98924E" w14:textId="726562A8" w:rsidR="00B27F45" w:rsidRPr="005143F7" w:rsidRDefault="00B27F45" w:rsidP="001E27A9">
      <w:pPr>
        <w:spacing w:before="400" w:after="400" w:line="360" w:lineRule="auto"/>
        <w:jc w:val="both"/>
        <w:rPr>
          <w:rFonts w:ascii="Arial" w:hAnsi="Arial" w:cs="Arial"/>
          <w:sz w:val="26"/>
          <w:szCs w:val="26"/>
        </w:rPr>
      </w:pPr>
      <w:r w:rsidRPr="005143F7">
        <w:rPr>
          <w:rFonts w:ascii="Arial" w:hAnsi="Arial" w:cs="Arial"/>
          <w:sz w:val="26"/>
          <w:szCs w:val="26"/>
        </w:rPr>
        <w:t xml:space="preserve">Adicionalmente, si no se invalidan las disposiciones, es improbable que el Legislativo actúe para subsanar una oquedad que no existirá porque, si no se declara su invalidez, el efecto jurídico es que tales normas son válidas, lo que inhibe la necesidad de legislar de nuevo. Si las normas no son invalidadas, entonces son correctas, siendo así, ¿para qué volver a legislar después de consultar a los grupos </w:t>
      </w:r>
      <w:r w:rsidR="005E6C64" w:rsidRPr="005143F7">
        <w:rPr>
          <w:rFonts w:ascii="Arial" w:hAnsi="Arial" w:cs="Arial"/>
          <w:sz w:val="26"/>
          <w:szCs w:val="26"/>
        </w:rPr>
        <w:t>en situación de vulnerabilidad</w:t>
      </w:r>
      <w:r w:rsidRPr="005143F7">
        <w:rPr>
          <w:rFonts w:ascii="Arial" w:hAnsi="Arial" w:cs="Arial"/>
          <w:sz w:val="26"/>
          <w:szCs w:val="26"/>
        </w:rPr>
        <w:t>? En cambio, si se invalidan, queda un hueco por colmar. Es cierto que el Legislativo pudiera ignorar lo eliminado, considerar que es irrelevante volver a trabajarlo, y evitar llevar a cabo una consulta, con las complicaciones metodológicas que implica. Es un riesgo posible, así que para evitar que suceda es que la sentencia ordena volver a legislar en lo invalidado</w:t>
      </w:r>
      <w:r w:rsidRPr="005143F7">
        <w:rPr>
          <w:rStyle w:val="Refdenotaalpie"/>
          <w:rFonts w:ascii="Arial" w:hAnsi="Arial" w:cs="Arial"/>
          <w:sz w:val="26"/>
          <w:szCs w:val="26"/>
        </w:rPr>
        <w:footnoteReference w:id="9"/>
      </w:r>
      <w:r w:rsidRPr="005143F7">
        <w:rPr>
          <w:rFonts w:ascii="Arial" w:hAnsi="Arial" w:cs="Arial"/>
          <w:sz w:val="26"/>
          <w:szCs w:val="26"/>
        </w:rPr>
        <w:t xml:space="preserve">. </w:t>
      </w:r>
    </w:p>
    <w:p w14:paraId="7B02486D" w14:textId="77777777" w:rsidR="00A629FF" w:rsidRPr="00A629FF" w:rsidRDefault="00A629FF" w:rsidP="001E27A9">
      <w:pPr>
        <w:shd w:val="clear" w:color="auto" w:fill="FFFFFF" w:themeFill="background1"/>
        <w:spacing w:before="400" w:after="400" w:line="360" w:lineRule="auto"/>
        <w:jc w:val="both"/>
        <w:rPr>
          <w:rFonts w:ascii="Arial" w:hAnsi="Arial" w:cs="Arial"/>
          <w:sz w:val="26"/>
          <w:szCs w:val="26"/>
        </w:rPr>
      </w:pPr>
      <w:r w:rsidRPr="00A629FF">
        <w:rPr>
          <w:rFonts w:ascii="Arial" w:hAnsi="Arial" w:cs="Arial"/>
          <w:sz w:val="26"/>
          <w:szCs w:val="26"/>
        </w:rPr>
        <w:t>En corolario a todo lo expresado a lo largo del presente documento, reitero que el papel de la Suprema Corte en los casos que ameriten consulta previa debe ser particularmente sensible a las circunstancias que rodean cada caso concreto, con especial cautela frente a la determinación de invalidez de normas, tomando en cuenta los posibles impactos perjudiciales que podrían derivar de una falta o dilación en el cumplimiento del mandato de volver a legislar.</w:t>
      </w:r>
    </w:p>
    <w:p w14:paraId="65A024DF" w14:textId="49E8844A" w:rsidR="0082052B" w:rsidRDefault="00A629FF" w:rsidP="001E27A9">
      <w:pPr>
        <w:shd w:val="clear" w:color="auto" w:fill="FFFFFF" w:themeFill="background1"/>
        <w:spacing w:before="400" w:after="400" w:line="360" w:lineRule="auto"/>
        <w:jc w:val="both"/>
        <w:rPr>
          <w:rFonts w:ascii="Arial" w:hAnsi="Arial" w:cs="Arial"/>
          <w:sz w:val="26"/>
          <w:szCs w:val="26"/>
        </w:rPr>
      </w:pPr>
      <w:r w:rsidRPr="00A629FF">
        <w:rPr>
          <w:rFonts w:ascii="Arial" w:hAnsi="Arial" w:cs="Arial"/>
          <w:sz w:val="26"/>
          <w:szCs w:val="26"/>
        </w:rPr>
        <w:t xml:space="preserve">Mantengo mi reserva respecto a que invalidar las normas no consultadas, y que </w:t>
      </w:r>
      <w:r w:rsidRPr="00C104BE">
        <w:rPr>
          <w:rFonts w:ascii="Arial" w:hAnsi="Arial" w:cs="Arial"/>
          <w:i/>
          <w:iCs/>
          <w:sz w:val="26"/>
          <w:szCs w:val="26"/>
        </w:rPr>
        <w:t>prima facie</w:t>
      </w:r>
      <w:r w:rsidRPr="00A629FF">
        <w:rPr>
          <w:rFonts w:ascii="Arial" w:hAnsi="Arial" w:cs="Arial"/>
          <w:sz w:val="26"/>
          <w:szCs w:val="26"/>
        </w:rPr>
        <w:t xml:space="preserve"> puedan beneficiar a estos grupos en situación de vulnerabilidad, sea la mejor solución. La realidad demostrará si estas conjeturas son correctas y si los congresos actúan responsablemente frente </w:t>
      </w:r>
      <w:r w:rsidRPr="00A629FF">
        <w:rPr>
          <w:rFonts w:ascii="Arial" w:hAnsi="Arial" w:cs="Arial"/>
          <w:sz w:val="26"/>
          <w:szCs w:val="26"/>
        </w:rPr>
        <w:lastRenderedPageBreak/>
        <w:t>a lo mandatado y con solidaridad hacia los grupos en situación de vulnerabilidad. Con esa salvedad voto a favor del efecto de invalidar, aclarando precisamente mis reservas al respecto.</w:t>
      </w:r>
    </w:p>
    <w:p w14:paraId="7827F222" w14:textId="628CB5D4" w:rsidR="00A629FF" w:rsidRDefault="00A629FF" w:rsidP="00A629FF">
      <w:pPr>
        <w:shd w:val="clear" w:color="auto" w:fill="FFFFFF" w:themeFill="background1"/>
        <w:spacing w:before="240" w:after="240" w:line="360" w:lineRule="auto"/>
        <w:jc w:val="both"/>
        <w:rPr>
          <w:rFonts w:ascii="Arial" w:hAnsi="Arial" w:cs="Arial"/>
          <w:b/>
          <w:bCs/>
          <w:sz w:val="26"/>
          <w:szCs w:val="26"/>
        </w:rPr>
      </w:pPr>
    </w:p>
    <w:p w14:paraId="4B286FBD" w14:textId="77777777" w:rsidR="001E27A9" w:rsidRDefault="001E27A9" w:rsidP="00A629FF">
      <w:pPr>
        <w:shd w:val="clear" w:color="auto" w:fill="FFFFFF" w:themeFill="background1"/>
        <w:spacing w:before="240" w:after="240" w:line="360" w:lineRule="auto"/>
        <w:jc w:val="both"/>
        <w:rPr>
          <w:rFonts w:ascii="Arial" w:hAnsi="Arial" w:cs="Arial"/>
          <w:b/>
          <w:bCs/>
          <w:sz w:val="26"/>
          <w:szCs w:val="26"/>
        </w:rPr>
      </w:pPr>
    </w:p>
    <w:p w14:paraId="125B49CA" w14:textId="367AE860" w:rsidR="003B63A5" w:rsidRDefault="003B63A5" w:rsidP="00C223C8">
      <w:pPr>
        <w:shd w:val="clear" w:color="auto" w:fill="FFFFFF" w:themeFill="background1"/>
        <w:spacing w:before="240" w:after="240" w:line="360" w:lineRule="auto"/>
        <w:jc w:val="center"/>
        <w:rPr>
          <w:rFonts w:ascii="Arial" w:hAnsi="Arial" w:cs="Arial"/>
          <w:b/>
          <w:bCs/>
          <w:sz w:val="26"/>
          <w:szCs w:val="26"/>
        </w:rPr>
      </w:pPr>
      <w:r w:rsidRPr="005143F7">
        <w:rPr>
          <w:rFonts w:ascii="Arial" w:hAnsi="Arial" w:cs="Arial"/>
          <w:b/>
          <w:bCs/>
          <w:sz w:val="26"/>
          <w:szCs w:val="26"/>
        </w:rPr>
        <w:t>MINISTRA ANA MARGARITA RÍOS FARJAT</w:t>
      </w:r>
    </w:p>
    <w:p w14:paraId="4B6DFF5B" w14:textId="77777777" w:rsidR="003E0522" w:rsidRPr="005143F7" w:rsidRDefault="003E0522" w:rsidP="00C223C8">
      <w:pPr>
        <w:shd w:val="clear" w:color="auto" w:fill="FFFFFF" w:themeFill="background1"/>
        <w:spacing w:before="240" w:after="240" w:line="360" w:lineRule="auto"/>
        <w:jc w:val="center"/>
        <w:rPr>
          <w:rFonts w:ascii="Arial" w:hAnsi="Arial" w:cs="Arial"/>
          <w:b/>
          <w:bCs/>
          <w:sz w:val="26"/>
          <w:szCs w:val="26"/>
        </w:rPr>
      </w:pPr>
    </w:p>
    <w:p w14:paraId="5AEA6FCC" w14:textId="77777777" w:rsidR="00DE43C9" w:rsidRPr="0053265A" w:rsidRDefault="00DE43C9" w:rsidP="00C223C8">
      <w:pPr>
        <w:spacing w:before="240" w:after="240" w:line="360" w:lineRule="auto"/>
        <w:jc w:val="center"/>
        <w:rPr>
          <w:rFonts w:ascii="Arial" w:hAnsi="Arial" w:cs="Arial"/>
          <w:bCs/>
          <w:color w:val="000000" w:themeColor="text1"/>
          <w:sz w:val="24"/>
          <w:szCs w:val="24"/>
        </w:rPr>
      </w:pPr>
      <w:r w:rsidRPr="0053265A">
        <w:rPr>
          <w:rFonts w:ascii="Arial" w:hAnsi="Arial" w:cs="Arial"/>
          <w:bCs/>
          <w:color w:val="000000" w:themeColor="text1"/>
          <w:sz w:val="24"/>
          <w:szCs w:val="24"/>
        </w:rPr>
        <w:t>SECRETARIO GENERAL DE ACUERDOS</w:t>
      </w:r>
    </w:p>
    <w:p w14:paraId="234FD312" w14:textId="77777777" w:rsidR="001E27A9" w:rsidRDefault="001E27A9" w:rsidP="00C223C8">
      <w:pPr>
        <w:spacing w:before="240" w:after="240" w:line="360" w:lineRule="auto"/>
        <w:jc w:val="center"/>
        <w:rPr>
          <w:rFonts w:ascii="Arial" w:hAnsi="Arial" w:cs="Arial"/>
          <w:bCs/>
          <w:color w:val="000000" w:themeColor="text1"/>
          <w:sz w:val="24"/>
          <w:szCs w:val="24"/>
        </w:rPr>
      </w:pPr>
    </w:p>
    <w:p w14:paraId="0CF7FEF3" w14:textId="0E9C7561" w:rsidR="00614BC4" w:rsidRPr="0053265A" w:rsidRDefault="001E27A9" w:rsidP="00C223C8">
      <w:pPr>
        <w:spacing w:before="240" w:after="240" w:line="360" w:lineRule="auto"/>
        <w:jc w:val="center"/>
        <w:rPr>
          <w:rFonts w:ascii="Arial" w:hAnsi="Arial" w:cs="Arial"/>
          <w:bCs/>
          <w:i/>
          <w:sz w:val="24"/>
          <w:szCs w:val="24"/>
        </w:rPr>
      </w:pPr>
      <w:r>
        <w:rPr>
          <w:rFonts w:ascii="Arial" w:hAnsi="Arial" w:cs="Arial"/>
          <w:bCs/>
          <w:color w:val="000000" w:themeColor="text1"/>
          <w:sz w:val="24"/>
          <w:szCs w:val="24"/>
        </w:rPr>
        <w:t xml:space="preserve">LIC. </w:t>
      </w:r>
      <w:r w:rsidR="00DE43C9" w:rsidRPr="0053265A">
        <w:rPr>
          <w:rFonts w:ascii="Arial" w:hAnsi="Arial" w:cs="Arial"/>
          <w:bCs/>
          <w:color w:val="000000" w:themeColor="text1"/>
          <w:sz w:val="24"/>
          <w:szCs w:val="24"/>
        </w:rPr>
        <w:t>RAFAEL COELLO CETINA</w:t>
      </w:r>
    </w:p>
    <w:sectPr w:rsidR="00614BC4" w:rsidRPr="0053265A" w:rsidSect="00056023">
      <w:headerReference w:type="even" r:id="rId11"/>
      <w:headerReference w:type="default" r:id="rId12"/>
      <w:footerReference w:type="even" r:id="rId13"/>
      <w:footerReference w:type="default" r:id="rId14"/>
      <w:pgSz w:w="12242" w:h="20163" w:code="5"/>
      <w:pgMar w:top="2552" w:right="1701" w:bottom="1701" w:left="1701" w:header="1191" w:footer="9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897C" w14:textId="77777777" w:rsidR="00AF6001" w:rsidRDefault="00AF6001" w:rsidP="007C3C9B">
      <w:r>
        <w:separator/>
      </w:r>
    </w:p>
  </w:endnote>
  <w:endnote w:type="continuationSeparator" w:id="0">
    <w:p w14:paraId="66FEA1B8" w14:textId="77777777" w:rsidR="00AF6001" w:rsidRDefault="00AF6001" w:rsidP="007C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845032"/>
      <w:docPartObj>
        <w:docPartGallery w:val="Page Numbers (Bottom of Page)"/>
        <w:docPartUnique/>
      </w:docPartObj>
    </w:sdtPr>
    <w:sdtEndPr>
      <w:rPr>
        <w:rFonts w:ascii="Arial" w:hAnsi="Arial" w:cs="Arial"/>
        <w:b/>
        <w:color w:val="0070C0"/>
        <w:sz w:val="22"/>
        <w:szCs w:val="22"/>
      </w:rPr>
    </w:sdtEndPr>
    <w:sdtContent>
      <w:p w14:paraId="64A31C88" w14:textId="1199DDD2" w:rsidR="009E5D35" w:rsidRPr="00846103" w:rsidRDefault="00563945">
        <w:pPr>
          <w:pStyle w:val="Piedepgina"/>
          <w:rPr>
            <w:rFonts w:ascii="Arial" w:hAnsi="Arial" w:cs="Arial"/>
            <w:b/>
            <w:color w:val="0070C0"/>
            <w:sz w:val="22"/>
            <w:szCs w:val="22"/>
          </w:rPr>
        </w:pPr>
        <w:r w:rsidRPr="00846103">
          <w:rPr>
            <w:rFonts w:ascii="Arial" w:hAnsi="Arial" w:cs="Arial"/>
            <w:b/>
            <w:color w:val="0070C0"/>
            <w:sz w:val="22"/>
            <w:szCs w:val="22"/>
          </w:rPr>
          <w:fldChar w:fldCharType="begin"/>
        </w:r>
        <w:r w:rsidRPr="00846103">
          <w:rPr>
            <w:rFonts w:ascii="Arial" w:hAnsi="Arial" w:cs="Arial"/>
            <w:b/>
            <w:color w:val="0070C0"/>
            <w:sz w:val="22"/>
            <w:szCs w:val="22"/>
          </w:rPr>
          <w:instrText>PAGE   \* MERGEFORMAT</w:instrText>
        </w:r>
        <w:r w:rsidRPr="00846103">
          <w:rPr>
            <w:rFonts w:ascii="Arial" w:hAnsi="Arial" w:cs="Arial"/>
            <w:b/>
            <w:color w:val="0070C0"/>
            <w:sz w:val="22"/>
            <w:szCs w:val="22"/>
          </w:rPr>
          <w:fldChar w:fldCharType="separate"/>
        </w:r>
        <w:r w:rsidR="007C51C5" w:rsidRPr="007C51C5">
          <w:rPr>
            <w:rFonts w:ascii="Arial" w:hAnsi="Arial" w:cs="Arial"/>
            <w:b/>
            <w:noProof/>
            <w:color w:val="0070C0"/>
            <w:sz w:val="22"/>
            <w:szCs w:val="22"/>
            <w:lang w:val="es-ES"/>
          </w:rPr>
          <w:t>16</w:t>
        </w:r>
        <w:r w:rsidRPr="00846103">
          <w:rPr>
            <w:rFonts w:ascii="Arial" w:hAnsi="Arial" w:cs="Arial"/>
            <w:b/>
            <w:color w:val="0070C0"/>
            <w:sz w:val="22"/>
            <w:szCs w:val="22"/>
          </w:rPr>
          <w:fldChar w:fldCharType="end"/>
        </w:r>
      </w:p>
    </w:sdtContent>
  </w:sdt>
  <w:p w14:paraId="608A7FE5" w14:textId="77777777" w:rsidR="009E5D35" w:rsidRDefault="009E5D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81127"/>
      <w:docPartObj>
        <w:docPartGallery w:val="Page Numbers (Bottom of Page)"/>
        <w:docPartUnique/>
      </w:docPartObj>
    </w:sdtPr>
    <w:sdtEndPr>
      <w:rPr>
        <w:rFonts w:ascii="Arial" w:hAnsi="Arial" w:cs="Arial"/>
        <w:b/>
        <w:color w:val="0070C0"/>
        <w:sz w:val="22"/>
        <w:szCs w:val="22"/>
      </w:rPr>
    </w:sdtEndPr>
    <w:sdtContent>
      <w:p w14:paraId="4C38365E" w14:textId="3DBE8031" w:rsidR="009E5D35" w:rsidRPr="00846103" w:rsidRDefault="00563945">
        <w:pPr>
          <w:pStyle w:val="Piedepgina"/>
          <w:jc w:val="right"/>
          <w:rPr>
            <w:rFonts w:ascii="Arial" w:hAnsi="Arial" w:cs="Arial"/>
            <w:b/>
            <w:color w:val="0070C0"/>
            <w:sz w:val="22"/>
            <w:szCs w:val="22"/>
          </w:rPr>
        </w:pPr>
        <w:r w:rsidRPr="00846103">
          <w:rPr>
            <w:rFonts w:ascii="Arial" w:hAnsi="Arial" w:cs="Arial"/>
            <w:b/>
            <w:color w:val="0070C0"/>
            <w:sz w:val="22"/>
            <w:szCs w:val="22"/>
          </w:rPr>
          <w:fldChar w:fldCharType="begin"/>
        </w:r>
        <w:r w:rsidRPr="00846103">
          <w:rPr>
            <w:rFonts w:ascii="Arial" w:hAnsi="Arial" w:cs="Arial"/>
            <w:b/>
            <w:color w:val="0070C0"/>
            <w:sz w:val="22"/>
            <w:szCs w:val="22"/>
          </w:rPr>
          <w:instrText>PAGE   \* MERGEFORMAT</w:instrText>
        </w:r>
        <w:r w:rsidRPr="00846103">
          <w:rPr>
            <w:rFonts w:ascii="Arial" w:hAnsi="Arial" w:cs="Arial"/>
            <w:b/>
            <w:color w:val="0070C0"/>
            <w:sz w:val="22"/>
            <w:szCs w:val="22"/>
          </w:rPr>
          <w:fldChar w:fldCharType="separate"/>
        </w:r>
        <w:r w:rsidR="007C51C5" w:rsidRPr="007C51C5">
          <w:rPr>
            <w:rFonts w:ascii="Arial" w:hAnsi="Arial" w:cs="Arial"/>
            <w:b/>
            <w:noProof/>
            <w:color w:val="0070C0"/>
            <w:sz w:val="22"/>
            <w:szCs w:val="22"/>
            <w:lang w:val="es-ES"/>
          </w:rPr>
          <w:t>15</w:t>
        </w:r>
        <w:r w:rsidRPr="00846103">
          <w:rPr>
            <w:rFonts w:ascii="Arial" w:hAnsi="Arial" w:cs="Arial"/>
            <w:b/>
            <w:color w:val="0070C0"/>
            <w:sz w:val="22"/>
            <w:szCs w:val="22"/>
          </w:rPr>
          <w:fldChar w:fldCharType="end"/>
        </w:r>
      </w:p>
    </w:sdtContent>
  </w:sdt>
  <w:p w14:paraId="238A8A8B" w14:textId="77777777" w:rsidR="009E5D35" w:rsidRDefault="009E5D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83F0" w14:textId="77777777" w:rsidR="00AF6001" w:rsidRDefault="00AF6001" w:rsidP="007C3C9B">
      <w:r>
        <w:separator/>
      </w:r>
    </w:p>
  </w:footnote>
  <w:footnote w:type="continuationSeparator" w:id="0">
    <w:p w14:paraId="2959F1DB" w14:textId="77777777" w:rsidR="00AF6001" w:rsidRDefault="00AF6001" w:rsidP="007C3C9B">
      <w:r>
        <w:continuationSeparator/>
      </w:r>
    </w:p>
  </w:footnote>
  <w:footnote w:id="1">
    <w:p w14:paraId="0EBC50E1" w14:textId="484F38F6" w:rsidR="00D53CF4" w:rsidRPr="005143F7" w:rsidRDefault="00D53CF4" w:rsidP="00D53CF4">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24692A">
        <w:rPr>
          <w:sz w:val="22"/>
          <w:szCs w:val="22"/>
        </w:rPr>
        <w:t xml:space="preserve">  </w:t>
      </w:r>
      <w:r w:rsidRPr="005143F7">
        <w:rPr>
          <w:b/>
          <w:bCs/>
          <w:sz w:val="22"/>
          <w:szCs w:val="22"/>
        </w:rPr>
        <w:t>Artículo 1o.</w:t>
      </w:r>
      <w:r w:rsidRPr="005143F7">
        <w:rPr>
          <w:sz w:val="22"/>
          <w:szCs w:val="22"/>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14:paraId="69778A6C" w14:textId="671E5E54" w:rsidR="00D53CF4" w:rsidRPr="005143F7" w:rsidRDefault="0024692A" w:rsidP="00D53CF4">
      <w:pPr>
        <w:pStyle w:val="Textonotapie"/>
        <w:ind w:left="284" w:hanging="142"/>
        <w:jc w:val="both"/>
        <w:rPr>
          <w:sz w:val="22"/>
          <w:szCs w:val="22"/>
        </w:rPr>
      </w:pPr>
      <w:r>
        <w:rPr>
          <w:b/>
          <w:bCs/>
          <w:sz w:val="22"/>
          <w:szCs w:val="22"/>
        </w:rPr>
        <w:t xml:space="preserve">  </w:t>
      </w:r>
      <w:r w:rsidR="00D53CF4" w:rsidRPr="005143F7">
        <w:rPr>
          <w:b/>
          <w:bCs/>
          <w:sz w:val="22"/>
          <w:szCs w:val="22"/>
        </w:rPr>
        <w:t>Artículo 2º</w:t>
      </w:r>
      <w:r w:rsidR="00D53CF4" w:rsidRPr="005143F7">
        <w:rPr>
          <w:sz w:val="22"/>
          <w:szCs w:val="22"/>
        </w:rPr>
        <w:t xml:space="preserve"> (…)</w:t>
      </w:r>
    </w:p>
    <w:p w14:paraId="2A064467" w14:textId="77777777" w:rsidR="00D53CF4" w:rsidRPr="005143F7" w:rsidRDefault="00D53CF4" w:rsidP="00D53CF4">
      <w:pPr>
        <w:pStyle w:val="Textonotapie"/>
        <w:ind w:left="284"/>
        <w:jc w:val="both"/>
        <w:rPr>
          <w:sz w:val="22"/>
          <w:szCs w:val="22"/>
        </w:rPr>
      </w:pPr>
      <w:r w:rsidRPr="005143F7">
        <w:rPr>
          <w:sz w:val="22"/>
          <w:szCs w:val="22"/>
        </w:rPr>
        <w:t xml:space="preserve">A. Esta Constitución reconoce y garantiza el derecho de los pueblos y las comunidades indígenas a la libre determinación y, en consecuencia, a la autonomía para: </w:t>
      </w:r>
    </w:p>
    <w:p w14:paraId="4D7ADDDD" w14:textId="77777777" w:rsidR="00D53CF4" w:rsidRPr="005143F7" w:rsidRDefault="00D53CF4" w:rsidP="00D53CF4">
      <w:pPr>
        <w:pStyle w:val="Textonotapie"/>
        <w:ind w:left="709" w:hanging="284"/>
        <w:jc w:val="both"/>
        <w:rPr>
          <w:sz w:val="22"/>
          <w:szCs w:val="22"/>
        </w:rPr>
      </w:pPr>
      <w:r w:rsidRPr="005143F7">
        <w:rPr>
          <w:sz w:val="22"/>
          <w:szCs w:val="22"/>
        </w:rPr>
        <w:t xml:space="preserve">I. Decidir sus formas internas de convivencia y organización social, económica, política y cultural. </w:t>
      </w:r>
    </w:p>
    <w:p w14:paraId="7D9E34D5" w14:textId="77777777" w:rsidR="00D53CF4" w:rsidRPr="005143F7" w:rsidRDefault="00D53CF4" w:rsidP="00D53CF4">
      <w:pPr>
        <w:pStyle w:val="Textonotapie"/>
        <w:ind w:left="709" w:hanging="284"/>
        <w:jc w:val="both"/>
        <w:rPr>
          <w:sz w:val="22"/>
          <w:szCs w:val="22"/>
        </w:rPr>
      </w:pPr>
      <w:r w:rsidRPr="005143F7">
        <w:rPr>
          <w:sz w:val="22"/>
          <w:szCs w:val="22"/>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395DCF82" w14:textId="77777777" w:rsidR="00D53CF4" w:rsidRPr="005143F7" w:rsidRDefault="00D53CF4" w:rsidP="00D53CF4">
      <w:pPr>
        <w:pStyle w:val="Textonotapie"/>
        <w:ind w:left="709" w:hanging="284"/>
        <w:jc w:val="both"/>
        <w:rPr>
          <w:sz w:val="22"/>
          <w:szCs w:val="22"/>
        </w:rPr>
      </w:pPr>
      <w:r w:rsidRPr="005143F7">
        <w:rPr>
          <w:sz w:val="22"/>
          <w:szCs w:val="22"/>
        </w:rPr>
        <w:t xml:space="preserve">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 </w:t>
      </w:r>
    </w:p>
    <w:p w14:paraId="5EEE7914" w14:textId="77777777" w:rsidR="00D53CF4" w:rsidRPr="005143F7" w:rsidRDefault="00D53CF4" w:rsidP="00D53CF4">
      <w:pPr>
        <w:pStyle w:val="Textonotapie"/>
        <w:ind w:left="709" w:hanging="284"/>
        <w:jc w:val="both"/>
        <w:rPr>
          <w:sz w:val="22"/>
          <w:szCs w:val="22"/>
        </w:rPr>
      </w:pPr>
      <w:r w:rsidRPr="005143F7">
        <w:rPr>
          <w:sz w:val="22"/>
          <w:szCs w:val="22"/>
        </w:rPr>
        <w:t>IV. Preservar y enriquecer sus lenguas, conocimientos y todos los elementos que constituyan su cultura e identidad. (…)</w:t>
      </w:r>
    </w:p>
  </w:footnote>
  <w:footnote w:id="2">
    <w:p w14:paraId="7DA7DFB6" w14:textId="43CA9275" w:rsidR="00D53CF4" w:rsidRPr="005143F7" w:rsidRDefault="00D53CF4" w:rsidP="00D53CF4">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24692A">
        <w:rPr>
          <w:sz w:val="22"/>
          <w:szCs w:val="22"/>
        </w:rPr>
        <w:t xml:space="preserve">  </w:t>
      </w:r>
      <w:r w:rsidRPr="005143F7">
        <w:rPr>
          <w:sz w:val="22"/>
          <w:szCs w:val="22"/>
        </w:rPr>
        <w:t xml:space="preserve">Adoptado el veintisiete de junio de mil novecientos ochenta y nueve en Ginebra, Suiza. Ratificado por México el cinco de septiembre de mi novecientos noventa. Publicado en el Diario Oficial de la Federación el veinticuatro de enero de mil novecientos noventa y uno. Entrada en vigor para México el cinco de septiembre de mil novecientos noventa y uno. </w:t>
      </w:r>
    </w:p>
  </w:footnote>
  <w:footnote w:id="3">
    <w:p w14:paraId="2B449CDD" w14:textId="041245FE" w:rsidR="00033160" w:rsidRPr="00BF4F2A" w:rsidRDefault="00B27F45" w:rsidP="00033160">
      <w:pPr>
        <w:pStyle w:val="Textonotapie"/>
        <w:ind w:left="284" w:hanging="284"/>
        <w:jc w:val="both"/>
        <w:rPr>
          <w:sz w:val="22"/>
          <w:szCs w:val="22"/>
        </w:rPr>
      </w:pPr>
      <w:r w:rsidRPr="00DD7C59">
        <w:rPr>
          <w:rStyle w:val="Refdenotaalpie"/>
          <w:sz w:val="22"/>
          <w:szCs w:val="22"/>
        </w:rPr>
        <w:footnoteRef/>
      </w:r>
      <w:r w:rsidRPr="00DD7C59">
        <w:rPr>
          <w:sz w:val="22"/>
          <w:szCs w:val="22"/>
        </w:rPr>
        <w:t xml:space="preserve"> </w:t>
      </w:r>
      <w:r w:rsidR="0024692A">
        <w:rPr>
          <w:sz w:val="22"/>
          <w:szCs w:val="22"/>
        </w:rPr>
        <w:t xml:space="preserve">  </w:t>
      </w:r>
      <w:r w:rsidR="00666FC1" w:rsidRPr="00DD7C59">
        <w:rPr>
          <w:sz w:val="22"/>
          <w:szCs w:val="22"/>
        </w:rPr>
        <w:t xml:space="preserve">Resuelta en sesión de veintinueve de mayo de dos mil catorce, por </w:t>
      </w:r>
      <w:r w:rsidR="00C20816" w:rsidRPr="00DD7C59">
        <w:rPr>
          <w:sz w:val="22"/>
          <w:szCs w:val="22"/>
        </w:rPr>
        <w:t>mayoría de diez votos de l</w:t>
      </w:r>
      <w:r w:rsidR="001A6A6D">
        <w:rPr>
          <w:sz w:val="22"/>
          <w:szCs w:val="22"/>
        </w:rPr>
        <w:t>a</w:t>
      </w:r>
      <w:r w:rsidR="00C20816" w:rsidRPr="00DD7C59">
        <w:rPr>
          <w:sz w:val="22"/>
          <w:szCs w:val="22"/>
        </w:rPr>
        <w:t xml:space="preserve">s </w:t>
      </w:r>
      <w:proofErr w:type="gramStart"/>
      <w:r w:rsidR="0024692A">
        <w:rPr>
          <w:sz w:val="22"/>
          <w:szCs w:val="22"/>
        </w:rPr>
        <w:t>M</w:t>
      </w:r>
      <w:r w:rsidR="00C20816" w:rsidRPr="005143F7">
        <w:rPr>
          <w:sz w:val="22"/>
          <w:szCs w:val="22"/>
        </w:rPr>
        <w:t>inistras</w:t>
      </w:r>
      <w:proofErr w:type="gramEnd"/>
      <w:r w:rsidR="00C20816" w:rsidRPr="005143F7">
        <w:rPr>
          <w:sz w:val="22"/>
          <w:szCs w:val="22"/>
        </w:rPr>
        <w:t xml:space="preserve"> </w:t>
      </w:r>
      <w:r w:rsidR="001A6A6D" w:rsidRPr="005143F7">
        <w:rPr>
          <w:sz w:val="22"/>
          <w:szCs w:val="22"/>
        </w:rPr>
        <w:t>Luna Ramos</w:t>
      </w:r>
      <w:r w:rsidR="001A6A6D">
        <w:rPr>
          <w:sz w:val="22"/>
          <w:szCs w:val="22"/>
        </w:rPr>
        <w:t xml:space="preserve"> y </w:t>
      </w:r>
      <w:r w:rsidR="001A6A6D" w:rsidRPr="00BF4F2A">
        <w:rPr>
          <w:sz w:val="22"/>
          <w:szCs w:val="22"/>
        </w:rPr>
        <w:t>Sánchez Cordero de García Villegas</w:t>
      </w:r>
      <w:r w:rsidR="001A6A6D">
        <w:rPr>
          <w:sz w:val="22"/>
          <w:szCs w:val="22"/>
        </w:rPr>
        <w:t xml:space="preserve">, así como de los </w:t>
      </w:r>
      <w:r w:rsidR="0024692A">
        <w:rPr>
          <w:sz w:val="22"/>
          <w:szCs w:val="22"/>
        </w:rPr>
        <w:t>M</w:t>
      </w:r>
      <w:r w:rsidR="001A6A6D">
        <w:rPr>
          <w:sz w:val="22"/>
          <w:szCs w:val="22"/>
        </w:rPr>
        <w:t>inistros</w:t>
      </w:r>
      <w:r w:rsidR="001A6A6D" w:rsidRPr="005143F7">
        <w:rPr>
          <w:sz w:val="22"/>
          <w:szCs w:val="22"/>
        </w:rPr>
        <w:t xml:space="preserve"> </w:t>
      </w:r>
      <w:r w:rsidR="00C20816" w:rsidRPr="005143F7">
        <w:rPr>
          <w:sz w:val="22"/>
          <w:szCs w:val="22"/>
        </w:rPr>
        <w:t xml:space="preserve">Gutiérrez Ortiz Mena, Cossío Díaz, Zaldívar Lelo de </w:t>
      </w:r>
      <w:r w:rsidR="00C20816" w:rsidRPr="00BF4F2A">
        <w:rPr>
          <w:sz w:val="22"/>
          <w:szCs w:val="22"/>
        </w:rPr>
        <w:t>Larrea, Pardo Rebolledo, Aguilar Morales,</w:t>
      </w:r>
      <w:r w:rsidR="009A693A">
        <w:rPr>
          <w:sz w:val="22"/>
          <w:szCs w:val="22"/>
        </w:rPr>
        <w:t xml:space="preserve"> </w:t>
      </w:r>
      <w:r w:rsidR="00C20816" w:rsidRPr="00BF4F2A">
        <w:rPr>
          <w:sz w:val="22"/>
          <w:szCs w:val="22"/>
        </w:rPr>
        <w:t xml:space="preserve">Valls Hernández, Pérez Dayán y </w:t>
      </w:r>
      <w:r w:rsidR="0024692A">
        <w:rPr>
          <w:sz w:val="22"/>
          <w:szCs w:val="22"/>
        </w:rPr>
        <w:t xml:space="preserve">Presidente </w:t>
      </w:r>
      <w:r w:rsidR="00C20816" w:rsidRPr="00BF4F2A">
        <w:rPr>
          <w:sz w:val="22"/>
          <w:szCs w:val="22"/>
        </w:rPr>
        <w:t xml:space="preserve">Silva Meza. En contra, </w:t>
      </w:r>
      <w:r w:rsidR="001A6A6D">
        <w:rPr>
          <w:sz w:val="22"/>
          <w:szCs w:val="22"/>
        </w:rPr>
        <w:t xml:space="preserve">el </w:t>
      </w:r>
      <w:proofErr w:type="gramStart"/>
      <w:r w:rsidR="0024692A">
        <w:rPr>
          <w:sz w:val="22"/>
          <w:szCs w:val="22"/>
        </w:rPr>
        <w:t>M</w:t>
      </w:r>
      <w:r w:rsidR="00C20816" w:rsidRPr="00BF4F2A">
        <w:rPr>
          <w:sz w:val="22"/>
          <w:szCs w:val="22"/>
        </w:rPr>
        <w:t>inistro</w:t>
      </w:r>
      <w:proofErr w:type="gramEnd"/>
      <w:r w:rsidR="00C20816" w:rsidRPr="00BF4F2A">
        <w:rPr>
          <w:sz w:val="22"/>
          <w:szCs w:val="22"/>
        </w:rPr>
        <w:t xml:space="preserve"> Franco González Salas. </w:t>
      </w:r>
    </w:p>
    <w:p w14:paraId="01C70537" w14:textId="45C69EF3" w:rsidR="00B368DD" w:rsidRPr="008A22C9" w:rsidRDefault="00BF4F2A" w:rsidP="0024692A">
      <w:pPr>
        <w:pStyle w:val="Textonotapie"/>
        <w:ind w:left="284"/>
        <w:jc w:val="both"/>
        <w:rPr>
          <w:color w:val="000000" w:themeColor="text1"/>
          <w:sz w:val="22"/>
          <w:szCs w:val="22"/>
        </w:rPr>
      </w:pPr>
      <w:r w:rsidRPr="00BF4F2A">
        <w:rPr>
          <w:sz w:val="22"/>
          <w:szCs w:val="22"/>
        </w:rPr>
        <w:t xml:space="preserve">Esta controversia fue promovida por </w:t>
      </w:r>
      <w:r w:rsidRPr="00BF4F2A">
        <w:rPr>
          <w:color w:val="000000" w:themeColor="text1"/>
          <w:sz w:val="22"/>
          <w:szCs w:val="22"/>
        </w:rPr>
        <w:t xml:space="preserve">diversos integrantes del </w:t>
      </w:r>
      <w:r w:rsidRPr="00BF4F2A">
        <w:rPr>
          <w:sz w:val="22"/>
          <w:szCs w:val="22"/>
        </w:rPr>
        <w:t>Concejo Mayor del Gobierno Comunal, ‘representantes’ del Municipio de Cherán, Michoacán,</w:t>
      </w:r>
      <w:r w:rsidRPr="00BF4F2A">
        <w:rPr>
          <w:color w:val="000000" w:themeColor="text1"/>
          <w:sz w:val="22"/>
          <w:szCs w:val="22"/>
        </w:rPr>
        <w:t xml:space="preserve"> en contra de la reforma a diversos artículos de la Constitución Política de ese estado que regulaban la composición, libre determinación y participación de los pueblos y comunidades indígenas. </w:t>
      </w:r>
      <w:r w:rsidR="00C20816" w:rsidRPr="00BF4F2A">
        <w:rPr>
          <w:sz w:val="22"/>
          <w:szCs w:val="22"/>
        </w:rPr>
        <w:t>El Tribunal Pleno determinó que de una interpretación de los artículos 6 y 7 del Convenio 169 de la Organización Internacional del Trabajo a la luz de los artículos 1° y 2° de la Constitución federal, los pueblos y comunidades indígenas tienen el derecho humano a ser consultados, por lo que las legislaturas tienen el deber de prever una fase adicional, previo al proceso de creación, para consultarles las normas que son susceptibles de afectarles.</w:t>
      </w:r>
    </w:p>
    <w:p w14:paraId="4215EB4A" w14:textId="1E00F10C" w:rsidR="0097731A" w:rsidRPr="00BF4F2A" w:rsidRDefault="00BF4F2A" w:rsidP="0024692A">
      <w:pPr>
        <w:pStyle w:val="Textonotapie"/>
        <w:ind w:left="284"/>
        <w:jc w:val="both"/>
        <w:rPr>
          <w:sz w:val="22"/>
          <w:szCs w:val="22"/>
        </w:rPr>
      </w:pPr>
      <w:r>
        <w:rPr>
          <w:sz w:val="22"/>
          <w:szCs w:val="22"/>
        </w:rPr>
        <w:t>Cabe mencionar que el Pleno retom</w:t>
      </w:r>
      <w:r w:rsidR="001E0683">
        <w:rPr>
          <w:sz w:val="22"/>
          <w:szCs w:val="22"/>
        </w:rPr>
        <w:t>ó aquí</w:t>
      </w:r>
      <w:r>
        <w:rPr>
          <w:sz w:val="22"/>
          <w:szCs w:val="22"/>
        </w:rPr>
        <w:t xml:space="preserve"> el criterio que </w:t>
      </w:r>
      <w:r w:rsidR="001E0683">
        <w:rPr>
          <w:sz w:val="22"/>
          <w:szCs w:val="22"/>
        </w:rPr>
        <w:t>el mes de mayo del año anterior</w:t>
      </w:r>
      <w:r w:rsidR="0097731A">
        <w:rPr>
          <w:sz w:val="22"/>
          <w:szCs w:val="22"/>
        </w:rPr>
        <w:t xml:space="preserve"> </w:t>
      </w:r>
      <w:r>
        <w:rPr>
          <w:sz w:val="22"/>
          <w:szCs w:val="22"/>
        </w:rPr>
        <w:t>había adoptado la Primera Sala</w:t>
      </w:r>
      <w:r w:rsidR="0097731A">
        <w:rPr>
          <w:sz w:val="22"/>
          <w:szCs w:val="22"/>
        </w:rPr>
        <w:t xml:space="preserve"> al resolver el amparo en revisión 631/2012</w:t>
      </w:r>
      <w:r w:rsidR="001E0683">
        <w:rPr>
          <w:sz w:val="22"/>
          <w:szCs w:val="22"/>
        </w:rPr>
        <w:t>.</w:t>
      </w:r>
    </w:p>
  </w:footnote>
  <w:footnote w:id="4">
    <w:p w14:paraId="53940C69" w14:textId="27337898" w:rsidR="00B27F45" w:rsidRPr="009D316C" w:rsidRDefault="00B27F45" w:rsidP="009D316C">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397D22">
        <w:rPr>
          <w:sz w:val="22"/>
          <w:szCs w:val="22"/>
        </w:rPr>
        <w:t xml:space="preserve">  </w:t>
      </w:r>
      <w:r w:rsidR="00F657A0" w:rsidRPr="005143F7">
        <w:rPr>
          <w:sz w:val="22"/>
          <w:szCs w:val="22"/>
        </w:rPr>
        <w:t xml:space="preserve">Resuelta en sesión de veintitrés de febrero de dos mil veintiuno, por unanimidad de diez votos de </w:t>
      </w:r>
      <w:r w:rsidR="009D316C" w:rsidRPr="005143F7">
        <w:rPr>
          <w:sz w:val="22"/>
          <w:szCs w:val="22"/>
        </w:rPr>
        <w:t>l</w:t>
      </w:r>
      <w:r w:rsidR="009D316C">
        <w:rPr>
          <w:sz w:val="22"/>
          <w:szCs w:val="22"/>
        </w:rPr>
        <w:t>a</w:t>
      </w:r>
      <w:r w:rsidR="009D316C" w:rsidRPr="005143F7">
        <w:rPr>
          <w:sz w:val="22"/>
          <w:szCs w:val="22"/>
        </w:rPr>
        <w:t xml:space="preserve">s </w:t>
      </w:r>
      <w:proofErr w:type="gramStart"/>
      <w:r w:rsidR="00397D22">
        <w:rPr>
          <w:sz w:val="22"/>
          <w:szCs w:val="22"/>
        </w:rPr>
        <w:t>M</w:t>
      </w:r>
      <w:r w:rsidR="009D316C" w:rsidRPr="005143F7">
        <w:rPr>
          <w:sz w:val="22"/>
          <w:szCs w:val="22"/>
        </w:rPr>
        <w:t>inistras</w:t>
      </w:r>
      <w:proofErr w:type="gramEnd"/>
      <w:r w:rsidR="009D316C" w:rsidRPr="005143F7">
        <w:rPr>
          <w:sz w:val="22"/>
          <w:szCs w:val="22"/>
        </w:rPr>
        <w:t xml:space="preserve"> Esquivel Mossa, Piña Hernández</w:t>
      </w:r>
      <w:r w:rsidR="009D316C">
        <w:rPr>
          <w:sz w:val="22"/>
          <w:szCs w:val="22"/>
        </w:rPr>
        <w:t xml:space="preserve"> y </w:t>
      </w:r>
      <w:r w:rsidR="009D316C" w:rsidRPr="005143F7">
        <w:rPr>
          <w:sz w:val="22"/>
          <w:szCs w:val="22"/>
        </w:rPr>
        <w:t>Ríos Farjat,</w:t>
      </w:r>
      <w:r w:rsidR="009D316C">
        <w:rPr>
          <w:sz w:val="22"/>
          <w:szCs w:val="22"/>
        </w:rPr>
        <w:t xml:space="preserve"> y los </w:t>
      </w:r>
      <w:r w:rsidR="00397D22">
        <w:rPr>
          <w:sz w:val="22"/>
          <w:szCs w:val="22"/>
        </w:rPr>
        <w:t>M</w:t>
      </w:r>
      <w:r w:rsidR="009D316C">
        <w:rPr>
          <w:sz w:val="22"/>
          <w:szCs w:val="22"/>
        </w:rPr>
        <w:t xml:space="preserve">inistros </w:t>
      </w:r>
      <w:r w:rsidR="009D316C" w:rsidRPr="005143F7">
        <w:rPr>
          <w:sz w:val="22"/>
          <w:szCs w:val="22"/>
        </w:rPr>
        <w:t xml:space="preserve">Gutiérrez Ortiz Mena, González Alcántara Carrancá, Franco González Salas, Aguilar Morales, Pardo Rebolledo, Laynez Potisek y </w:t>
      </w:r>
      <w:r w:rsidR="00397D22">
        <w:rPr>
          <w:sz w:val="22"/>
          <w:szCs w:val="22"/>
        </w:rPr>
        <w:t xml:space="preserve">Presidente </w:t>
      </w:r>
      <w:r w:rsidR="009D316C" w:rsidRPr="005143F7">
        <w:rPr>
          <w:sz w:val="22"/>
          <w:szCs w:val="22"/>
        </w:rPr>
        <w:t>Zaldívar Lelo de Larrea.</w:t>
      </w:r>
      <w:r w:rsidR="009D316C">
        <w:rPr>
          <w:sz w:val="22"/>
          <w:szCs w:val="22"/>
        </w:rPr>
        <w:t xml:space="preserve"> </w:t>
      </w:r>
      <w:r w:rsidR="00F657A0" w:rsidRPr="005143F7">
        <w:rPr>
          <w:sz w:val="22"/>
          <w:szCs w:val="22"/>
          <w:lang w:val="es-ES"/>
        </w:rPr>
        <w:t xml:space="preserve">Ausente el </w:t>
      </w:r>
      <w:proofErr w:type="gramStart"/>
      <w:r w:rsidR="00397D22">
        <w:rPr>
          <w:sz w:val="22"/>
          <w:szCs w:val="22"/>
          <w:lang w:val="es-ES"/>
        </w:rPr>
        <w:t>M</w:t>
      </w:r>
      <w:r w:rsidR="00F657A0" w:rsidRPr="005143F7">
        <w:rPr>
          <w:sz w:val="22"/>
          <w:szCs w:val="22"/>
          <w:lang w:val="es-ES"/>
        </w:rPr>
        <w:t>inistro</w:t>
      </w:r>
      <w:proofErr w:type="gramEnd"/>
      <w:r w:rsidR="00F657A0" w:rsidRPr="005143F7">
        <w:rPr>
          <w:sz w:val="22"/>
          <w:szCs w:val="22"/>
          <w:lang w:val="es-ES"/>
        </w:rPr>
        <w:t xml:space="preserve"> Pérez Dayán</w:t>
      </w:r>
      <w:r w:rsidR="00997C09" w:rsidRPr="005143F7">
        <w:rPr>
          <w:sz w:val="22"/>
          <w:szCs w:val="22"/>
          <w:lang w:val="es-ES"/>
        </w:rPr>
        <w:t>.</w:t>
      </w:r>
    </w:p>
    <w:p w14:paraId="49BFFF6A" w14:textId="6E5BFF67" w:rsidR="00997C09" w:rsidRPr="005143F7" w:rsidRDefault="00997C09" w:rsidP="00397D22">
      <w:pPr>
        <w:pStyle w:val="Textonotapie"/>
        <w:ind w:left="284"/>
        <w:jc w:val="both"/>
        <w:rPr>
          <w:sz w:val="22"/>
          <w:szCs w:val="22"/>
          <w:lang w:val="es-ES"/>
        </w:rPr>
      </w:pPr>
      <w:r w:rsidRPr="005143F7">
        <w:rPr>
          <w:sz w:val="22"/>
          <w:szCs w:val="22"/>
          <w:lang w:val="es-ES"/>
        </w:rPr>
        <w:t xml:space="preserve">La reforma a la Ley de los Derechos de las Personas Indígenas y </w:t>
      </w:r>
      <w:proofErr w:type="spellStart"/>
      <w:r w:rsidRPr="005143F7">
        <w:rPr>
          <w:sz w:val="22"/>
          <w:szCs w:val="22"/>
          <w:lang w:val="es-ES"/>
        </w:rPr>
        <w:t>Afromexicanas</w:t>
      </w:r>
      <w:proofErr w:type="spellEnd"/>
      <w:r w:rsidRPr="005143F7">
        <w:rPr>
          <w:sz w:val="22"/>
          <w:szCs w:val="22"/>
          <w:lang w:val="es-ES"/>
        </w:rPr>
        <w:t xml:space="preserve"> para el Estado de Nuevo León introdujo el criterio de autoidentificación de la persona con su identidad indígena y </w:t>
      </w:r>
      <w:proofErr w:type="spellStart"/>
      <w:r w:rsidRPr="005143F7">
        <w:rPr>
          <w:sz w:val="22"/>
          <w:szCs w:val="22"/>
          <w:lang w:val="es-ES"/>
        </w:rPr>
        <w:t>afromexicana</w:t>
      </w:r>
      <w:proofErr w:type="spellEnd"/>
      <w:r w:rsidRPr="005143F7">
        <w:rPr>
          <w:sz w:val="22"/>
          <w:szCs w:val="22"/>
          <w:lang w:val="es-ES"/>
        </w:rPr>
        <w:t>, se reconocieron derechos de protección a la asimilación, a recibir asistencia financiera y técnica</w:t>
      </w:r>
      <w:r w:rsidR="0069235C" w:rsidRPr="005143F7">
        <w:rPr>
          <w:sz w:val="22"/>
          <w:szCs w:val="22"/>
          <w:lang w:val="es-ES"/>
        </w:rPr>
        <w:t>,</w:t>
      </w:r>
      <w:r w:rsidRPr="005143F7">
        <w:rPr>
          <w:sz w:val="22"/>
          <w:szCs w:val="22"/>
          <w:lang w:val="es-ES"/>
        </w:rPr>
        <w:t xml:space="preserve"> al autogobierno, entre otros.</w:t>
      </w:r>
    </w:p>
    <w:p w14:paraId="4C00D49B" w14:textId="57102DF9" w:rsidR="00997C09" w:rsidRPr="005143F7" w:rsidRDefault="00512A4F" w:rsidP="00397D22">
      <w:pPr>
        <w:pStyle w:val="Textonotapie"/>
        <w:ind w:left="284"/>
        <w:jc w:val="both"/>
        <w:rPr>
          <w:sz w:val="22"/>
          <w:szCs w:val="22"/>
          <w:lang w:val="es-ES"/>
        </w:rPr>
      </w:pPr>
      <w:r w:rsidRPr="005143F7">
        <w:rPr>
          <w:sz w:val="22"/>
          <w:szCs w:val="22"/>
          <w:lang w:val="es-ES"/>
        </w:rPr>
        <w:t xml:space="preserve">El Tribunal Pleno </w:t>
      </w:r>
      <w:r w:rsidR="00983279" w:rsidRPr="005143F7">
        <w:rPr>
          <w:sz w:val="22"/>
          <w:szCs w:val="22"/>
          <w:lang w:val="es-ES"/>
        </w:rPr>
        <w:t>sostuvo</w:t>
      </w:r>
      <w:r w:rsidRPr="005143F7">
        <w:rPr>
          <w:sz w:val="22"/>
          <w:szCs w:val="22"/>
          <w:lang w:val="es-ES"/>
        </w:rPr>
        <w:t xml:space="preserve"> que </w:t>
      </w:r>
      <w:r w:rsidR="00983279" w:rsidRPr="005143F7">
        <w:rPr>
          <w:i/>
          <w:iCs/>
          <w:sz w:val="22"/>
          <w:szCs w:val="22"/>
          <w:lang w:val="es-ES"/>
        </w:rPr>
        <w:t>“</w:t>
      </w:r>
      <w:r w:rsidR="00983279" w:rsidRPr="005143F7">
        <w:rPr>
          <w:i/>
          <w:iCs/>
          <w:sz w:val="22"/>
          <w:szCs w:val="22"/>
          <w:lang w:val="es-MX"/>
        </w:rPr>
        <w:t>para promover la igualdad de oportunidades y eliminar cualquier forma de discriminación, la Federación, las entidades federativas y los municipios</w:t>
      </w:r>
      <w:r w:rsidR="00983279" w:rsidRPr="005143F7">
        <w:rPr>
          <w:i/>
          <w:iCs/>
          <w:sz w:val="22"/>
          <w:szCs w:val="22"/>
        </w:rPr>
        <w:t xml:space="preserve"> </w:t>
      </w:r>
      <w:r w:rsidR="00983279" w:rsidRPr="005143F7">
        <w:rPr>
          <w:i/>
          <w:iCs/>
          <w:sz w:val="22"/>
          <w:szCs w:val="22"/>
          <w:lang w:val="es-MX"/>
        </w:rPr>
        <w:t>están obligados a implementar las políticas necesarias para garantizar</w:t>
      </w:r>
      <w:r w:rsidR="00983279" w:rsidRPr="005143F7">
        <w:rPr>
          <w:i/>
          <w:iCs/>
          <w:sz w:val="22"/>
          <w:szCs w:val="22"/>
        </w:rPr>
        <w:t xml:space="preserve"> </w:t>
      </w:r>
      <w:r w:rsidR="00983279" w:rsidRPr="005143F7">
        <w:rPr>
          <w:i/>
          <w:iCs/>
          <w:sz w:val="22"/>
          <w:szCs w:val="22"/>
          <w:lang w:val="es-MX"/>
        </w:rPr>
        <w:t>los derechos de los indígenas y el desarrollo comunitario, lo cual deberá ser diseñado y operado</w:t>
      </w:r>
      <w:r w:rsidR="00983279" w:rsidRPr="005143F7">
        <w:rPr>
          <w:i/>
          <w:iCs/>
          <w:sz w:val="22"/>
          <w:szCs w:val="22"/>
        </w:rPr>
        <w:t xml:space="preserve"> </w:t>
      </w:r>
      <w:proofErr w:type="gramStart"/>
      <w:r w:rsidR="00983279" w:rsidRPr="005143F7">
        <w:rPr>
          <w:i/>
          <w:iCs/>
          <w:sz w:val="22"/>
          <w:szCs w:val="22"/>
          <w:lang w:val="es-MX"/>
        </w:rPr>
        <w:t>conjuntamente con</w:t>
      </w:r>
      <w:proofErr w:type="gramEnd"/>
      <w:r w:rsidR="00983279" w:rsidRPr="005143F7">
        <w:rPr>
          <w:i/>
          <w:iCs/>
          <w:sz w:val="22"/>
          <w:szCs w:val="22"/>
          <w:lang w:val="es-MX"/>
        </w:rPr>
        <w:t xml:space="preserve"> ellos.”</w:t>
      </w:r>
    </w:p>
  </w:footnote>
  <w:footnote w:id="5">
    <w:p w14:paraId="5E3CFB5E" w14:textId="74CE6260" w:rsidR="00890380" w:rsidRPr="0069235C" w:rsidRDefault="00890380" w:rsidP="00890380">
      <w:pPr>
        <w:pStyle w:val="Textonotapie"/>
        <w:ind w:left="284" w:hanging="284"/>
        <w:jc w:val="both"/>
        <w:rPr>
          <w:sz w:val="22"/>
          <w:szCs w:val="22"/>
        </w:rPr>
      </w:pPr>
      <w:r w:rsidRPr="0069235C">
        <w:rPr>
          <w:rStyle w:val="Refdenotaalpie"/>
          <w:sz w:val="22"/>
          <w:szCs w:val="22"/>
        </w:rPr>
        <w:footnoteRef/>
      </w:r>
      <w:r w:rsidRPr="0069235C">
        <w:rPr>
          <w:sz w:val="22"/>
          <w:szCs w:val="22"/>
        </w:rPr>
        <w:t xml:space="preserve"> </w:t>
      </w:r>
      <w:r w:rsidR="00BE41E5">
        <w:rPr>
          <w:sz w:val="22"/>
          <w:szCs w:val="22"/>
        </w:rPr>
        <w:t xml:space="preserve">  </w:t>
      </w:r>
      <w:r w:rsidRPr="0069235C">
        <w:rPr>
          <w:sz w:val="22"/>
          <w:szCs w:val="22"/>
        </w:rPr>
        <w:t xml:space="preserve">Resuelta en sesión de diecisiete de febrero de dos mil veinte, por mayoría de ocho votos de </w:t>
      </w:r>
      <w:r w:rsidR="00377A1A">
        <w:rPr>
          <w:sz w:val="22"/>
          <w:szCs w:val="22"/>
        </w:rPr>
        <w:t xml:space="preserve">las </w:t>
      </w:r>
      <w:proofErr w:type="gramStart"/>
      <w:r w:rsidR="00BE41E5">
        <w:rPr>
          <w:sz w:val="22"/>
          <w:szCs w:val="22"/>
        </w:rPr>
        <w:t>M</w:t>
      </w:r>
      <w:r w:rsidR="00377A1A">
        <w:rPr>
          <w:sz w:val="22"/>
          <w:szCs w:val="22"/>
        </w:rPr>
        <w:t>inistras</w:t>
      </w:r>
      <w:proofErr w:type="gramEnd"/>
      <w:r w:rsidR="00377A1A">
        <w:rPr>
          <w:sz w:val="22"/>
          <w:szCs w:val="22"/>
        </w:rPr>
        <w:t xml:space="preserve"> </w:t>
      </w:r>
      <w:r w:rsidRPr="0069235C">
        <w:rPr>
          <w:sz w:val="22"/>
          <w:szCs w:val="22"/>
        </w:rPr>
        <w:t>Esquivel Mossa</w:t>
      </w:r>
      <w:r w:rsidR="00377A1A">
        <w:rPr>
          <w:sz w:val="22"/>
          <w:szCs w:val="22"/>
        </w:rPr>
        <w:t xml:space="preserve"> y </w:t>
      </w:r>
      <w:r w:rsidR="00377A1A" w:rsidRPr="0069235C">
        <w:rPr>
          <w:sz w:val="22"/>
          <w:szCs w:val="22"/>
        </w:rPr>
        <w:t>Ríos Farjat</w:t>
      </w:r>
      <w:r w:rsidRPr="0069235C">
        <w:rPr>
          <w:sz w:val="22"/>
          <w:szCs w:val="22"/>
        </w:rPr>
        <w:t xml:space="preserve">, </w:t>
      </w:r>
      <w:r w:rsidR="00377A1A">
        <w:rPr>
          <w:sz w:val="22"/>
          <w:szCs w:val="22"/>
        </w:rPr>
        <w:t xml:space="preserve">y los </w:t>
      </w:r>
      <w:r w:rsidR="00BE41E5">
        <w:rPr>
          <w:sz w:val="22"/>
          <w:szCs w:val="22"/>
        </w:rPr>
        <w:t>M</w:t>
      </w:r>
      <w:r w:rsidR="00377A1A">
        <w:rPr>
          <w:sz w:val="22"/>
          <w:szCs w:val="22"/>
        </w:rPr>
        <w:t xml:space="preserve">inistros </w:t>
      </w:r>
      <w:r w:rsidR="00377A1A" w:rsidRPr="0069235C">
        <w:rPr>
          <w:sz w:val="22"/>
          <w:szCs w:val="22"/>
        </w:rPr>
        <w:t xml:space="preserve">Gutiérrez Ortiz Mena, </w:t>
      </w:r>
      <w:r w:rsidRPr="0069235C">
        <w:rPr>
          <w:sz w:val="22"/>
          <w:szCs w:val="22"/>
        </w:rPr>
        <w:t xml:space="preserve">Franco González Salas, Aguilar Morales, Pardo Rebolledo, Laynez Potisek y Pérez Dayán en el sentido de que no se requería la consulta previa a los pueblos y comunidades indígenas, así como a las personas con discapacidad. </w:t>
      </w:r>
      <w:r w:rsidR="00FF0584">
        <w:rPr>
          <w:sz w:val="22"/>
          <w:szCs w:val="22"/>
        </w:rPr>
        <w:t xml:space="preserve">La </w:t>
      </w:r>
      <w:proofErr w:type="gramStart"/>
      <w:r w:rsidR="00BE41E5">
        <w:rPr>
          <w:sz w:val="22"/>
          <w:szCs w:val="22"/>
        </w:rPr>
        <w:t>M</w:t>
      </w:r>
      <w:r w:rsidR="00FF0584">
        <w:rPr>
          <w:sz w:val="22"/>
          <w:szCs w:val="22"/>
        </w:rPr>
        <w:t>inistra</w:t>
      </w:r>
      <w:proofErr w:type="gramEnd"/>
      <w:r w:rsidR="00FF0584">
        <w:rPr>
          <w:sz w:val="22"/>
          <w:szCs w:val="22"/>
        </w:rPr>
        <w:t xml:space="preserve"> </w:t>
      </w:r>
      <w:r w:rsidR="00FF0584" w:rsidRPr="0069235C">
        <w:rPr>
          <w:sz w:val="22"/>
          <w:szCs w:val="22"/>
        </w:rPr>
        <w:t xml:space="preserve">Piña Hernández </w:t>
      </w:r>
      <w:r w:rsidR="00FF0584">
        <w:rPr>
          <w:sz w:val="22"/>
          <w:szCs w:val="22"/>
        </w:rPr>
        <w:t>y l</w:t>
      </w:r>
      <w:r w:rsidRPr="0069235C">
        <w:rPr>
          <w:sz w:val="22"/>
          <w:szCs w:val="22"/>
        </w:rPr>
        <w:t xml:space="preserve">os </w:t>
      </w:r>
      <w:r w:rsidR="00BE41E5">
        <w:rPr>
          <w:sz w:val="22"/>
          <w:szCs w:val="22"/>
        </w:rPr>
        <w:t>M</w:t>
      </w:r>
      <w:r w:rsidRPr="0069235C">
        <w:rPr>
          <w:sz w:val="22"/>
          <w:szCs w:val="22"/>
        </w:rPr>
        <w:t>inistros González Alcántara Carrancá</w:t>
      </w:r>
      <w:r w:rsidR="00FF0584">
        <w:rPr>
          <w:sz w:val="22"/>
          <w:szCs w:val="22"/>
        </w:rPr>
        <w:t xml:space="preserve"> y </w:t>
      </w:r>
      <w:r w:rsidR="00BE41E5">
        <w:rPr>
          <w:sz w:val="22"/>
          <w:szCs w:val="22"/>
        </w:rPr>
        <w:t xml:space="preserve">Presidente </w:t>
      </w:r>
      <w:r w:rsidRPr="0069235C">
        <w:rPr>
          <w:sz w:val="22"/>
          <w:szCs w:val="22"/>
        </w:rPr>
        <w:t>Zaldívar Lelo de Larrea votaron en el sentido de que se requería de dicha consulta.</w:t>
      </w:r>
    </w:p>
  </w:footnote>
  <w:footnote w:id="6">
    <w:p w14:paraId="64843F5B" w14:textId="37843988" w:rsidR="00890380" w:rsidRPr="0069235C" w:rsidRDefault="00890380" w:rsidP="008E6EF5">
      <w:pPr>
        <w:pStyle w:val="Textonotapie"/>
        <w:ind w:left="284" w:hanging="284"/>
        <w:jc w:val="both"/>
        <w:rPr>
          <w:sz w:val="22"/>
          <w:szCs w:val="22"/>
        </w:rPr>
      </w:pPr>
      <w:r w:rsidRPr="0069235C">
        <w:rPr>
          <w:rStyle w:val="Refdenotaalpie"/>
          <w:sz w:val="22"/>
          <w:szCs w:val="22"/>
        </w:rPr>
        <w:footnoteRef/>
      </w:r>
      <w:r w:rsidRPr="0069235C">
        <w:rPr>
          <w:sz w:val="22"/>
          <w:szCs w:val="22"/>
        </w:rPr>
        <w:t xml:space="preserve"> </w:t>
      </w:r>
      <w:r w:rsidR="00BE41E5">
        <w:rPr>
          <w:sz w:val="22"/>
          <w:szCs w:val="22"/>
        </w:rPr>
        <w:t xml:space="preserve"> </w:t>
      </w:r>
      <w:r w:rsidRPr="0069235C">
        <w:rPr>
          <w:sz w:val="22"/>
          <w:szCs w:val="22"/>
        </w:rPr>
        <w:t xml:space="preserve">Resuelta en sesión de tres de noviembre de dos mil veinte por mayoría de nueve votos de </w:t>
      </w:r>
      <w:r w:rsidR="008E6EF5" w:rsidRPr="005143F7">
        <w:rPr>
          <w:sz w:val="22"/>
          <w:szCs w:val="22"/>
        </w:rPr>
        <w:t>l</w:t>
      </w:r>
      <w:r w:rsidR="008E6EF5">
        <w:rPr>
          <w:sz w:val="22"/>
          <w:szCs w:val="22"/>
        </w:rPr>
        <w:t>a</w:t>
      </w:r>
      <w:r w:rsidR="008E6EF5" w:rsidRPr="005143F7">
        <w:rPr>
          <w:sz w:val="22"/>
          <w:szCs w:val="22"/>
        </w:rPr>
        <w:t xml:space="preserve">s </w:t>
      </w:r>
      <w:proofErr w:type="gramStart"/>
      <w:r w:rsidR="00BE41E5">
        <w:rPr>
          <w:sz w:val="22"/>
          <w:szCs w:val="22"/>
        </w:rPr>
        <w:t>M</w:t>
      </w:r>
      <w:r w:rsidR="008E6EF5" w:rsidRPr="005143F7">
        <w:rPr>
          <w:sz w:val="22"/>
          <w:szCs w:val="22"/>
        </w:rPr>
        <w:t>inistras</w:t>
      </w:r>
      <w:proofErr w:type="gramEnd"/>
      <w:r w:rsidR="008E6EF5" w:rsidRPr="005143F7">
        <w:rPr>
          <w:sz w:val="22"/>
          <w:szCs w:val="22"/>
        </w:rPr>
        <w:t xml:space="preserve"> Esquivel Mossa, Piña Hernández</w:t>
      </w:r>
      <w:r w:rsidR="008E6EF5">
        <w:rPr>
          <w:sz w:val="22"/>
          <w:szCs w:val="22"/>
        </w:rPr>
        <w:t xml:space="preserve"> y </w:t>
      </w:r>
      <w:r w:rsidR="008E6EF5" w:rsidRPr="005143F7">
        <w:rPr>
          <w:sz w:val="22"/>
          <w:szCs w:val="22"/>
        </w:rPr>
        <w:t>Ríos Farjat,</w:t>
      </w:r>
      <w:r w:rsidR="008E6EF5">
        <w:rPr>
          <w:sz w:val="22"/>
          <w:szCs w:val="22"/>
        </w:rPr>
        <w:t xml:space="preserve"> y los </w:t>
      </w:r>
      <w:r w:rsidR="00BE41E5">
        <w:rPr>
          <w:sz w:val="22"/>
          <w:szCs w:val="22"/>
        </w:rPr>
        <w:t>M</w:t>
      </w:r>
      <w:r w:rsidR="008E6EF5">
        <w:rPr>
          <w:sz w:val="22"/>
          <w:szCs w:val="22"/>
        </w:rPr>
        <w:t xml:space="preserve">inistros </w:t>
      </w:r>
      <w:r w:rsidR="008E6EF5" w:rsidRPr="005143F7">
        <w:rPr>
          <w:sz w:val="22"/>
          <w:szCs w:val="22"/>
        </w:rPr>
        <w:t>González Alcántara Carrancá, Franco González Salas, Aguilar Morales, Pardo Rebolledo, Laynez Potisek</w:t>
      </w:r>
      <w:r w:rsidR="008E6EF5" w:rsidRPr="008E6EF5">
        <w:rPr>
          <w:sz w:val="22"/>
          <w:szCs w:val="22"/>
        </w:rPr>
        <w:t xml:space="preserve"> </w:t>
      </w:r>
      <w:r w:rsidR="008E6EF5" w:rsidRPr="005143F7">
        <w:rPr>
          <w:sz w:val="22"/>
          <w:szCs w:val="22"/>
        </w:rPr>
        <w:t xml:space="preserve">y Pérez Dayán </w:t>
      </w:r>
      <w:r w:rsidRPr="0069235C">
        <w:rPr>
          <w:sz w:val="22"/>
          <w:szCs w:val="22"/>
        </w:rPr>
        <w:t xml:space="preserve">en el sentido de que, para la validez del decreto impugnado, no se requería la consulta previa a los pueblos y comunidades indígenas y </w:t>
      </w:r>
      <w:proofErr w:type="spellStart"/>
      <w:r w:rsidRPr="0069235C">
        <w:rPr>
          <w:sz w:val="22"/>
          <w:szCs w:val="22"/>
        </w:rPr>
        <w:t>afromexicanas</w:t>
      </w:r>
      <w:proofErr w:type="spellEnd"/>
      <w:r w:rsidRPr="0069235C">
        <w:rPr>
          <w:sz w:val="22"/>
          <w:szCs w:val="22"/>
        </w:rPr>
        <w:t xml:space="preserve">. Los </w:t>
      </w:r>
      <w:proofErr w:type="gramStart"/>
      <w:r w:rsidR="00BE41E5">
        <w:rPr>
          <w:sz w:val="22"/>
          <w:szCs w:val="22"/>
        </w:rPr>
        <w:t>M</w:t>
      </w:r>
      <w:r w:rsidRPr="0069235C">
        <w:rPr>
          <w:sz w:val="22"/>
          <w:szCs w:val="22"/>
        </w:rPr>
        <w:t>inistros</w:t>
      </w:r>
      <w:proofErr w:type="gramEnd"/>
      <w:r w:rsidRPr="0069235C">
        <w:rPr>
          <w:sz w:val="22"/>
          <w:szCs w:val="22"/>
        </w:rPr>
        <w:t xml:space="preserve"> Gutiérrez Ortiz Mena y </w:t>
      </w:r>
      <w:r w:rsidR="00BE41E5">
        <w:rPr>
          <w:sz w:val="22"/>
          <w:szCs w:val="22"/>
        </w:rPr>
        <w:t xml:space="preserve">Presidente </w:t>
      </w:r>
      <w:r w:rsidRPr="0069235C">
        <w:rPr>
          <w:sz w:val="22"/>
          <w:szCs w:val="22"/>
        </w:rPr>
        <w:t>Zaldívar Lelo de Larrea votaron por la necesidad de dicha consulta.</w:t>
      </w:r>
    </w:p>
  </w:footnote>
  <w:footnote w:id="7">
    <w:p w14:paraId="407F69B7" w14:textId="52CE4384" w:rsidR="00890380" w:rsidRPr="0069235C" w:rsidRDefault="00890380" w:rsidP="00165410">
      <w:pPr>
        <w:pStyle w:val="Textonotapie"/>
        <w:ind w:left="284" w:hanging="284"/>
        <w:jc w:val="both"/>
        <w:rPr>
          <w:sz w:val="22"/>
          <w:szCs w:val="22"/>
        </w:rPr>
      </w:pPr>
      <w:r w:rsidRPr="0069235C">
        <w:rPr>
          <w:rStyle w:val="Refdenotaalpie"/>
          <w:sz w:val="22"/>
          <w:szCs w:val="22"/>
        </w:rPr>
        <w:footnoteRef/>
      </w:r>
      <w:r w:rsidRPr="0069235C">
        <w:rPr>
          <w:sz w:val="22"/>
          <w:szCs w:val="22"/>
        </w:rPr>
        <w:t xml:space="preserve"> </w:t>
      </w:r>
      <w:r w:rsidR="001E27A9">
        <w:rPr>
          <w:sz w:val="22"/>
          <w:szCs w:val="22"/>
        </w:rPr>
        <w:t xml:space="preserve">  </w:t>
      </w:r>
      <w:r w:rsidRPr="0069235C">
        <w:rPr>
          <w:sz w:val="22"/>
          <w:szCs w:val="22"/>
        </w:rPr>
        <w:t xml:space="preserve">Resuelta en sesión de doce de enero de dos mil veintiuno, por mayoría de seis votos de </w:t>
      </w:r>
      <w:r w:rsidR="00A22E4C" w:rsidRPr="005143F7">
        <w:rPr>
          <w:sz w:val="22"/>
          <w:szCs w:val="22"/>
        </w:rPr>
        <w:t>l</w:t>
      </w:r>
      <w:r w:rsidR="00A22E4C">
        <w:rPr>
          <w:sz w:val="22"/>
          <w:szCs w:val="22"/>
        </w:rPr>
        <w:t>a</w:t>
      </w:r>
      <w:r w:rsidR="00A22E4C" w:rsidRPr="005143F7">
        <w:rPr>
          <w:sz w:val="22"/>
          <w:szCs w:val="22"/>
        </w:rPr>
        <w:t xml:space="preserve">s </w:t>
      </w:r>
      <w:proofErr w:type="gramStart"/>
      <w:r w:rsidR="00BE41E5">
        <w:rPr>
          <w:sz w:val="22"/>
          <w:szCs w:val="22"/>
        </w:rPr>
        <w:t>M</w:t>
      </w:r>
      <w:r w:rsidR="00A22E4C" w:rsidRPr="005143F7">
        <w:rPr>
          <w:sz w:val="22"/>
          <w:szCs w:val="22"/>
        </w:rPr>
        <w:t>inistras</w:t>
      </w:r>
      <w:proofErr w:type="gramEnd"/>
      <w:r w:rsidR="00A22E4C" w:rsidRPr="005143F7">
        <w:rPr>
          <w:sz w:val="22"/>
          <w:szCs w:val="22"/>
        </w:rPr>
        <w:t xml:space="preserve"> Esquivel Mossa</w:t>
      </w:r>
      <w:r w:rsidR="00A22E4C">
        <w:rPr>
          <w:sz w:val="22"/>
          <w:szCs w:val="22"/>
        </w:rPr>
        <w:t xml:space="preserve"> y </w:t>
      </w:r>
      <w:r w:rsidR="00A22E4C" w:rsidRPr="005143F7">
        <w:rPr>
          <w:sz w:val="22"/>
          <w:szCs w:val="22"/>
        </w:rPr>
        <w:t>Ríos Farjat,</w:t>
      </w:r>
      <w:r w:rsidR="00A22E4C">
        <w:rPr>
          <w:sz w:val="22"/>
          <w:szCs w:val="22"/>
        </w:rPr>
        <w:t xml:space="preserve"> y los </w:t>
      </w:r>
      <w:r w:rsidR="00BE41E5">
        <w:rPr>
          <w:sz w:val="22"/>
          <w:szCs w:val="22"/>
        </w:rPr>
        <w:t>M</w:t>
      </w:r>
      <w:r w:rsidR="00A22E4C">
        <w:rPr>
          <w:sz w:val="22"/>
          <w:szCs w:val="22"/>
        </w:rPr>
        <w:t xml:space="preserve">inistros </w:t>
      </w:r>
      <w:r w:rsidR="00343B61" w:rsidRPr="0069235C">
        <w:rPr>
          <w:sz w:val="22"/>
          <w:szCs w:val="22"/>
        </w:rPr>
        <w:t>Franco González Salas, Aguilar Morales, Pardo Rebolledo</w:t>
      </w:r>
      <w:r w:rsidR="00343B61">
        <w:rPr>
          <w:sz w:val="22"/>
          <w:szCs w:val="22"/>
        </w:rPr>
        <w:t xml:space="preserve"> </w:t>
      </w:r>
      <w:r w:rsidR="00343B61" w:rsidRPr="0069235C">
        <w:rPr>
          <w:sz w:val="22"/>
          <w:szCs w:val="22"/>
        </w:rPr>
        <w:t>y Pérez Dayán</w:t>
      </w:r>
      <w:r w:rsidR="00165410" w:rsidRPr="00165410">
        <w:rPr>
          <w:sz w:val="22"/>
          <w:szCs w:val="22"/>
        </w:rPr>
        <w:t xml:space="preserve"> </w:t>
      </w:r>
      <w:r w:rsidR="00165410" w:rsidRPr="0069235C">
        <w:rPr>
          <w:sz w:val="22"/>
          <w:szCs w:val="22"/>
        </w:rPr>
        <w:t xml:space="preserve">por declarar infundado </w:t>
      </w:r>
      <w:r w:rsidR="00165410">
        <w:rPr>
          <w:sz w:val="22"/>
          <w:szCs w:val="22"/>
        </w:rPr>
        <w:t>el argumento</w:t>
      </w:r>
      <w:r w:rsidR="00165410" w:rsidRPr="0069235C">
        <w:rPr>
          <w:sz w:val="22"/>
          <w:szCs w:val="22"/>
        </w:rPr>
        <w:t xml:space="preserve"> atinente a la invalidez por falta de consulta indígena y </w:t>
      </w:r>
      <w:proofErr w:type="spellStart"/>
      <w:r w:rsidR="00165410" w:rsidRPr="0069235C">
        <w:rPr>
          <w:sz w:val="22"/>
          <w:szCs w:val="22"/>
        </w:rPr>
        <w:t>afromexicana</w:t>
      </w:r>
      <w:proofErr w:type="spellEnd"/>
      <w:r w:rsidR="00165410" w:rsidRPr="0069235C">
        <w:rPr>
          <w:sz w:val="22"/>
          <w:szCs w:val="22"/>
        </w:rPr>
        <w:t>, así como a las personas con discapacidad</w:t>
      </w:r>
      <w:r w:rsidR="00A22E4C" w:rsidRPr="005143F7">
        <w:rPr>
          <w:sz w:val="22"/>
          <w:szCs w:val="22"/>
        </w:rPr>
        <w:t>.</w:t>
      </w:r>
      <w:r w:rsidR="00343B61">
        <w:rPr>
          <w:sz w:val="22"/>
          <w:szCs w:val="22"/>
        </w:rPr>
        <w:t xml:space="preserve"> La </w:t>
      </w:r>
      <w:proofErr w:type="gramStart"/>
      <w:r w:rsidR="00BE41E5">
        <w:rPr>
          <w:sz w:val="22"/>
          <w:szCs w:val="22"/>
        </w:rPr>
        <w:t>M</w:t>
      </w:r>
      <w:r w:rsidR="00343B61">
        <w:rPr>
          <w:sz w:val="22"/>
          <w:szCs w:val="22"/>
        </w:rPr>
        <w:t>inistra</w:t>
      </w:r>
      <w:proofErr w:type="gramEnd"/>
      <w:r w:rsidR="00343B61">
        <w:rPr>
          <w:sz w:val="22"/>
          <w:szCs w:val="22"/>
        </w:rPr>
        <w:t xml:space="preserve"> </w:t>
      </w:r>
      <w:r w:rsidR="00343B61" w:rsidRPr="0069235C">
        <w:rPr>
          <w:sz w:val="22"/>
          <w:szCs w:val="22"/>
        </w:rPr>
        <w:t xml:space="preserve">Piña Hernández y los </w:t>
      </w:r>
      <w:r w:rsidR="00BE41E5">
        <w:rPr>
          <w:sz w:val="22"/>
          <w:szCs w:val="22"/>
        </w:rPr>
        <w:t>M</w:t>
      </w:r>
      <w:r w:rsidR="00343B61" w:rsidRPr="0069235C">
        <w:rPr>
          <w:sz w:val="22"/>
          <w:szCs w:val="22"/>
        </w:rPr>
        <w:t>inistros Gutiérrez Ortiz Mena, González Alcántara Carrancá, Laynez Potisek y Presidente Zaldívar Lelo de Larrea votaron en contra.</w:t>
      </w:r>
    </w:p>
  </w:footnote>
  <w:footnote w:id="8">
    <w:p w14:paraId="7A7C7A1E" w14:textId="3CF5C733" w:rsidR="00B27F45" w:rsidRPr="005143F7" w:rsidRDefault="00B27F45" w:rsidP="00B27F45">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C37DF5">
        <w:rPr>
          <w:sz w:val="22"/>
          <w:szCs w:val="22"/>
        </w:rPr>
        <w:t xml:space="preserve">  </w:t>
      </w:r>
      <w:r w:rsidRPr="005143F7">
        <w:rPr>
          <w:b/>
          <w:bCs/>
          <w:sz w:val="22"/>
          <w:szCs w:val="22"/>
        </w:rPr>
        <w:t>A</w:t>
      </w:r>
      <w:r w:rsidR="005E6C64" w:rsidRPr="005143F7">
        <w:rPr>
          <w:b/>
          <w:bCs/>
          <w:sz w:val="22"/>
          <w:szCs w:val="22"/>
        </w:rPr>
        <w:t>rtículo</w:t>
      </w:r>
      <w:r w:rsidRPr="005143F7">
        <w:rPr>
          <w:b/>
          <w:bCs/>
          <w:sz w:val="22"/>
          <w:szCs w:val="22"/>
        </w:rPr>
        <w:t xml:space="preserve"> 41.</w:t>
      </w:r>
      <w:r w:rsidRPr="005143F7">
        <w:rPr>
          <w:sz w:val="22"/>
          <w:szCs w:val="22"/>
        </w:rPr>
        <w:t xml:space="preserve"> Las sentencias deberán contener: […] IV. </w:t>
      </w:r>
      <w:r w:rsidRPr="005143F7">
        <w:rPr>
          <w:b/>
          <w:bCs/>
          <w:sz w:val="22"/>
          <w:szCs w:val="22"/>
        </w:rPr>
        <w:t>Los alcances y efectos de la sentencia, fijando con precisión, en su caso, los órganos obligados a cumplirla, las normas generales, actos u omisiones respecto de los cuales opere y todos aquellos elementos necesarios para su plena eficacia en el ámbito que corresponda.</w:t>
      </w:r>
      <w:r w:rsidRPr="005143F7">
        <w:rPr>
          <w:sz w:val="22"/>
          <w:szCs w:val="22"/>
        </w:rPr>
        <w:t xml:space="preserve"> Cuando la sentencia declare la invalidez de una norma general, sus efectos deberán extenderse a todas aquellas normas cuya validez dependa de la propia norma invalidada; […]</w:t>
      </w:r>
    </w:p>
  </w:footnote>
  <w:footnote w:id="9">
    <w:p w14:paraId="1465D380" w14:textId="683226A1" w:rsidR="00B27F45" w:rsidRPr="00C866F2" w:rsidRDefault="00B27F45" w:rsidP="00B27F45">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1E27A9">
        <w:rPr>
          <w:sz w:val="22"/>
          <w:szCs w:val="22"/>
        </w:rPr>
        <w:t xml:space="preserve">  </w:t>
      </w:r>
      <w:r w:rsidRPr="005143F7">
        <w:rPr>
          <w:sz w:val="22"/>
          <w:szCs w:val="22"/>
        </w:rPr>
        <w:t>Por eso esta Suprema Corte ha resuelto reiteradamente que sus declaratorias de invalidez surtirán sus efectos luego de transcurrido cierto tiempo, a fin de dar oportunidad a los congresos para convocar debidamente a indígenas y a personas con discapacidad, según la materia de las normas.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E155" w14:textId="77777777" w:rsidR="00A629FF" w:rsidRDefault="0007069A" w:rsidP="00B30951">
    <w:pPr>
      <w:pBdr>
        <w:bottom w:val="single" w:sz="4" w:space="1" w:color="auto"/>
      </w:pBdr>
      <w:tabs>
        <w:tab w:val="left" w:pos="5670"/>
        <w:tab w:val="left" w:pos="5812"/>
        <w:tab w:val="left" w:pos="6663"/>
        <w:tab w:val="left" w:pos="7230"/>
        <w:tab w:val="left" w:pos="7513"/>
      </w:tabs>
      <w:spacing w:line="360" w:lineRule="auto"/>
      <w:ind w:right="2177"/>
      <w:rPr>
        <w:rFonts w:ascii="Arial" w:hAnsi="Arial" w:cs="Arial"/>
        <w:b/>
        <w:color w:val="0070C0"/>
      </w:rPr>
    </w:pPr>
    <w:r w:rsidRPr="00D847A1">
      <w:rPr>
        <w:rFonts w:ascii="Arial" w:hAnsi="Arial" w:cs="Arial"/>
        <w:b/>
        <w:color w:val="0070C0"/>
      </w:rPr>
      <w:t xml:space="preserve">VOTO </w:t>
    </w:r>
    <w:r w:rsidR="00645CA1" w:rsidRPr="00D847A1">
      <w:rPr>
        <w:rFonts w:ascii="Arial" w:hAnsi="Arial" w:cs="Arial"/>
        <w:b/>
        <w:color w:val="0070C0"/>
      </w:rPr>
      <w:t>ACLARATORIO</w:t>
    </w:r>
    <w:r w:rsidRPr="00D847A1">
      <w:rPr>
        <w:rFonts w:ascii="Arial" w:hAnsi="Arial" w:cs="Arial"/>
        <w:b/>
        <w:color w:val="0070C0"/>
      </w:rPr>
      <w:t xml:space="preserve"> QUE FORMULA </w:t>
    </w:r>
  </w:p>
  <w:p w14:paraId="651FEAEB" w14:textId="77777777" w:rsidR="00A629FF" w:rsidRDefault="0007069A" w:rsidP="00B30951">
    <w:pPr>
      <w:pBdr>
        <w:bottom w:val="single" w:sz="4" w:space="1" w:color="auto"/>
      </w:pBdr>
      <w:tabs>
        <w:tab w:val="left" w:pos="5670"/>
        <w:tab w:val="left" w:pos="5812"/>
        <w:tab w:val="left" w:pos="6663"/>
        <w:tab w:val="left" w:pos="7230"/>
        <w:tab w:val="left" w:pos="7513"/>
      </w:tabs>
      <w:spacing w:line="360" w:lineRule="auto"/>
      <w:ind w:right="2177"/>
      <w:rPr>
        <w:rFonts w:ascii="Arial" w:hAnsi="Arial" w:cs="Arial"/>
        <w:b/>
        <w:color w:val="0070C0"/>
      </w:rPr>
    </w:pPr>
    <w:r w:rsidRPr="00D847A1">
      <w:rPr>
        <w:rFonts w:ascii="Arial" w:hAnsi="Arial" w:cs="Arial"/>
        <w:b/>
        <w:color w:val="0070C0"/>
      </w:rPr>
      <w:t xml:space="preserve">LA MINISTRA ANA MARGARITA RÍOS FARJAT </w:t>
    </w:r>
  </w:p>
  <w:p w14:paraId="100D4182" w14:textId="679F9A26" w:rsidR="00B30951" w:rsidRPr="00D847A1" w:rsidRDefault="0007069A" w:rsidP="00B30951">
    <w:pPr>
      <w:pBdr>
        <w:bottom w:val="single" w:sz="4" w:space="1" w:color="auto"/>
      </w:pBdr>
      <w:tabs>
        <w:tab w:val="left" w:pos="5670"/>
        <w:tab w:val="left" w:pos="5812"/>
        <w:tab w:val="left" w:pos="6663"/>
        <w:tab w:val="left" w:pos="7230"/>
        <w:tab w:val="left" w:pos="7513"/>
      </w:tabs>
      <w:spacing w:line="360" w:lineRule="auto"/>
      <w:ind w:right="2177"/>
      <w:rPr>
        <w:rFonts w:ascii="Arial" w:hAnsi="Arial" w:cs="Arial"/>
        <w:b/>
        <w:color w:val="0070C0"/>
      </w:rPr>
    </w:pPr>
    <w:r w:rsidRPr="00D847A1">
      <w:rPr>
        <w:rFonts w:ascii="Arial" w:hAnsi="Arial" w:cs="Arial"/>
        <w:b/>
        <w:color w:val="0070C0"/>
      </w:rPr>
      <w:t xml:space="preserve">EN LA ACCIÓN DE INCONSTITUCIONALIDAD </w:t>
    </w:r>
    <w:r w:rsidR="00602F4C">
      <w:rPr>
        <w:rFonts w:ascii="Arial" w:hAnsi="Arial" w:cs="Arial"/>
        <w:b/>
        <w:color w:val="0070C0"/>
      </w:rPr>
      <w:t>285/2020</w:t>
    </w:r>
  </w:p>
  <w:p w14:paraId="79C0E146" w14:textId="6A7AF669" w:rsidR="009E5D35" w:rsidRDefault="009E5D35" w:rsidP="00F53D4E">
    <w:pPr>
      <w:pStyle w:val="Encabezado"/>
    </w:pPr>
  </w:p>
  <w:p w14:paraId="3C85EE2D" w14:textId="77777777" w:rsidR="00D847A1" w:rsidRPr="00F53D4E" w:rsidRDefault="00D847A1" w:rsidP="00F53D4E">
    <w:pPr>
      <w:pStyle w:val="Encabezado"/>
    </w:pPr>
  </w:p>
  <w:p w14:paraId="21AC16AA" w14:textId="77777777" w:rsidR="00035BB3" w:rsidRDefault="00035B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4CBA" w14:textId="77777777" w:rsidR="00A629FF" w:rsidRDefault="00BE5C07" w:rsidP="00B87FD8">
    <w:pPr>
      <w:pBdr>
        <w:bottom w:val="single" w:sz="4" w:space="1" w:color="000000"/>
      </w:pBdr>
      <w:spacing w:line="360" w:lineRule="auto"/>
      <w:jc w:val="right"/>
      <w:rPr>
        <w:rFonts w:ascii="Arial" w:hAnsi="Arial" w:cs="Arial"/>
        <w:b/>
        <w:color w:val="0070C0"/>
      </w:rPr>
    </w:pPr>
    <w:r w:rsidRPr="00D847A1">
      <w:rPr>
        <w:rFonts w:cs="Arial"/>
        <w:b/>
        <w:noProof/>
        <w:lang w:val="es-MX" w:eastAsia="es-MX"/>
      </w:rPr>
      <mc:AlternateContent>
        <mc:Choice Requires="wps">
          <w:drawing>
            <wp:anchor distT="0" distB="0" distL="114300" distR="114300" simplePos="0" relativeHeight="251668480" behindDoc="1" locked="0" layoutInCell="1" allowOverlap="1" wp14:anchorId="61072925" wp14:editId="3863CBA8">
              <wp:simplePos x="0" y="0"/>
              <wp:positionH relativeFrom="column">
                <wp:posOffset>-848431</wp:posOffset>
              </wp:positionH>
              <wp:positionV relativeFrom="paragraph">
                <wp:posOffset>-208633</wp:posOffset>
              </wp:positionV>
              <wp:extent cx="2085975" cy="2095500"/>
              <wp:effectExtent l="0" t="0" r="9525" b="0"/>
              <wp:wrapTight wrapText="bothSides">
                <wp:wrapPolygon edited="0">
                  <wp:start x="0" y="0"/>
                  <wp:lineTo x="0" y="21404"/>
                  <wp:lineTo x="21501" y="21404"/>
                  <wp:lineTo x="21501" y="0"/>
                  <wp:lineTo x="0" y="0"/>
                </wp:wrapPolygon>
              </wp:wrapTight>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11CED" id="Rectángulo 6" o:spid="_x0000_s1026" style="position:absolute;margin-left:-66.8pt;margin-top:-16.45pt;width:164.2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" stroked="f">
              <w10:wrap type="tight"/>
            </v:rect>
          </w:pict>
        </mc:Fallback>
      </mc:AlternateContent>
    </w:r>
    <w:r w:rsidR="00EA5B4B" w:rsidRPr="00D847A1">
      <w:rPr>
        <w:rFonts w:ascii="Arial" w:hAnsi="Arial" w:cs="Arial"/>
        <w:b/>
        <w:color w:val="0070C0"/>
      </w:rPr>
      <w:t>VOTO</w:t>
    </w:r>
    <w:bookmarkStart w:id="2" w:name="_Hlk82611316"/>
    <w:r w:rsidR="00AD5BE6" w:rsidRPr="00D847A1">
      <w:rPr>
        <w:rFonts w:ascii="Arial" w:hAnsi="Arial" w:cs="Arial"/>
        <w:b/>
        <w:color w:val="0070C0"/>
      </w:rPr>
      <w:t xml:space="preserve"> </w:t>
    </w:r>
    <w:r w:rsidR="00441079" w:rsidRPr="00D847A1">
      <w:rPr>
        <w:rFonts w:ascii="Arial" w:hAnsi="Arial" w:cs="Arial"/>
        <w:b/>
        <w:color w:val="0070C0"/>
      </w:rPr>
      <w:t>ACLARATORI</w:t>
    </w:r>
    <w:r w:rsidR="00645CA1" w:rsidRPr="00D847A1">
      <w:rPr>
        <w:rFonts w:ascii="Arial" w:hAnsi="Arial" w:cs="Arial"/>
        <w:b/>
        <w:color w:val="0070C0"/>
      </w:rPr>
      <w:t>O</w:t>
    </w:r>
    <w:r w:rsidR="00AD5BE6" w:rsidRPr="00D847A1">
      <w:rPr>
        <w:rFonts w:ascii="Arial" w:hAnsi="Arial" w:cs="Arial"/>
        <w:b/>
        <w:color w:val="0070C0"/>
      </w:rPr>
      <w:t xml:space="preserve"> QUE FORMULA </w:t>
    </w:r>
  </w:p>
  <w:p w14:paraId="36AD32FF" w14:textId="77777777" w:rsidR="00A629FF" w:rsidRDefault="00AD5BE6" w:rsidP="00B87FD8">
    <w:pPr>
      <w:pBdr>
        <w:bottom w:val="single" w:sz="4" w:space="1" w:color="000000"/>
      </w:pBdr>
      <w:spacing w:line="360" w:lineRule="auto"/>
      <w:jc w:val="right"/>
      <w:rPr>
        <w:rFonts w:ascii="Arial" w:hAnsi="Arial" w:cs="Arial"/>
        <w:b/>
        <w:color w:val="0070C0"/>
      </w:rPr>
    </w:pPr>
    <w:r w:rsidRPr="00D847A1">
      <w:rPr>
        <w:rFonts w:ascii="Arial" w:hAnsi="Arial" w:cs="Arial"/>
        <w:b/>
        <w:color w:val="0070C0"/>
      </w:rPr>
      <w:t xml:space="preserve">LA MINISTRA ANA MARGARITA RÍOS FARJAT </w:t>
    </w:r>
  </w:p>
  <w:p w14:paraId="3577B18A" w14:textId="4E29BD69" w:rsidR="00EA5B4B" w:rsidRPr="00B87FD8" w:rsidRDefault="00AD5BE6" w:rsidP="00B87FD8">
    <w:pPr>
      <w:pBdr>
        <w:bottom w:val="single" w:sz="4" w:space="1" w:color="000000"/>
      </w:pBdr>
      <w:spacing w:line="360" w:lineRule="auto"/>
      <w:jc w:val="right"/>
      <w:rPr>
        <w:rFonts w:ascii="Arial" w:hAnsi="Arial" w:cs="Arial"/>
        <w:b/>
        <w:color w:val="0070C0"/>
        <w:sz w:val="22"/>
        <w:szCs w:val="22"/>
      </w:rPr>
    </w:pPr>
    <w:r w:rsidRPr="00D847A1">
      <w:rPr>
        <w:rFonts w:ascii="Arial" w:hAnsi="Arial" w:cs="Arial"/>
        <w:b/>
        <w:color w:val="0070C0"/>
      </w:rPr>
      <w:t xml:space="preserve">EN LA ACCIÓN DE INCONSTITUCIONALIDAD </w:t>
    </w:r>
    <w:bookmarkEnd w:id="2"/>
    <w:r w:rsidR="00602F4C">
      <w:rPr>
        <w:rFonts w:ascii="Arial" w:hAnsi="Arial" w:cs="Arial"/>
        <w:b/>
        <w:color w:val="0070C0"/>
      </w:rPr>
      <w:t>285/2020</w:t>
    </w:r>
  </w:p>
  <w:p w14:paraId="1DF03792" w14:textId="790F0FFB" w:rsidR="00D847A1" w:rsidRDefault="00D847A1" w:rsidP="00645CA1">
    <w:pPr>
      <w:pStyle w:val="corte6cintilloypie"/>
      <w:ind w:right="51"/>
      <w:jc w:val="both"/>
      <w:rPr>
        <w:sz w:val="22"/>
        <w:szCs w:val="22"/>
      </w:rPr>
    </w:pPr>
  </w:p>
  <w:p w14:paraId="51E51601" w14:textId="77777777" w:rsidR="00D847A1" w:rsidRPr="00055035" w:rsidRDefault="00D847A1" w:rsidP="00645CA1">
    <w:pPr>
      <w:pStyle w:val="corte6cintilloypie"/>
      <w:ind w:right="51"/>
      <w:jc w:val="both"/>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69F"/>
    <w:multiLevelType w:val="hybridMultilevel"/>
    <w:tmpl w:val="FFC8689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15:restartNumberingAfterBreak="0">
    <w:nsid w:val="0C5418DE"/>
    <w:multiLevelType w:val="hybridMultilevel"/>
    <w:tmpl w:val="63E4AE6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EF4609B"/>
    <w:multiLevelType w:val="hybridMultilevel"/>
    <w:tmpl w:val="17404CA2"/>
    <w:lvl w:ilvl="0" w:tplc="5062499A">
      <w:start w:val="1"/>
      <w:numFmt w:val="upperRoman"/>
      <w:lvlText w:val="%1."/>
      <w:lvlJc w:val="left"/>
      <w:pPr>
        <w:ind w:left="1145" w:hanging="720"/>
      </w:pPr>
      <w:rPr>
        <w:rFonts w:ascii="Times New Roman" w:hAnsi="Times New Roman" w:cs="Times New Roman" w:hint="default"/>
        <w:b w:val="0"/>
        <w:bCs w:val="0"/>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 w15:restartNumberingAfterBreak="0">
    <w:nsid w:val="0F846805"/>
    <w:multiLevelType w:val="hybridMultilevel"/>
    <w:tmpl w:val="FFAE5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8F46D2"/>
    <w:multiLevelType w:val="hybridMultilevel"/>
    <w:tmpl w:val="C242F6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7672B4"/>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D9A467E"/>
    <w:multiLevelType w:val="hybridMultilevel"/>
    <w:tmpl w:val="47B20812"/>
    <w:lvl w:ilvl="0" w:tplc="3A18FF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B36A52"/>
    <w:multiLevelType w:val="hybridMultilevel"/>
    <w:tmpl w:val="D640E524"/>
    <w:lvl w:ilvl="0" w:tplc="DE249E7C">
      <w:start w:val="4"/>
      <w:numFmt w:val="upperRoman"/>
      <w:lvlText w:val="%1."/>
      <w:lvlJc w:val="left"/>
      <w:pPr>
        <w:ind w:left="100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1D94201A">
      <w:start w:val="1"/>
      <w:numFmt w:val="decimal"/>
      <w:lvlText w:val="%4."/>
      <w:lvlJc w:val="left"/>
      <w:pPr>
        <w:ind w:left="36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FD61776"/>
    <w:multiLevelType w:val="hybridMultilevel"/>
    <w:tmpl w:val="9F366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4F243A"/>
    <w:multiLevelType w:val="hybridMultilevel"/>
    <w:tmpl w:val="8E6AE934"/>
    <w:lvl w:ilvl="0" w:tplc="5F8CFDC8">
      <w:start w:val="1"/>
      <w:numFmt w:val="upperRoman"/>
      <w:lvlText w:val="%1."/>
      <w:lvlJc w:val="left"/>
      <w:pPr>
        <w:ind w:left="1570" w:hanging="72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0" w15:restartNumberingAfterBreak="0">
    <w:nsid w:val="20BB599A"/>
    <w:multiLevelType w:val="hybridMultilevel"/>
    <w:tmpl w:val="97368FA4"/>
    <w:lvl w:ilvl="0" w:tplc="BD1A1694">
      <w:start w:val="1"/>
      <w:numFmt w:val="decimal"/>
      <w:lvlText w:val="%1."/>
      <w:lvlJc w:val="left"/>
      <w:pPr>
        <w:ind w:left="360" w:hanging="360"/>
      </w:pPr>
      <w:rPr>
        <w:b w:val="0"/>
        <w:i w:val="0"/>
        <w:lang w:val="x-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15:restartNumberingAfterBreak="0">
    <w:nsid w:val="2B2139D9"/>
    <w:multiLevelType w:val="hybridMultilevel"/>
    <w:tmpl w:val="01045D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B761708"/>
    <w:multiLevelType w:val="hybridMultilevel"/>
    <w:tmpl w:val="EC1A4660"/>
    <w:lvl w:ilvl="0" w:tplc="838E404E">
      <w:start w:val="1"/>
      <w:numFmt w:val="decimal"/>
      <w:lvlText w:val="%1."/>
      <w:lvlJc w:val="left"/>
      <w:pPr>
        <w:ind w:left="8015" w:hanging="360"/>
      </w:pPr>
      <w:rPr>
        <w:rFonts w:ascii="Arial" w:hAnsi="Arial" w:cs="Arial" w:hint="default"/>
        <w:b w:val="0"/>
        <w:sz w:val="24"/>
      </w:rPr>
    </w:lvl>
    <w:lvl w:ilvl="1" w:tplc="080A0001">
      <w:start w:val="1"/>
      <w:numFmt w:val="bullet"/>
      <w:lvlText w:val=""/>
      <w:lvlJc w:val="left"/>
      <w:pPr>
        <w:ind w:left="416" w:firstLine="664"/>
      </w:pPr>
      <w:rPr>
        <w:rFonts w:ascii="Symbol" w:hAnsi="Symbol" w:hint="default"/>
      </w:rPr>
    </w:lvl>
    <w:lvl w:ilvl="2" w:tplc="5778FC3A">
      <w:start w:val="1"/>
      <w:numFmt w:val="upperLetter"/>
      <w:lvlText w:val="%3."/>
      <w:lvlJc w:val="left"/>
      <w:pPr>
        <w:ind w:left="2010" w:hanging="3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04E4B42"/>
    <w:multiLevelType w:val="hybridMultilevel"/>
    <w:tmpl w:val="E012B4C8"/>
    <w:lvl w:ilvl="0" w:tplc="7F2C2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C7257"/>
    <w:multiLevelType w:val="hybridMultilevel"/>
    <w:tmpl w:val="A6FEDB2A"/>
    <w:lvl w:ilvl="0" w:tplc="580A0001">
      <w:start w:val="1"/>
      <w:numFmt w:val="bullet"/>
      <w:lvlText w:val=""/>
      <w:lvlJc w:val="left"/>
      <w:pPr>
        <w:ind w:left="800" w:hanging="360"/>
      </w:pPr>
      <w:rPr>
        <w:rFonts w:ascii="Symbol" w:hAnsi="Symbol" w:hint="default"/>
      </w:rPr>
    </w:lvl>
    <w:lvl w:ilvl="1" w:tplc="580A0003" w:tentative="1">
      <w:start w:val="1"/>
      <w:numFmt w:val="bullet"/>
      <w:lvlText w:val="o"/>
      <w:lvlJc w:val="left"/>
      <w:pPr>
        <w:ind w:left="1520" w:hanging="360"/>
      </w:pPr>
      <w:rPr>
        <w:rFonts w:ascii="Courier New" w:hAnsi="Courier New" w:cs="Courier New" w:hint="default"/>
      </w:rPr>
    </w:lvl>
    <w:lvl w:ilvl="2" w:tplc="580A0005" w:tentative="1">
      <w:start w:val="1"/>
      <w:numFmt w:val="bullet"/>
      <w:lvlText w:val=""/>
      <w:lvlJc w:val="left"/>
      <w:pPr>
        <w:ind w:left="2240" w:hanging="360"/>
      </w:pPr>
      <w:rPr>
        <w:rFonts w:ascii="Wingdings" w:hAnsi="Wingdings" w:hint="default"/>
      </w:rPr>
    </w:lvl>
    <w:lvl w:ilvl="3" w:tplc="580A0001" w:tentative="1">
      <w:start w:val="1"/>
      <w:numFmt w:val="bullet"/>
      <w:lvlText w:val=""/>
      <w:lvlJc w:val="left"/>
      <w:pPr>
        <w:ind w:left="2960" w:hanging="360"/>
      </w:pPr>
      <w:rPr>
        <w:rFonts w:ascii="Symbol" w:hAnsi="Symbol" w:hint="default"/>
      </w:rPr>
    </w:lvl>
    <w:lvl w:ilvl="4" w:tplc="580A0003" w:tentative="1">
      <w:start w:val="1"/>
      <w:numFmt w:val="bullet"/>
      <w:lvlText w:val="o"/>
      <w:lvlJc w:val="left"/>
      <w:pPr>
        <w:ind w:left="3680" w:hanging="360"/>
      </w:pPr>
      <w:rPr>
        <w:rFonts w:ascii="Courier New" w:hAnsi="Courier New" w:cs="Courier New" w:hint="default"/>
      </w:rPr>
    </w:lvl>
    <w:lvl w:ilvl="5" w:tplc="580A0005" w:tentative="1">
      <w:start w:val="1"/>
      <w:numFmt w:val="bullet"/>
      <w:lvlText w:val=""/>
      <w:lvlJc w:val="left"/>
      <w:pPr>
        <w:ind w:left="4400" w:hanging="360"/>
      </w:pPr>
      <w:rPr>
        <w:rFonts w:ascii="Wingdings" w:hAnsi="Wingdings" w:hint="default"/>
      </w:rPr>
    </w:lvl>
    <w:lvl w:ilvl="6" w:tplc="580A0001" w:tentative="1">
      <w:start w:val="1"/>
      <w:numFmt w:val="bullet"/>
      <w:lvlText w:val=""/>
      <w:lvlJc w:val="left"/>
      <w:pPr>
        <w:ind w:left="5120" w:hanging="360"/>
      </w:pPr>
      <w:rPr>
        <w:rFonts w:ascii="Symbol" w:hAnsi="Symbol" w:hint="default"/>
      </w:rPr>
    </w:lvl>
    <w:lvl w:ilvl="7" w:tplc="580A0003" w:tentative="1">
      <w:start w:val="1"/>
      <w:numFmt w:val="bullet"/>
      <w:lvlText w:val="o"/>
      <w:lvlJc w:val="left"/>
      <w:pPr>
        <w:ind w:left="5840" w:hanging="360"/>
      </w:pPr>
      <w:rPr>
        <w:rFonts w:ascii="Courier New" w:hAnsi="Courier New" w:cs="Courier New" w:hint="default"/>
      </w:rPr>
    </w:lvl>
    <w:lvl w:ilvl="8" w:tplc="580A0005" w:tentative="1">
      <w:start w:val="1"/>
      <w:numFmt w:val="bullet"/>
      <w:lvlText w:val=""/>
      <w:lvlJc w:val="left"/>
      <w:pPr>
        <w:ind w:left="6560" w:hanging="360"/>
      </w:pPr>
      <w:rPr>
        <w:rFonts w:ascii="Wingdings" w:hAnsi="Wingdings" w:hint="default"/>
      </w:rPr>
    </w:lvl>
  </w:abstractNum>
  <w:abstractNum w:abstractNumId="15" w15:restartNumberingAfterBreak="0">
    <w:nsid w:val="34B65BEA"/>
    <w:multiLevelType w:val="hybridMultilevel"/>
    <w:tmpl w:val="CBB8E89C"/>
    <w:lvl w:ilvl="0" w:tplc="6E621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2A575E"/>
    <w:multiLevelType w:val="hybridMultilevel"/>
    <w:tmpl w:val="D06C5BBE"/>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7" w15:restartNumberingAfterBreak="0">
    <w:nsid w:val="3DD30AB8"/>
    <w:multiLevelType w:val="hybridMultilevel"/>
    <w:tmpl w:val="FFAE5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FF6E23"/>
    <w:multiLevelType w:val="hybridMultilevel"/>
    <w:tmpl w:val="0A2A2D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2073D15"/>
    <w:multiLevelType w:val="hybridMultilevel"/>
    <w:tmpl w:val="A0D0B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8670A5"/>
    <w:multiLevelType w:val="hybridMultilevel"/>
    <w:tmpl w:val="689CA60A"/>
    <w:lvl w:ilvl="0" w:tplc="D94270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010C63"/>
    <w:multiLevelType w:val="hybridMultilevel"/>
    <w:tmpl w:val="CBB8E89C"/>
    <w:lvl w:ilvl="0" w:tplc="6E621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C26D81"/>
    <w:multiLevelType w:val="hybridMultilevel"/>
    <w:tmpl w:val="5FC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453CF"/>
    <w:multiLevelType w:val="hybridMultilevel"/>
    <w:tmpl w:val="D0443704"/>
    <w:lvl w:ilvl="0" w:tplc="56349828">
      <w:start w:val="6"/>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4" w15:restartNumberingAfterBreak="0">
    <w:nsid w:val="5A831901"/>
    <w:multiLevelType w:val="hybridMultilevel"/>
    <w:tmpl w:val="3E76BB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DB071C"/>
    <w:multiLevelType w:val="hybridMultilevel"/>
    <w:tmpl w:val="5852A306"/>
    <w:lvl w:ilvl="0" w:tplc="C04E26A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72CE1572"/>
    <w:multiLevelType w:val="hybridMultilevel"/>
    <w:tmpl w:val="A2D4230C"/>
    <w:lvl w:ilvl="0" w:tplc="610A42F2">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9E87CFB"/>
    <w:multiLevelType w:val="multilevel"/>
    <w:tmpl w:val="5760880E"/>
    <w:lvl w:ilvl="0">
      <w:start w:val="1"/>
      <w:numFmt w:val="decimal"/>
      <w:lvlText w:val="%1."/>
      <w:lvlJc w:val="left"/>
      <w:pPr>
        <w:ind w:left="360" w:hanging="360"/>
      </w:pPr>
      <w:rPr>
        <w:rFonts w:ascii="Arial" w:hAnsi="Arial" w:cs="Arial" w:hint="default"/>
        <w:b/>
        <w:i w:val="0"/>
        <w:sz w:val="26"/>
        <w:szCs w:val="26"/>
        <w:lang w:val="es-MX"/>
      </w:rPr>
    </w:lvl>
    <w:lvl w:ilvl="1">
      <w:start w:val="1"/>
      <w:numFmt w:val="lowerLetter"/>
      <w:lvlText w:val="%2)"/>
      <w:lvlJc w:val="left"/>
      <w:pPr>
        <w:ind w:left="43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6A19F0"/>
    <w:multiLevelType w:val="hybridMultilevel"/>
    <w:tmpl w:val="B6BAB1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F43CA6"/>
    <w:multiLevelType w:val="hybridMultilevel"/>
    <w:tmpl w:val="03FC19BC"/>
    <w:lvl w:ilvl="0" w:tplc="221CE1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C0320E"/>
    <w:multiLevelType w:val="hybridMultilevel"/>
    <w:tmpl w:val="F62219D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27"/>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0"/>
  </w:num>
  <w:num w:numId="9">
    <w:abstractNumId w:val="1"/>
  </w:num>
  <w:num w:numId="10">
    <w:abstractNumId w:val="14"/>
  </w:num>
  <w:num w:numId="11">
    <w:abstractNumId w:val="25"/>
  </w:num>
  <w:num w:numId="12">
    <w:abstractNumId w:val="2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2"/>
  </w:num>
  <w:num w:numId="16">
    <w:abstractNumId w:val="11"/>
  </w:num>
  <w:num w:numId="17">
    <w:abstractNumId w:val="18"/>
  </w:num>
  <w:num w:numId="18">
    <w:abstractNumId w:val="9"/>
  </w:num>
  <w:num w:numId="19">
    <w:abstractNumId w:val="2"/>
  </w:num>
  <w:num w:numId="20">
    <w:abstractNumId w:val="6"/>
  </w:num>
  <w:num w:numId="21">
    <w:abstractNumId w:val="13"/>
  </w:num>
  <w:num w:numId="22">
    <w:abstractNumId w:val="29"/>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3"/>
  </w:num>
  <w:num w:numId="27">
    <w:abstractNumId w:val="17"/>
  </w:num>
  <w:num w:numId="28">
    <w:abstractNumId w:val="21"/>
  </w:num>
  <w:num w:numId="29">
    <w:abstractNumId w:val="15"/>
  </w:num>
  <w:num w:numId="30">
    <w:abstractNumId w:val="20"/>
  </w:num>
  <w:num w:numId="31">
    <w:abstractNumId w:val="2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9B"/>
    <w:rsid w:val="00002364"/>
    <w:rsid w:val="00002A8B"/>
    <w:rsid w:val="000037BC"/>
    <w:rsid w:val="00004672"/>
    <w:rsid w:val="0001773F"/>
    <w:rsid w:val="000237CB"/>
    <w:rsid w:val="0002788E"/>
    <w:rsid w:val="00030A90"/>
    <w:rsid w:val="00033160"/>
    <w:rsid w:val="00035646"/>
    <w:rsid w:val="00035BB3"/>
    <w:rsid w:val="00041F5D"/>
    <w:rsid w:val="00041F75"/>
    <w:rsid w:val="00042EBF"/>
    <w:rsid w:val="00046CD7"/>
    <w:rsid w:val="00055035"/>
    <w:rsid w:val="00056023"/>
    <w:rsid w:val="00056FC9"/>
    <w:rsid w:val="00057C74"/>
    <w:rsid w:val="00060CA7"/>
    <w:rsid w:val="00060D04"/>
    <w:rsid w:val="0007069A"/>
    <w:rsid w:val="00072E6F"/>
    <w:rsid w:val="00085C5F"/>
    <w:rsid w:val="000A5706"/>
    <w:rsid w:val="000A7AD2"/>
    <w:rsid w:val="000B0EC9"/>
    <w:rsid w:val="000B2492"/>
    <w:rsid w:val="000B2F4E"/>
    <w:rsid w:val="000B405B"/>
    <w:rsid w:val="000B6B2C"/>
    <w:rsid w:val="000C1D2B"/>
    <w:rsid w:val="000C2F4F"/>
    <w:rsid w:val="000C7C3C"/>
    <w:rsid w:val="000E3F66"/>
    <w:rsid w:val="000E4604"/>
    <w:rsid w:val="000E4E10"/>
    <w:rsid w:val="000E54F2"/>
    <w:rsid w:val="000E5C3A"/>
    <w:rsid w:val="001006FB"/>
    <w:rsid w:val="00102544"/>
    <w:rsid w:val="00103942"/>
    <w:rsid w:val="001068C2"/>
    <w:rsid w:val="0011146F"/>
    <w:rsid w:val="00112ED9"/>
    <w:rsid w:val="001143C3"/>
    <w:rsid w:val="00114433"/>
    <w:rsid w:val="00120235"/>
    <w:rsid w:val="00121A94"/>
    <w:rsid w:val="00130685"/>
    <w:rsid w:val="00130C9E"/>
    <w:rsid w:val="0013540E"/>
    <w:rsid w:val="00137061"/>
    <w:rsid w:val="00140B7A"/>
    <w:rsid w:val="00141296"/>
    <w:rsid w:val="001443A9"/>
    <w:rsid w:val="00146DEE"/>
    <w:rsid w:val="00150AAE"/>
    <w:rsid w:val="00161136"/>
    <w:rsid w:val="00165410"/>
    <w:rsid w:val="00177ADD"/>
    <w:rsid w:val="001862AF"/>
    <w:rsid w:val="001901AB"/>
    <w:rsid w:val="00190753"/>
    <w:rsid w:val="00194169"/>
    <w:rsid w:val="001941FD"/>
    <w:rsid w:val="00194BB8"/>
    <w:rsid w:val="00195A1D"/>
    <w:rsid w:val="00197DE1"/>
    <w:rsid w:val="001A0B56"/>
    <w:rsid w:val="001A0EEF"/>
    <w:rsid w:val="001A150B"/>
    <w:rsid w:val="001A6A6D"/>
    <w:rsid w:val="001B15F6"/>
    <w:rsid w:val="001C23F9"/>
    <w:rsid w:val="001C2D57"/>
    <w:rsid w:val="001C4A2B"/>
    <w:rsid w:val="001D3D77"/>
    <w:rsid w:val="001E0683"/>
    <w:rsid w:val="001E1353"/>
    <w:rsid w:val="001E27A9"/>
    <w:rsid w:val="001F0FF1"/>
    <w:rsid w:val="001F2D27"/>
    <w:rsid w:val="001F33DE"/>
    <w:rsid w:val="002018B6"/>
    <w:rsid w:val="00203942"/>
    <w:rsid w:val="00203D52"/>
    <w:rsid w:val="00207510"/>
    <w:rsid w:val="00207DF1"/>
    <w:rsid w:val="0021062E"/>
    <w:rsid w:val="0022432B"/>
    <w:rsid w:val="00225ECF"/>
    <w:rsid w:val="00226A6B"/>
    <w:rsid w:val="002300E2"/>
    <w:rsid w:val="002305C1"/>
    <w:rsid w:val="00231CF9"/>
    <w:rsid w:val="0023639B"/>
    <w:rsid w:val="00241611"/>
    <w:rsid w:val="0024300C"/>
    <w:rsid w:val="0024692A"/>
    <w:rsid w:val="002510E2"/>
    <w:rsid w:val="0026095C"/>
    <w:rsid w:val="00261562"/>
    <w:rsid w:val="0026351E"/>
    <w:rsid w:val="00263E31"/>
    <w:rsid w:val="0027023E"/>
    <w:rsid w:val="00272723"/>
    <w:rsid w:val="00272882"/>
    <w:rsid w:val="002925EC"/>
    <w:rsid w:val="002959DE"/>
    <w:rsid w:val="00295F80"/>
    <w:rsid w:val="002A6A15"/>
    <w:rsid w:val="002B0391"/>
    <w:rsid w:val="002B0737"/>
    <w:rsid w:val="002B0A6F"/>
    <w:rsid w:val="002B11D6"/>
    <w:rsid w:val="002B39F1"/>
    <w:rsid w:val="002C02E0"/>
    <w:rsid w:val="002C05C9"/>
    <w:rsid w:val="002C1454"/>
    <w:rsid w:val="002C4736"/>
    <w:rsid w:val="002C5BB9"/>
    <w:rsid w:val="002D0FD0"/>
    <w:rsid w:val="002D5B39"/>
    <w:rsid w:val="002E438A"/>
    <w:rsid w:val="002E4D38"/>
    <w:rsid w:val="002E556F"/>
    <w:rsid w:val="002E6A51"/>
    <w:rsid w:val="002F0C62"/>
    <w:rsid w:val="002F25AE"/>
    <w:rsid w:val="002F34FC"/>
    <w:rsid w:val="002F3A28"/>
    <w:rsid w:val="0031121C"/>
    <w:rsid w:val="00320D3C"/>
    <w:rsid w:val="003230D7"/>
    <w:rsid w:val="00323194"/>
    <w:rsid w:val="003254CA"/>
    <w:rsid w:val="00342A05"/>
    <w:rsid w:val="00343B61"/>
    <w:rsid w:val="003448A4"/>
    <w:rsid w:val="00347440"/>
    <w:rsid w:val="00351D07"/>
    <w:rsid w:val="00354D26"/>
    <w:rsid w:val="00356A54"/>
    <w:rsid w:val="00361ED8"/>
    <w:rsid w:val="00367D68"/>
    <w:rsid w:val="00377A1A"/>
    <w:rsid w:val="00383770"/>
    <w:rsid w:val="00391FB7"/>
    <w:rsid w:val="00393391"/>
    <w:rsid w:val="00397D22"/>
    <w:rsid w:val="003A0ABA"/>
    <w:rsid w:val="003A3474"/>
    <w:rsid w:val="003B63A5"/>
    <w:rsid w:val="003C025D"/>
    <w:rsid w:val="003C03CC"/>
    <w:rsid w:val="003C0A41"/>
    <w:rsid w:val="003C370C"/>
    <w:rsid w:val="003C65B8"/>
    <w:rsid w:val="003C6D1C"/>
    <w:rsid w:val="003C75D0"/>
    <w:rsid w:val="003D4933"/>
    <w:rsid w:val="003E0522"/>
    <w:rsid w:val="003E6ECB"/>
    <w:rsid w:val="003E745E"/>
    <w:rsid w:val="00417AA4"/>
    <w:rsid w:val="0042201D"/>
    <w:rsid w:val="00424913"/>
    <w:rsid w:val="00432B99"/>
    <w:rsid w:val="00436EA3"/>
    <w:rsid w:val="00440A72"/>
    <w:rsid w:val="00441079"/>
    <w:rsid w:val="00442C93"/>
    <w:rsid w:val="00444864"/>
    <w:rsid w:val="004466E1"/>
    <w:rsid w:val="00447F26"/>
    <w:rsid w:val="00450845"/>
    <w:rsid w:val="004513E0"/>
    <w:rsid w:val="00462F97"/>
    <w:rsid w:val="00464B0E"/>
    <w:rsid w:val="004712C6"/>
    <w:rsid w:val="00473C64"/>
    <w:rsid w:val="004749C0"/>
    <w:rsid w:val="00476480"/>
    <w:rsid w:val="004775F1"/>
    <w:rsid w:val="00482E73"/>
    <w:rsid w:val="00485085"/>
    <w:rsid w:val="004913A8"/>
    <w:rsid w:val="004939AC"/>
    <w:rsid w:val="004A178C"/>
    <w:rsid w:val="004A2E5C"/>
    <w:rsid w:val="004A3460"/>
    <w:rsid w:val="004A5C7D"/>
    <w:rsid w:val="004A5DF9"/>
    <w:rsid w:val="004B169C"/>
    <w:rsid w:val="004B27B3"/>
    <w:rsid w:val="004B77D0"/>
    <w:rsid w:val="004B7F46"/>
    <w:rsid w:val="004C0D98"/>
    <w:rsid w:val="004C13E7"/>
    <w:rsid w:val="004C2226"/>
    <w:rsid w:val="004C3065"/>
    <w:rsid w:val="004C5F86"/>
    <w:rsid w:val="004D3CE2"/>
    <w:rsid w:val="004D6419"/>
    <w:rsid w:val="004E0440"/>
    <w:rsid w:val="004E3598"/>
    <w:rsid w:val="004E44E3"/>
    <w:rsid w:val="004E6306"/>
    <w:rsid w:val="004F11ED"/>
    <w:rsid w:val="004F5224"/>
    <w:rsid w:val="004F5CF5"/>
    <w:rsid w:val="00500B6B"/>
    <w:rsid w:val="00502E5D"/>
    <w:rsid w:val="00506EE9"/>
    <w:rsid w:val="0051020A"/>
    <w:rsid w:val="00510333"/>
    <w:rsid w:val="00511E26"/>
    <w:rsid w:val="00512A4F"/>
    <w:rsid w:val="005132B5"/>
    <w:rsid w:val="005143F7"/>
    <w:rsid w:val="00520D8D"/>
    <w:rsid w:val="0053123A"/>
    <w:rsid w:val="00531857"/>
    <w:rsid w:val="00532148"/>
    <w:rsid w:val="0053265A"/>
    <w:rsid w:val="00533B3B"/>
    <w:rsid w:val="00536CDE"/>
    <w:rsid w:val="00541E1E"/>
    <w:rsid w:val="005526E5"/>
    <w:rsid w:val="0055740D"/>
    <w:rsid w:val="00563945"/>
    <w:rsid w:val="00567400"/>
    <w:rsid w:val="005744C9"/>
    <w:rsid w:val="00582BB3"/>
    <w:rsid w:val="00591E14"/>
    <w:rsid w:val="0059305C"/>
    <w:rsid w:val="005937A7"/>
    <w:rsid w:val="00596F53"/>
    <w:rsid w:val="005A3D15"/>
    <w:rsid w:val="005A44D2"/>
    <w:rsid w:val="005B0618"/>
    <w:rsid w:val="005B1D9F"/>
    <w:rsid w:val="005B4659"/>
    <w:rsid w:val="005C62CC"/>
    <w:rsid w:val="005C6933"/>
    <w:rsid w:val="005C7A9A"/>
    <w:rsid w:val="005D12B0"/>
    <w:rsid w:val="005D34EC"/>
    <w:rsid w:val="005D3FB3"/>
    <w:rsid w:val="005D520B"/>
    <w:rsid w:val="005D77DA"/>
    <w:rsid w:val="005D7B55"/>
    <w:rsid w:val="005E0739"/>
    <w:rsid w:val="005E6C64"/>
    <w:rsid w:val="005F1611"/>
    <w:rsid w:val="005F635D"/>
    <w:rsid w:val="00600B7E"/>
    <w:rsid w:val="00600DB3"/>
    <w:rsid w:val="00602F4C"/>
    <w:rsid w:val="00611FD4"/>
    <w:rsid w:val="006122F2"/>
    <w:rsid w:val="0061364E"/>
    <w:rsid w:val="00614BC4"/>
    <w:rsid w:val="00615A46"/>
    <w:rsid w:val="00617DBC"/>
    <w:rsid w:val="00620E11"/>
    <w:rsid w:val="00625523"/>
    <w:rsid w:val="006262F6"/>
    <w:rsid w:val="00635B37"/>
    <w:rsid w:val="006428E3"/>
    <w:rsid w:val="00645CA1"/>
    <w:rsid w:val="006506A8"/>
    <w:rsid w:val="00652342"/>
    <w:rsid w:val="00652F45"/>
    <w:rsid w:val="00662E90"/>
    <w:rsid w:val="00666FC1"/>
    <w:rsid w:val="0066777F"/>
    <w:rsid w:val="00686CB6"/>
    <w:rsid w:val="00687EED"/>
    <w:rsid w:val="0069235C"/>
    <w:rsid w:val="006B1A2A"/>
    <w:rsid w:val="006B3F33"/>
    <w:rsid w:val="006B4FCD"/>
    <w:rsid w:val="006C0DEA"/>
    <w:rsid w:val="006C1320"/>
    <w:rsid w:val="006C1757"/>
    <w:rsid w:val="006C5D6F"/>
    <w:rsid w:val="006C615F"/>
    <w:rsid w:val="006D2A3C"/>
    <w:rsid w:val="006E0992"/>
    <w:rsid w:val="006E0DBB"/>
    <w:rsid w:val="006E5121"/>
    <w:rsid w:val="006E5908"/>
    <w:rsid w:val="006E6775"/>
    <w:rsid w:val="006E7FF0"/>
    <w:rsid w:val="006F047C"/>
    <w:rsid w:val="006F77F3"/>
    <w:rsid w:val="0070027D"/>
    <w:rsid w:val="00707DBA"/>
    <w:rsid w:val="0071018F"/>
    <w:rsid w:val="00710F83"/>
    <w:rsid w:val="007138D4"/>
    <w:rsid w:val="00724555"/>
    <w:rsid w:val="00732690"/>
    <w:rsid w:val="00736F83"/>
    <w:rsid w:val="00743526"/>
    <w:rsid w:val="00745135"/>
    <w:rsid w:val="0075028B"/>
    <w:rsid w:val="0075204E"/>
    <w:rsid w:val="00755132"/>
    <w:rsid w:val="0076012C"/>
    <w:rsid w:val="0076228E"/>
    <w:rsid w:val="00767EC0"/>
    <w:rsid w:val="0077447C"/>
    <w:rsid w:val="00774CCF"/>
    <w:rsid w:val="00775A2C"/>
    <w:rsid w:val="007764D3"/>
    <w:rsid w:val="007829ED"/>
    <w:rsid w:val="00782F67"/>
    <w:rsid w:val="00795E83"/>
    <w:rsid w:val="00797B48"/>
    <w:rsid w:val="007A1C04"/>
    <w:rsid w:val="007A3FB3"/>
    <w:rsid w:val="007A7630"/>
    <w:rsid w:val="007A7E4C"/>
    <w:rsid w:val="007B196F"/>
    <w:rsid w:val="007B2FB3"/>
    <w:rsid w:val="007B4E54"/>
    <w:rsid w:val="007C0D76"/>
    <w:rsid w:val="007C0EFE"/>
    <w:rsid w:val="007C3C9B"/>
    <w:rsid w:val="007C51C5"/>
    <w:rsid w:val="007C643D"/>
    <w:rsid w:val="007D5115"/>
    <w:rsid w:val="007D6DAE"/>
    <w:rsid w:val="007E1B7D"/>
    <w:rsid w:val="007F2C0C"/>
    <w:rsid w:val="007F38D4"/>
    <w:rsid w:val="007F5435"/>
    <w:rsid w:val="007F641D"/>
    <w:rsid w:val="00800D0F"/>
    <w:rsid w:val="0080798A"/>
    <w:rsid w:val="00813209"/>
    <w:rsid w:val="00816F73"/>
    <w:rsid w:val="0082052B"/>
    <w:rsid w:val="00822EAF"/>
    <w:rsid w:val="008322BB"/>
    <w:rsid w:val="0083289A"/>
    <w:rsid w:val="0083476F"/>
    <w:rsid w:val="00845400"/>
    <w:rsid w:val="00846103"/>
    <w:rsid w:val="008620EC"/>
    <w:rsid w:val="0086276A"/>
    <w:rsid w:val="0086290B"/>
    <w:rsid w:val="008632AA"/>
    <w:rsid w:val="008642EE"/>
    <w:rsid w:val="00873DCF"/>
    <w:rsid w:val="00874E83"/>
    <w:rsid w:val="00884389"/>
    <w:rsid w:val="0088624F"/>
    <w:rsid w:val="00890380"/>
    <w:rsid w:val="00894EED"/>
    <w:rsid w:val="00895E23"/>
    <w:rsid w:val="008A22C9"/>
    <w:rsid w:val="008A2EEB"/>
    <w:rsid w:val="008A3707"/>
    <w:rsid w:val="008A421D"/>
    <w:rsid w:val="008B729A"/>
    <w:rsid w:val="008C0DB5"/>
    <w:rsid w:val="008E6EF5"/>
    <w:rsid w:val="008F13FC"/>
    <w:rsid w:val="008F7FFC"/>
    <w:rsid w:val="00900131"/>
    <w:rsid w:val="00903C61"/>
    <w:rsid w:val="00905FA7"/>
    <w:rsid w:val="00912DD5"/>
    <w:rsid w:val="00920109"/>
    <w:rsid w:val="00923757"/>
    <w:rsid w:val="00926CA7"/>
    <w:rsid w:val="009276AC"/>
    <w:rsid w:val="0092780B"/>
    <w:rsid w:val="00930A12"/>
    <w:rsid w:val="00934261"/>
    <w:rsid w:val="00940B9D"/>
    <w:rsid w:val="009417C5"/>
    <w:rsid w:val="00955E95"/>
    <w:rsid w:val="00957DAB"/>
    <w:rsid w:val="00963BDA"/>
    <w:rsid w:val="00970D98"/>
    <w:rsid w:val="00973177"/>
    <w:rsid w:val="00975420"/>
    <w:rsid w:val="0097731A"/>
    <w:rsid w:val="0098146C"/>
    <w:rsid w:val="00983279"/>
    <w:rsid w:val="00983FC4"/>
    <w:rsid w:val="00990048"/>
    <w:rsid w:val="00997C09"/>
    <w:rsid w:val="009A693A"/>
    <w:rsid w:val="009B0076"/>
    <w:rsid w:val="009B2FAD"/>
    <w:rsid w:val="009B56BF"/>
    <w:rsid w:val="009D1CE5"/>
    <w:rsid w:val="009D316C"/>
    <w:rsid w:val="009E4113"/>
    <w:rsid w:val="009E4280"/>
    <w:rsid w:val="009E5D35"/>
    <w:rsid w:val="009E5ED5"/>
    <w:rsid w:val="009F0766"/>
    <w:rsid w:val="009F0AE0"/>
    <w:rsid w:val="009F4F61"/>
    <w:rsid w:val="00A03E6A"/>
    <w:rsid w:val="00A06B72"/>
    <w:rsid w:val="00A10D8E"/>
    <w:rsid w:val="00A131A4"/>
    <w:rsid w:val="00A14A14"/>
    <w:rsid w:val="00A151F4"/>
    <w:rsid w:val="00A17B44"/>
    <w:rsid w:val="00A2059D"/>
    <w:rsid w:val="00A22E4C"/>
    <w:rsid w:val="00A253BD"/>
    <w:rsid w:val="00A266E6"/>
    <w:rsid w:val="00A32840"/>
    <w:rsid w:val="00A43AB3"/>
    <w:rsid w:val="00A465CC"/>
    <w:rsid w:val="00A47184"/>
    <w:rsid w:val="00A47401"/>
    <w:rsid w:val="00A5366C"/>
    <w:rsid w:val="00A53C45"/>
    <w:rsid w:val="00A55E0E"/>
    <w:rsid w:val="00A6043D"/>
    <w:rsid w:val="00A60A51"/>
    <w:rsid w:val="00A629FF"/>
    <w:rsid w:val="00A64BF6"/>
    <w:rsid w:val="00A670A9"/>
    <w:rsid w:val="00A7154B"/>
    <w:rsid w:val="00A72F26"/>
    <w:rsid w:val="00A764A5"/>
    <w:rsid w:val="00A90FC7"/>
    <w:rsid w:val="00A961A7"/>
    <w:rsid w:val="00A97A93"/>
    <w:rsid w:val="00AA03DD"/>
    <w:rsid w:val="00AA11EA"/>
    <w:rsid w:val="00AA5EFA"/>
    <w:rsid w:val="00AA5F6B"/>
    <w:rsid w:val="00AA7E00"/>
    <w:rsid w:val="00AC2033"/>
    <w:rsid w:val="00AC32C2"/>
    <w:rsid w:val="00AC3518"/>
    <w:rsid w:val="00AC4BA3"/>
    <w:rsid w:val="00AC7439"/>
    <w:rsid w:val="00AD0B37"/>
    <w:rsid w:val="00AD0F97"/>
    <w:rsid w:val="00AD5BE6"/>
    <w:rsid w:val="00AD6A14"/>
    <w:rsid w:val="00AD7DCF"/>
    <w:rsid w:val="00AF0D3E"/>
    <w:rsid w:val="00AF6001"/>
    <w:rsid w:val="00B00DDB"/>
    <w:rsid w:val="00B02044"/>
    <w:rsid w:val="00B03FF4"/>
    <w:rsid w:val="00B04291"/>
    <w:rsid w:val="00B07570"/>
    <w:rsid w:val="00B1345B"/>
    <w:rsid w:val="00B20903"/>
    <w:rsid w:val="00B2253E"/>
    <w:rsid w:val="00B227D3"/>
    <w:rsid w:val="00B25040"/>
    <w:rsid w:val="00B256B8"/>
    <w:rsid w:val="00B26794"/>
    <w:rsid w:val="00B276EB"/>
    <w:rsid w:val="00B27F45"/>
    <w:rsid w:val="00B30951"/>
    <w:rsid w:val="00B368DD"/>
    <w:rsid w:val="00B441E0"/>
    <w:rsid w:val="00B549ED"/>
    <w:rsid w:val="00B56EC3"/>
    <w:rsid w:val="00B57259"/>
    <w:rsid w:val="00B60B1F"/>
    <w:rsid w:val="00B6128D"/>
    <w:rsid w:val="00B669EB"/>
    <w:rsid w:val="00B71082"/>
    <w:rsid w:val="00B7156E"/>
    <w:rsid w:val="00B75C1B"/>
    <w:rsid w:val="00B84ACB"/>
    <w:rsid w:val="00B86A25"/>
    <w:rsid w:val="00B86E1B"/>
    <w:rsid w:val="00B87FD8"/>
    <w:rsid w:val="00B90F59"/>
    <w:rsid w:val="00B91F40"/>
    <w:rsid w:val="00B96B0B"/>
    <w:rsid w:val="00B96D34"/>
    <w:rsid w:val="00BB46E9"/>
    <w:rsid w:val="00BB5BE4"/>
    <w:rsid w:val="00BB64A2"/>
    <w:rsid w:val="00BC1E66"/>
    <w:rsid w:val="00BC4A81"/>
    <w:rsid w:val="00BC4E35"/>
    <w:rsid w:val="00BD0F1D"/>
    <w:rsid w:val="00BD1171"/>
    <w:rsid w:val="00BD4859"/>
    <w:rsid w:val="00BD4A02"/>
    <w:rsid w:val="00BE36CE"/>
    <w:rsid w:val="00BE41E5"/>
    <w:rsid w:val="00BE5C07"/>
    <w:rsid w:val="00BF4F2A"/>
    <w:rsid w:val="00BF60AC"/>
    <w:rsid w:val="00C014D1"/>
    <w:rsid w:val="00C03508"/>
    <w:rsid w:val="00C06A5A"/>
    <w:rsid w:val="00C104BE"/>
    <w:rsid w:val="00C1187B"/>
    <w:rsid w:val="00C11ED1"/>
    <w:rsid w:val="00C20816"/>
    <w:rsid w:val="00C223C8"/>
    <w:rsid w:val="00C248CE"/>
    <w:rsid w:val="00C263DD"/>
    <w:rsid w:val="00C2670C"/>
    <w:rsid w:val="00C37DF5"/>
    <w:rsid w:val="00C40BBF"/>
    <w:rsid w:val="00C418B2"/>
    <w:rsid w:val="00C45A2C"/>
    <w:rsid w:val="00C52634"/>
    <w:rsid w:val="00C53952"/>
    <w:rsid w:val="00C54ED3"/>
    <w:rsid w:val="00C63CA8"/>
    <w:rsid w:val="00C64A3B"/>
    <w:rsid w:val="00C66C11"/>
    <w:rsid w:val="00C748B9"/>
    <w:rsid w:val="00C77694"/>
    <w:rsid w:val="00C8220C"/>
    <w:rsid w:val="00C9018A"/>
    <w:rsid w:val="00C93BF5"/>
    <w:rsid w:val="00C94959"/>
    <w:rsid w:val="00CA24AC"/>
    <w:rsid w:val="00CA6802"/>
    <w:rsid w:val="00CB01D3"/>
    <w:rsid w:val="00CB69D0"/>
    <w:rsid w:val="00CC3477"/>
    <w:rsid w:val="00CC3D14"/>
    <w:rsid w:val="00CC61FE"/>
    <w:rsid w:val="00CF4090"/>
    <w:rsid w:val="00CF486B"/>
    <w:rsid w:val="00D00A15"/>
    <w:rsid w:val="00D01E05"/>
    <w:rsid w:val="00D03163"/>
    <w:rsid w:val="00D06592"/>
    <w:rsid w:val="00D06EA0"/>
    <w:rsid w:val="00D12D12"/>
    <w:rsid w:val="00D13D52"/>
    <w:rsid w:val="00D16EEB"/>
    <w:rsid w:val="00D22E60"/>
    <w:rsid w:val="00D24265"/>
    <w:rsid w:val="00D25CCF"/>
    <w:rsid w:val="00D30900"/>
    <w:rsid w:val="00D30F22"/>
    <w:rsid w:val="00D32992"/>
    <w:rsid w:val="00D37DDE"/>
    <w:rsid w:val="00D4193E"/>
    <w:rsid w:val="00D43ED8"/>
    <w:rsid w:val="00D44185"/>
    <w:rsid w:val="00D466B5"/>
    <w:rsid w:val="00D509C9"/>
    <w:rsid w:val="00D53CF4"/>
    <w:rsid w:val="00D542F1"/>
    <w:rsid w:val="00D545CD"/>
    <w:rsid w:val="00D565C0"/>
    <w:rsid w:val="00D57AF6"/>
    <w:rsid w:val="00D6202C"/>
    <w:rsid w:val="00D64521"/>
    <w:rsid w:val="00D646BF"/>
    <w:rsid w:val="00D65F3B"/>
    <w:rsid w:val="00D714EC"/>
    <w:rsid w:val="00D7493D"/>
    <w:rsid w:val="00D76753"/>
    <w:rsid w:val="00D81107"/>
    <w:rsid w:val="00D82E67"/>
    <w:rsid w:val="00D844F9"/>
    <w:rsid w:val="00D847A1"/>
    <w:rsid w:val="00D90880"/>
    <w:rsid w:val="00DA40F0"/>
    <w:rsid w:val="00DA629B"/>
    <w:rsid w:val="00DA696F"/>
    <w:rsid w:val="00DA6A70"/>
    <w:rsid w:val="00DB1854"/>
    <w:rsid w:val="00DB3DFD"/>
    <w:rsid w:val="00DB62B2"/>
    <w:rsid w:val="00DC1B3A"/>
    <w:rsid w:val="00DD028F"/>
    <w:rsid w:val="00DD2996"/>
    <w:rsid w:val="00DD7C59"/>
    <w:rsid w:val="00DE253A"/>
    <w:rsid w:val="00DE2DF6"/>
    <w:rsid w:val="00DE36CF"/>
    <w:rsid w:val="00DE43C9"/>
    <w:rsid w:val="00DE5939"/>
    <w:rsid w:val="00E03416"/>
    <w:rsid w:val="00E03BD9"/>
    <w:rsid w:val="00E05E6B"/>
    <w:rsid w:val="00E214E7"/>
    <w:rsid w:val="00E30B93"/>
    <w:rsid w:val="00E34C82"/>
    <w:rsid w:val="00E34CA0"/>
    <w:rsid w:val="00E36895"/>
    <w:rsid w:val="00E37216"/>
    <w:rsid w:val="00E432A4"/>
    <w:rsid w:val="00E44CBE"/>
    <w:rsid w:val="00E52557"/>
    <w:rsid w:val="00E541F6"/>
    <w:rsid w:val="00E56A14"/>
    <w:rsid w:val="00E64B12"/>
    <w:rsid w:val="00E65BD9"/>
    <w:rsid w:val="00E67D82"/>
    <w:rsid w:val="00E719B0"/>
    <w:rsid w:val="00E71EFA"/>
    <w:rsid w:val="00E74021"/>
    <w:rsid w:val="00E77617"/>
    <w:rsid w:val="00E87BC4"/>
    <w:rsid w:val="00E9166A"/>
    <w:rsid w:val="00E9168D"/>
    <w:rsid w:val="00E95239"/>
    <w:rsid w:val="00E95F9F"/>
    <w:rsid w:val="00EA4CEB"/>
    <w:rsid w:val="00EA5B4B"/>
    <w:rsid w:val="00EB4BE8"/>
    <w:rsid w:val="00ED35AA"/>
    <w:rsid w:val="00ED5580"/>
    <w:rsid w:val="00ED64A3"/>
    <w:rsid w:val="00EE330E"/>
    <w:rsid w:val="00EE721D"/>
    <w:rsid w:val="00EF482D"/>
    <w:rsid w:val="00EF5081"/>
    <w:rsid w:val="00F06155"/>
    <w:rsid w:val="00F10084"/>
    <w:rsid w:val="00F13131"/>
    <w:rsid w:val="00F251E1"/>
    <w:rsid w:val="00F2612E"/>
    <w:rsid w:val="00F42D6C"/>
    <w:rsid w:val="00F44EEC"/>
    <w:rsid w:val="00F472D3"/>
    <w:rsid w:val="00F51DB3"/>
    <w:rsid w:val="00F52D64"/>
    <w:rsid w:val="00F53231"/>
    <w:rsid w:val="00F53D4E"/>
    <w:rsid w:val="00F60D92"/>
    <w:rsid w:val="00F63F2E"/>
    <w:rsid w:val="00F655D1"/>
    <w:rsid w:val="00F657A0"/>
    <w:rsid w:val="00F71233"/>
    <w:rsid w:val="00F81351"/>
    <w:rsid w:val="00F8388E"/>
    <w:rsid w:val="00F903B8"/>
    <w:rsid w:val="00F92017"/>
    <w:rsid w:val="00F938F7"/>
    <w:rsid w:val="00FA21B8"/>
    <w:rsid w:val="00FA40AB"/>
    <w:rsid w:val="00FA6DBD"/>
    <w:rsid w:val="00FB5173"/>
    <w:rsid w:val="00FC28D3"/>
    <w:rsid w:val="00FC40F2"/>
    <w:rsid w:val="00FD5D63"/>
    <w:rsid w:val="00FE1E79"/>
    <w:rsid w:val="00FE21FC"/>
    <w:rsid w:val="00FE3559"/>
    <w:rsid w:val="00FE38C4"/>
    <w:rsid w:val="00FE3E12"/>
    <w:rsid w:val="00FE4FE6"/>
    <w:rsid w:val="00FE5522"/>
    <w:rsid w:val="00FF0584"/>
    <w:rsid w:val="00FF6210"/>
    <w:rsid w:val="00FF74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5CDB8"/>
  <w15:docId w15:val="{E3697137-6ABB-49B9-93F8-91D0465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9B"/>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1"/>
    <w:qFormat/>
    <w:rsid w:val="007C3C9B"/>
    <w:pPr>
      <w:spacing w:line="360" w:lineRule="auto"/>
      <w:ind w:firstLine="709"/>
      <w:jc w:val="both"/>
    </w:pPr>
    <w:rPr>
      <w:rFonts w:ascii="Arial" w:hAnsi="Arial"/>
      <w:sz w:val="30"/>
    </w:rPr>
  </w:style>
  <w:style w:type="paragraph" w:styleId="Encabezado">
    <w:name w:val="header"/>
    <w:basedOn w:val="Normal"/>
    <w:link w:val="EncabezadoCar"/>
    <w:uiPriority w:val="99"/>
    <w:rsid w:val="007C3C9B"/>
    <w:pPr>
      <w:tabs>
        <w:tab w:val="center" w:pos="4252"/>
        <w:tab w:val="right" w:pos="8504"/>
      </w:tabs>
    </w:pPr>
  </w:style>
  <w:style w:type="character" w:customStyle="1" w:styleId="EncabezadoCar">
    <w:name w:val="Encabezado Car"/>
    <w:basedOn w:val="Fuentedeprrafopredeter"/>
    <w:link w:val="Encabezado"/>
    <w:uiPriority w:val="99"/>
    <w:rsid w:val="007C3C9B"/>
    <w:rPr>
      <w:rFonts w:ascii="Times New Roman" w:eastAsia="Times New Roman" w:hAnsi="Times New Roman" w:cs="Times New Roman"/>
      <w:sz w:val="20"/>
      <w:szCs w:val="20"/>
      <w:lang w:val="es-ES_tradnl" w:eastAsia="es-ES"/>
    </w:rPr>
  </w:style>
  <w:style w:type="paragraph" w:customStyle="1" w:styleId="corte6cintilloypie">
    <w:name w:val="corte6 cintillo y pie"/>
    <w:basedOn w:val="Normal"/>
    <w:rsid w:val="007C3C9B"/>
    <w:pPr>
      <w:jc w:val="right"/>
    </w:pPr>
    <w:rPr>
      <w:rFonts w:ascii="Arial" w:hAnsi="Arial"/>
      <w:b/>
      <w:caps/>
      <w:sz w:val="24"/>
    </w:rPr>
  </w:style>
  <w:style w:type="paragraph" w:styleId="Piedepgina">
    <w:name w:val="footer"/>
    <w:aliases w:val=" Car Car Car Car, Car Car Car Car Car Car Car,Sangría de texto normal1,Sangría de texto normal1 Car Car Car, Car Car Car Car1 Car Car Car Car Car Car"/>
    <w:basedOn w:val="Normal"/>
    <w:link w:val="PiedepginaCar"/>
    <w:uiPriority w:val="99"/>
    <w:rsid w:val="007C3C9B"/>
    <w:pPr>
      <w:tabs>
        <w:tab w:val="center" w:pos="4252"/>
        <w:tab w:val="right" w:pos="8504"/>
      </w:tabs>
    </w:pPr>
  </w:style>
  <w:style w:type="character" w:customStyle="1" w:styleId="PiedepginaCar">
    <w:name w:val="Pie de página Car"/>
    <w:aliases w:val=" Car Car Car Car Car, Car Car Car Car Car Car Car Car,Sangría de texto normal1 Car,Sangría de texto normal1 Car Car Car Car, Car Car Car Car1 Car Car Car Car Car Car Car"/>
    <w:basedOn w:val="Fuentedeprrafopredeter"/>
    <w:link w:val="Piedepgina"/>
    <w:uiPriority w:val="99"/>
    <w:rsid w:val="007C3C9B"/>
    <w:rPr>
      <w:rFonts w:ascii="Times New Roman" w:eastAsia="Times New Roman" w:hAnsi="Times New Roman" w:cs="Times New Roman"/>
      <w:sz w:val="20"/>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ALTS FOOTNOTE,Car3"/>
    <w:basedOn w:val="Normal"/>
    <w:link w:val="TextonotapieCar1"/>
    <w:qFormat/>
    <w:rsid w:val="007C3C9B"/>
    <w:rPr>
      <w:lang w:eastAsia="es-MX"/>
    </w:rPr>
  </w:style>
  <w:style w:type="character" w:customStyle="1" w:styleId="TextonotapieCar">
    <w:name w:val="Texto nota pie Car"/>
    <w:aliases w:val="Car Car,Car Car Car Car, Car Car,Ca Car,C Car,Footnote Text Char Char Char Char Char Car1,Footnote Text Char Char Char Char Car1,Footnote reference Car1,FA Fu Car1,Footnote Text Char Char Char Car1,Footnote Text Cha Car1"/>
    <w:basedOn w:val="Fuentedeprrafopredeter"/>
    <w:uiPriority w:val="99"/>
    <w:qFormat/>
    <w:rsid w:val="007C3C9B"/>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Footnotes refss,Texto de nota al pie,Texto nota al pie,Appel note de bas de page,Footnote number,referencia nota al pie,BVI fnr,f,4_G,16 Point,Superscript 6 Point,Footnote Reference Char3,ftref,Ref,de nota al pi"/>
    <w:basedOn w:val="Fuentedeprrafopredeter"/>
    <w:link w:val="4GChar"/>
    <w:qFormat/>
    <w:rsid w:val="007C3C9B"/>
    <w:rPr>
      <w:vertAlign w:val="superscript"/>
    </w:rPr>
  </w:style>
  <w:style w:type="character" w:customStyle="1" w:styleId="corte4fondoCar1">
    <w:name w:val="corte4 fondo Car1"/>
    <w:basedOn w:val="Fuentedeprrafopredeter"/>
    <w:link w:val="corte4fondo"/>
    <w:rsid w:val="007C3C9B"/>
    <w:rPr>
      <w:rFonts w:ascii="Arial" w:eastAsia="Times New Roman" w:hAnsi="Arial" w:cs="Times New Roman"/>
      <w:sz w:val="30"/>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qFormat/>
    <w:locked/>
    <w:rsid w:val="007C3C9B"/>
    <w:rPr>
      <w:rFonts w:ascii="Times New Roman" w:eastAsia="Times New Roman" w:hAnsi="Times New Roman" w:cs="Times New Roman"/>
      <w:sz w:val="20"/>
      <w:szCs w:val="20"/>
      <w:lang w:val="es-ES_tradnl" w:eastAsia="es-MX"/>
    </w:rPr>
  </w:style>
  <w:style w:type="character" w:customStyle="1" w:styleId="corte4Car">
    <w:name w:val="corte4 Car"/>
    <w:link w:val="corte4"/>
    <w:locked/>
    <w:rsid w:val="007C3C9B"/>
    <w:rPr>
      <w:rFonts w:ascii="Arial" w:hAnsi="Arial" w:cs="Arial"/>
      <w:sz w:val="30"/>
    </w:rPr>
  </w:style>
  <w:style w:type="paragraph" w:customStyle="1" w:styleId="corte4">
    <w:name w:val="corte4"/>
    <w:basedOn w:val="Normal"/>
    <w:link w:val="corte4Car"/>
    <w:qFormat/>
    <w:rsid w:val="007C3C9B"/>
    <w:pPr>
      <w:spacing w:line="360" w:lineRule="auto"/>
      <w:ind w:firstLine="709"/>
      <w:jc w:val="both"/>
    </w:pPr>
    <w:rPr>
      <w:rFonts w:ascii="Arial" w:eastAsiaTheme="minorHAnsi" w:hAnsi="Arial" w:cs="Arial"/>
      <w:sz w:val="30"/>
      <w:szCs w:val="22"/>
      <w:lang w:val="es-MX" w:eastAsia="en-US"/>
    </w:rPr>
  </w:style>
  <w:style w:type="paragraph" w:styleId="Prrafodelista">
    <w:name w:val="List Paragraph"/>
    <w:aliases w:val="Cita texto,Footnote,List Paragraph1,Colorful List - Accent 11,Cuadrícula clara - Énfasis 31,Párrafo de lista1,TEXTO GENERAL SENTENCIAS,Dot pt,No Spacing1,List Paragraph Char Char Char,Indicator Text,Numbered Para 1,Trascripción"/>
    <w:basedOn w:val="Normal"/>
    <w:link w:val="PrrafodelistaCar"/>
    <w:uiPriority w:val="34"/>
    <w:qFormat/>
    <w:rsid w:val="00D714EC"/>
    <w:pPr>
      <w:ind w:left="720"/>
      <w:contextualSpacing/>
    </w:pPr>
    <w:rPr>
      <w:lang w:eastAsia="es-MX"/>
    </w:rPr>
  </w:style>
  <w:style w:type="character" w:customStyle="1" w:styleId="PrrafodelistaCar">
    <w:name w:val="Párrafo de lista Car"/>
    <w:aliases w:val="Cita texto Car,Footnote Car,List Paragraph1 Car,Colorful List - Accent 11 Car,Cuadrícula clara - Énfasis 31 Car,Párrafo de lista1 Car,TEXTO GENERAL SENTENCIAS Car,Dot pt Car,No Spacing1 Car,List Paragraph Char Char Char Car"/>
    <w:link w:val="Prrafodelista"/>
    <w:uiPriority w:val="34"/>
    <w:qFormat/>
    <w:locked/>
    <w:rsid w:val="00D06EA0"/>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500B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B6B"/>
    <w:rPr>
      <w:rFonts w:ascii="Segoe UI" w:eastAsia="Times New Roman" w:hAnsi="Segoe UI" w:cs="Segoe UI"/>
      <w:sz w:val="18"/>
      <w:szCs w:val="18"/>
      <w:lang w:val="es-ES_tradnl" w:eastAsia="es-ES"/>
    </w:rPr>
  </w:style>
  <w:style w:type="paragraph" w:customStyle="1" w:styleId="Sombreadomedio1-nfasis11">
    <w:name w:val="Sombreado medio 1 - Énfasis 11"/>
    <w:uiPriority w:val="1"/>
    <w:qFormat/>
    <w:rsid w:val="006B4FCD"/>
    <w:pPr>
      <w:spacing w:after="0" w:line="240" w:lineRule="auto"/>
    </w:pPr>
    <w:rPr>
      <w:rFonts w:ascii="Calibri" w:eastAsia="Calibri" w:hAnsi="Calibri" w:cs="Times New Roman"/>
    </w:rPr>
  </w:style>
  <w:style w:type="paragraph" w:customStyle="1" w:styleId="corte1datos">
    <w:name w:val="corte1 datos"/>
    <w:basedOn w:val="Normal"/>
    <w:link w:val="corte1datosCar"/>
    <w:rsid w:val="006122F2"/>
    <w:pPr>
      <w:ind w:left="2552"/>
    </w:pPr>
    <w:rPr>
      <w:rFonts w:ascii="Arial" w:hAnsi="Arial"/>
      <w:b/>
      <w:caps/>
      <w:sz w:val="30"/>
    </w:rPr>
  </w:style>
  <w:style w:type="character" w:customStyle="1" w:styleId="corte1datosCar">
    <w:name w:val="corte1 datos Car"/>
    <w:basedOn w:val="Fuentedeprrafopredeter"/>
    <w:link w:val="corte1datos"/>
    <w:rsid w:val="006122F2"/>
    <w:rPr>
      <w:rFonts w:ascii="Arial" w:eastAsia="Times New Roman" w:hAnsi="Arial" w:cs="Times New Roman"/>
      <w:b/>
      <w:caps/>
      <w:sz w:val="30"/>
      <w:szCs w:val="20"/>
      <w:lang w:val="es-ES_tradnl" w:eastAsia="es-ES"/>
    </w:rPr>
  </w:style>
  <w:style w:type="character" w:customStyle="1" w:styleId="red">
    <w:name w:val="red"/>
    <w:basedOn w:val="Fuentedeprrafopredeter"/>
    <w:rsid w:val="00816F73"/>
  </w:style>
  <w:style w:type="table" w:styleId="Tablaconcuadrcula">
    <w:name w:val="Table Grid"/>
    <w:basedOn w:val="Tablanormal"/>
    <w:uiPriority w:val="39"/>
    <w:rsid w:val="00A60A51"/>
    <w:pPr>
      <w:spacing w:after="0" w:line="240" w:lineRule="auto"/>
    </w:pPr>
    <w:rPr>
      <w:rFonts w:ascii="Calibri" w:eastAsia="Batang"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DF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Sinespaciado"/>
    <w:link w:val="EstiloCar"/>
    <w:qFormat/>
    <w:rsid w:val="009B56BF"/>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9B56BF"/>
    <w:rPr>
      <w:rFonts w:ascii="Arial" w:hAnsi="Arial"/>
      <w:sz w:val="24"/>
    </w:rPr>
  </w:style>
  <w:style w:type="paragraph" w:styleId="Sinespaciado">
    <w:name w:val="No Spacing"/>
    <w:uiPriority w:val="1"/>
    <w:qFormat/>
    <w:rsid w:val="009B56BF"/>
    <w:pPr>
      <w:spacing w:after="0" w:line="240" w:lineRule="auto"/>
    </w:pPr>
    <w:rPr>
      <w:rFonts w:ascii="Times New Roman" w:eastAsia="Times New Roman" w:hAnsi="Times New Roman" w:cs="Times New Roman"/>
      <w:sz w:val="20"/>
      <w:szCs w:val="20"/>
      <w:lang w:val="es-ES_tradnl" w:eastAsia="es-ES"/>
    </w:rPr>
  </w:style>
  <w:style w:type="character" w:customStyle="1" w:styleId="articulojustificado1">
    <w:name w:val="articulojustificado1"/>
    <w:basedOn w:val="Fuentedeprrafopredeter"/>
    <w:rsid w:val="00D64521"/>
    <w:rPr>
      <w:rFonts w:ascii="Arial" w:hAnsi="Arial" w:cs="Arial" w:hint="default"/>
      <w:b w:val="0"/>
      <w:bCs w:val="0"/>
      <w:color w:val="000000"/>
      <w:sz w:val="18"/>
      <w:szCs w:val="18"/>
    </w:rPr>
  </w:style>
  <w:style w:type="character" w:styleId="Refdecomentario">
    <w:name w:val="annotation reference"/>
    <w:basedOn w:val="Fuentedeprrafopredeter"/>
    <w:uiPriority w:val="99"/>
    <w:semiHidden/>
    <w:unhideWhenUsed/>
    <w:rsid w:val="006506A8"/>
    <w:rPr>
      <w:sz w:val="16"/>
      <w:szCs w:val="16"/>
    </w:rPr>
  </w:style>
  <w:style w:type="paragraph" w:styleId="Textocomentario">
    <w:name w:val="annotation text"/>
    <w:basedOn w:val="Normal"/>
    <w:link w:val="TextocomentarioCar"/>
    <w:uiPriority w:val="99"/>
    <w:semiHidden/>
    <w:unhideWhenUsed/>
    <w:rsid w:val="006506A8"/>
  </w:style>
  <w:style w:type="character" w:customStyle="1" w:styleId="TextocomentarioCar">
    <w:name w:val="Texto comentario Car"/>
    <w:basedOn w:val="Fuentedeprrafopredeter"/>
    <w:link w:val="Textocomentario"/>
    <w:uiPriority w:val="99"/>
    <w:semiHidden/>
    <w:rsid w:val="006506A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506A8"/>
    <w:rPr>
      <w:b/>
      <w:bCs/>
    </w:rPr>
  </w:style>
  <w:style w:type="character" w:customStyle="1" w:styleId="AsuntodelcomentarioCar">
    <w:name w:val="Asunto del comentario Car"/>
    <w:basedOn w:val="TextocomentarioCar"/>
    <w:link w:val="Asuntodelcomentario"/>
    <w:uiPriority w:val="99"/>
    <w:semiHidden/>
    <w:rsid w:val="006506A8"/>
    <w:rPr>
      <w:rFonts w:ascii="Times New Roman" w:eastAsia="Times New Roman" w:hAnsi="Times New Roman" w:cs="Times New Roman"/>
      <w:b/>
      <w:bCs/>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3B63A5"/>
    <w:pPr>
      <w:jc w:val="both"/>
    </w:pPr>
    <w:rPr>
      <w:rFonts w:asciiTheme="minorHAnsi" w:eastAsiaTheme="minorHAnsi" w:hAnsiTheme="minorHAnsi" w:cstheme="minorBidi"/>
      <w:sz w:val="22"/>
      <w:szCs w:val="22"/>
      <w:vertAlign w:val="superscript"/>
      <w:lang w:val="es-MX" w:eastAsia="en-US"/>
    </w:rPr>
  </w:style>
  <w:style w:type="paragraph" w:customStyle="1" w:styleId="corte4fondo0">
    <w:name w:val="corte 4 fondo"/>
    <w:basedOn w:val="Normal"/>
    <w:link w:val="corte4fondoCar"/>
    <w:qFormat/>
    <w:rsid w:val="000E4604"/>
    <w:pPr>
      <w:spacing w:line="360" w:lineRule="auto"/>
      <w:ind w:firstLine="709"/>
      <w:jc w:val="both"/>
    </w:pPr>
    <w:rPr>
      <w:rFonts w:ascii="Arial" w:hAnsi="Arial"/>
      <w:sz w:val="30"/>
      <w:lang w:val="es-MX" w:eastAsia="es-MX"/>
    </w:rPr>
  </w:style>
  <w:style w:type="character" w:customStyle="1" w:styleId="corte4fondoCar">
    <w:name w:val="corte 4 fondo Car"/>
    <w:link w:val="corte4fondo0"/>
    <w:locked/>
    <w:rsid w:val="000E4604"/>
    <w:rPr>
      <w:rFonts w:ascii="Arial" w:eastAsia="Times New Roman" w:hAnsi="Arial" w:cs="Times New Roman"/>
      <w:sz w:val="30"/>
      <w:szCs w:val="20"/>
      <w:lang w:eastAsia="es-MX"/>
    </w:rPr>
  </w:style>
  <w:style w:type="paragraph" w:customStyle="1" w:styleId="Texto">
    <w:name w:val="Texto"/>
    <w:basedOn w:val="Normal"/>
    <w:link w:val="TextoCar"/>
    <w:rsid w:val="00B27F45"/>
    <w:pPr>
      <w:spacing w:after="101" w:line="216" w:lineRule="exact"/>
      <w:ind w:firstLine="288"/>
      <w:jc w:val="both"/>
    </w:pPr>
    <w:rPr>
      <w:rFonts w:ascii="Arial" w:hAnsi="Arial"/>
      <w:sz w:val="18"/>
      <w:szCs w:val="18"/>
      <w:lang w:val="es-MX" w:eastAsia="es-MX"/>
    </w:rPr>
  </w:style>
  <w:style w:type="character" w:customStyle="1" w:styleId="TextoCar">
    <w:name w:val="Texto Car"/>
    <w:link w:val="Texto"/>
    <w:locked/>
    <w:rsid w:val="00B27F45"/>
    <w:rPr>
      <w:rFonts w:ascii="Arial" w:eastAsia="Times New Roman" w:hAnsi="Arial" w:cs="Times New Roman"/>
      <w:sz w:val="18"/>
      <w:szCs w:val="18"/>
      <w:lang w:eastAsia="es-MX"/>
    </w:rPr>
  </w:style>
  <w:style w:type="paragraph" w:customStyle="1" w:styleId="corte4fondoCar0">
    <w:name w:val="corte4 fondo Car"/>
    <w:basedOn w:val="Normal"/>
    <w:link w:val="corte4fondoCarCar"/>
    <w:rsid w:val="00B27F45"/>
    <w:pPr>
      <w:spacing w:line="360" w:lineRule="auto"/>
      <w:ind w:firstLine="709"/>
      <w:jc w:val="both"/>
    </w:pPr>
    <w:rPr>
      <w:rFonts w:ascii="Arial" w:hAnsi="Arial"/>
      <w:sz w:val="30"/>
      <w:lang w:eastAsia="en-US"/>
    </w:rPr>
  </w:style>
  <w:style w:type="character" w:customStyle="1" w:styleId="corte4fondoCarCar">
    <w:name w:val="corte4 fondo Car Car"/>
    <w:link w:val="corte4fondoCar0"/>
    <w:rsid w:val="00B27F45"/>
    <w:rPr>
      <w:rFonts w:ascii="Arial" w:eastAsia="Times New Roman" w:hAnsi="Arial" w:cs="Times New Roman"/>
      <w:sz w:val="3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69752">
      <w:bodyDiv w:val="1"/>
      <w:marLeft w:val="0"/>
      <w:marRight w:val="0"/>
      <w:marTop w:val="0"/>
      <w:marBottom w:val="0"/>
      <w:divBdr>
        <w:top w:val="none" w:sz="0" w:space="0" w:color="auto"/>
        <w:left w:val="none" w:sz="0" w:space="0" w:color="auto"/>
        <w:bottom w:val="none" w:sz="0" w:space="0" w:color="auto"/>
        <w:right w:val="none" w:sz="0" w:space="0" w:color="auto"/>
      </w:divBdr>
    </w:div>
    <w:div w:id="1724939049">
      <w:bodyDiv w:val="1"/>
      <w:marLeft w:val="0"/>
      <w:marRight w:val="0"/>
      <w:marTop w:val="0"/>
      <w:marBottom w:val="0"/>
      <w:divBdr>
        <w:top w:val="none" w:sz="0" w:space="0" w:color="auto"/>
        <w:left w:val="none" w:sz="0" w:space="0" w:color="auto"/>
        <w:bottom w:val="none" w:sz="0" w:space="0" w:color="auto"/>
        <w:right w:val="none" w:sz="0" w:space="0" w:color="auto"/>
      </w:divBdr>
    </w:div>
    <w:div w:id="1872961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B56F352912D38409B1C35A15B7C07BC" ma:contentTypeVersion="0" ma:contentTypeDescription="Crear nuevo documento." ma:contentTypeScope="" ma:versionID="aecdfcdc008455d1c5eb16562ca7b127">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2FEFA-B8D1-4032-91B9-0435AF69E9C8}">
  <ds:schemaRefs>
    <ds:schemaRef ds:uri="http://schemas.openxmlformats.org/officeDocument/2006/bibliography"/>
  </ds:schemaRefs>
</ds:datastoreItem>
</file>

<file path=customXml/itemProps2.xml><?xml version="1.0" encoding="utf-8"?>
<ds:datastoreItem xmlns:ds="http://schemas.openxmlformats.org/officeDocument/2006/customXml" ds:itemID="{E89207F8-538B-4E53-B1AF-09E0E3349BD9}">
  <ds:schemaRefs>
    <ds:schemaRef ds:uri="http://schemas.microsoft.com/sharepoint/v3/contenttype/forms"/>
  </ds:schemaRefs>
</ds:datastoreItem>
</file>

<file path=customXml/itemProps3.xml><?xml version="1.0" encoding="utf-8"?>
<ds:datastoreItem xmlns:ds="http://schemas.openxmlformats.org/officeDocument/2006/customXml" ds:itemID="{A0FA1F14-FEC7-4275-AEDF-E12484BC49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CF9C0D-ECE0-49BA-8A59-61DBF7EBC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2398</Words>
  <Characters>13195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Pablo Lòpez Andrade</dc:creator>
  <cp:keywords/>
  <dc:description/>
  <cp:lastModifiedBy>MIGUEL ANGEL ANDRADE SOLANA</cp:lastModifiedBy>
  <cp:revision>8</cp:revision>
  <cp:lastPrinted>2020-07-31T19:08:00Z</cp:lastPrinted>
  <dcterms:created xsi:type="dcterms:W3CDTF">2022-02-06T14:37:00Z</dcterms:created>
  <dcterms:modified xsi:type="dcterms:W3CDTF">2022-02-06T15:15:00Z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0x0101005B56F352912D38409B1C35A15B7C07BC</vt:lpwstr>
  </property>
</Properties>
</file>