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E344C" w14:textId="77777777" w:rsidR="006D5E8E" w:rsidRDefault="006D5E8E" w:rsidP="00AA6303">
      <w:pPr>
        <w:pStyle w:val="CORTE4NORMAL"/>
        <w:spacing w:line="276" w:lineRule="auto"/>
        <w:ind w:right="49" w:firstLine="0"/>
        <w:rPr>
          <w:b/>
          <w:szCs w:val="28"/>
        </w:rPr>
      </w:pPr>
    </w:p>
    <w:p w14:paraId="7CB911B6" w14:textId="7C728EA2" w:rsidR="00E775E4" w:rsidRPr="00A94F49" w:rsidRDefault="004D0E2B" w:rsidP="00E86525">
      <w:pPr>
        <w:pStyle w:val="CORTE4NORMAL"/>
        <w:spacing w:line="276" w:lineRule="auto"/>
        <w:ind w:right="49" w:firstLine="0"/>
        <w:rPr>
          <w:b/>
          <w:szCs w:val="28"/>
        </w:rPr>
      </w:pPr>
      <w:r w:rsidRPr="00A94F49">
        <w:rPr>
          <w:b/>
          <w:szCs w:val="28"/>
        </w:rPr>
        <w:t xml:space="preserve">VOTO </w:t>
      </w:r>
      <w:r w:rsidR="00FE2A1C" w:rsidRPr="00A94F49">
        <w:rPr>
          <w:b/>
          <w:szCs w:val="28"/>
        </w:rPr>
        <w:t xml:space="preserve">PARTICULAR </w:t>
      </w:r>
      <w:r w:rsidRPr="00A94F49">
        <w:rPr>
          <w:b/>
          <w:szCs w:val="28"/>
        </w:rPr>
        <w:t>QUE FORMULA EL SEÑOR MINISTRO JOSÉ FERNANDO FRANCO GONZÁLEZ SALAS</w:t>
      </w:r>
      <w:r w:rsidR="00670101" w:rsidRPr="00A94F49">
        <w:rPr>
          <w:b/>
          <w:szCs w:val="28"/>
        </w:rPr>
        <w:t>,</w:t>
      </w:r>
      <w:r w:rsidRPr="00A94F49">
        <w:rPr>
          <w:b/>
          <w:szCs w:val="28"/>
        </w:rPr>
        <w:t xml:space="preserve"> EN LA </w:t>
      </w:r>
      <w:r w:rsidR="00FE2A1C" w:rsidRPr="00A94F49">
        <w:rPr>
          <w:b/>
          <w:szCs w:val="28"/>
        </w:rPr>
        <w:t xml:space="preserve">CONTRADICCIÓN DE TESIS </w:t>
      </w:r>
      <w:r w:rsidR="00492284">
        <w:rPr>
          <w:b/>
          <w:szCs w:val="28"/>
        </w:rPr>
        <w:t>257/2020</w:t>
      </w:r>
      <w:r w:rsidRPr="00A94F49">
        <w:rPr>
          <w:b/>
          <w:szCs w:val="28"/>
        </w:rPr>
        <w:t xml:space="preserve">, FALLADA POR EL TRIBUNAL PLENO EN SESIÓN DE </w:t>
      </w:r>
      <w:r w:rsidR="00492284">
        <w:rPr>
          <w:b/>
          <w:szCs w:val="28"/>
        </w:rPr>
        <w:t xml:space="preserve">DIECISÉIS DE AGOSTO </w:t>
      </w:r>
      <w:r w:rsidR="00FE2A1C" w:rsidRPr="00A94F49">
        <w:rPr>
          <w:b/>
          <w:szCs w:val="28"/>
        </w:rPr>
        <w:t xml:space="preserve">DEL </w:t>
      </w:r>
      <w:r w:rsidR="000D5618" w:rsidRPr="00A94F49">
        <w:rPr>
          <w:b/>
          <w:szCs w:val="28"/>
        </w:rPr>
        <w:t xml:space="preserve">DOS MIL </w:t>
      </w:r>
      <w:r w:rsidR="00492284">
        <w:rPr>
          <w:b/>
          <w:szCs w:val="28"/>
        </w:rPr>
        <w:t>VEINTIUNO</w:t>
      </w:r>
      <w:r w:rsidRPr="00A94F49">
        <w:rPr>
          <w:b/>
          <w:szCs w:val="28"/>
        </w:rPr>
        <w:t>.</w:t>
      </w:r>
      <w:r w:rsidR="00E775E4" w:rsidRPr="00A94F49">
        <w:rPr>
          <w:b/>
          <w:szCs w:val="28"/>
        </w:rPr>
        <w:t xml:space="preserve"> </w:t>
      </w:r>
    </w:p>
    <w:p w14:paraId="62E97112" w14:textId="77777777" w:rsidR="008C3F5F" w:rsidRPr="00A94F49" w:rsidRDefault="008C3F5F" w:rsidP="00AA6303">
      <w:pPr>
        <w:pStyle w:val="corte4fondo"/>
        <w:spacing w:line="276" w:lineRule="auto"/>
        <w:ind w:right="49" w:firstLine="0"/>
        <w:rPr>
          <w:rFonts w:cs="Arial"/>
          <w:sz w:val="28"/>
          <w:szCs w:val="28"/>
          <w:lang w:val="es-MX" w:eastAsia="es-ES"/>
        </w:rPr>
      </w:pPr>
    </w:p>
    <w:p w14:paraId="44878733" w14:textId="77777777" w:rsidR="007477EA" w:rsidRDefault="002E02EC" w:rsidP="007477EA">
      <w:pPr>
        <w:pStyle w:val="corte4fondo"/>
        <w:spacing w:before="360" w:after="360" w:line="276" w:lineRule="auto"/>
        <w:ind w:right="51"/>
        <w:contextualSpacing/>
        <w:rPr>
          <w:sz w:val="28"/>
          <w:szCs w:val="28"/>
        </w:rPr>
      </w:pPr>
      <w:r w:rsidRPr="000614AE">
        <w:rPr>
          <w:sz w:val="28"/>
          <w:szCs w:val="28"/>
        </w:rPr>
        <w:t xml:space="preserve">En </w:t>
      </w:r>
      <w:r w:rsidR="00542456">
        <w:rPr>
          <w:sz w:val="28"/>
          <w:szCs w:val="28"/>
        </w:rPr>
        <w:t xml:space="preserve">el asunto </w:t>
      </w:r>
      <w:r w:rsidR="00BC27F9" w:rsidRPr="000614AE">
        <w:rPr>
          <w:sz w:val="28"/>
          <w:szCs w:val="28"/>
        </w:rPr>
        <w:t xml:space="preserve">al </w:t>
      </w:r>
      <w:r w:rsidRPr="000614AE">
        <w:rPr>
          <w:sz w:val="28"/>
          <w:szCs w:val="28"/>
        </w:rPr>
        <w:t>rubro citad</w:t>
      </w:r>
      <w:r w:rsidR="00542456">
        <w:rPr>
          <w:sz w:val="28"/>
          <w:szCs w:val="28"/>
        </w:rPr>
        <w:t>o</w:t>
      </w:r>
      <w:r w:rsidRPr="000614AE">
        <w:rPr>
          <w:sz w:val="28"/>
          <w:szCs w:val="28"/>
        </w:rPr>
        <w:t xml:space="preserve">, </w:t>
      </w:r>
      <w:r w:rsidR="00542456">
        <w:rPr>
          <w:sz w:val="28"/>
          <w:szCs w:val="28"/>
        </w:rPr>
        <w:t xml:space="preserve">se planteó la existencia de la contradicción de tesis entre las Salas de este Alto Tribunal, bajo las siguientes premisas: </w:t>
      </w:r>
    </w:p>
    <w:p w14:paraId="0FB40B16" w14:textId="77777777" w:rsidR="007477EA" w:rsidRDefault="007477EA" w:rsidP="007477EA">
      <w:pPr>
        <w:pStyle w:val="corte4fondo"/>
        <w:spacing w:before="360" w:after="360" w:line="276" w:lineRule="auto"/>
        <w:ind w:right="51"/>
        <w:contextualSpacing/>
        <w:rPr>
          <w:sz w:val="28"/>
          <w:szCs w:val="28"/>
        </w:rPr>
      </w:pPr>
    </w:p>
    <w:p w14:paraId="79214C4C" w14:textId="7C2E0C60" w:rsidR="007477EA" w:rsidRDefault="00753AE8" w:rsidP="007477EA">
      <w:pPr>
        <w:pStyle w:val="corte4fondo"/>
        <w:spacing w:before="360" w:after="360" w:line="276" w:lineRule="auto"/>
        <w:ind w:right="51"/>
        <w:contextualSpacing/>
        <w:rPr>
          <w:sz w:val="28"/>
          <w:szCs w:val="28"/>
        </w:rPr>
      </w:pPr>
      <w:r w:rsidRPr="00753AE8">
        <w:rPr>
          <w:rFonts w:cs="Arial"/>
          <w:bCs/>
          <w:sz w:val="28"/>
          <w:szCs w:val="28"/>
        </w:rPr>
        <w:t xml:space="preserve">Se sostuvo que </w:t>
      </w:r>
      <w:r w:rsidR="007477EA">
        <w:rPr>
          <w:rFonts w:cs="Arial"/>
          <w:bCs/>
          <w:sz w:val="28"/>
          <w:szCs w:val="28"/>
        </w:rPr>
        <w:t>l</w:t>
      </w:r>
      <w:r w:rsidR="00542456" w:rsidRPr="00753AE8">
        <w:rPr>
          <w:rFonts w:cs="Arial"/>
          <w:bCs/>
          <w:sz w:val="28"/>
          <w:szCs w:val="28"/>
        </w:rPr>
        <w:t xml:space="preserve">as Salas al resolver las cuestiones litigiosas sometidas a su consideración, se vieron en la necesidad de ejercer </w:t>
      </w:r>
      <w:r w:rsidR="007477EA">
        <w:rPr>
          <w:rFonts w:cs="Arial"/>
          <w:bCs/>
          <w:sz w:val="28"/>
          <w:szCs w:val="28"/>
        </w:rPr>
        <w:t xml:space="preserve">su </w:t>
      </w:r>
      <w:r w:rsidR="00542456" w:rsidRPr="00753AE8">
        <w:rPr>
          <w:rFonts w:cs="Arial"/>
          <w:bCs/>
          <w:sz w:val="28"/>
          <w:szCs w:val="28"/>
        </w:rPr>
        <w:t>arbitrio judicial para decidir, en cada caso, si los días establecidos como inhábiles para las autoridades responsables en el juicio de amparo directo y los días no laborables por el órgano colegiado que resolverá de la demanda de amparo, deb</w:t>
      </w:r>
      <w:r w:rsidR="007477EA">
        <w:rPr>
          <w:rFonts w:cs="Arial"/>
          <w:bCs/>
          <w:sz w:val="28"/>
          <w:szCs w:val="28"/>
        </w:rPr>
        <w:t xml:space="preserve">en </w:t>
      </w:r>
      <w:r w:rsidR="00542456" w:rsidRPr="00753AE8">
        <w:rPr>
          <w:rFonts w:cs="Arial"/>
          <w:bCs/>
          <w:sz w:val="28"/>
          <w:szCs w:val="28"/>
        </w:rPr>
        <w:t>ser tomados en cuenta para efecto de realizar el cómputo del plazo que tienen los quejosos para presentar la demanda de mérito</w:t>
      </w:r>
      <w:r w:rsidR="00EB22F7">
        <w:rPr>
          <w:rFonts w:cs="Arial"/>
          <w:bCs/>
          <w:sz w:val="28"/>
          <w:szCs w:val="28"/>
        </w:rPr>
        <w:t xml:space="preserve">; ello, </w:t>
      </w:r>
      <w:r w:rsidR="00F3097A">
        <w:rPr>
          <w:rFonts w:cs="Arial"/>
          <w:bCs/>
          <w:sz w:val="28"/>
          <w:szCs w:val="28"/>
        </w:rPr>
        <w:t>al tenor de los siguientes razonamientos</w:t>
      </w:r>
      <w:r w:rsidR="00542456" w:rsidRPr="00753AE8">
        <w:rPr>
          <w:rFonts w:cs="Arial"/>
          <w:bCs/>
          <w:sz w:val="28"/>
          <w:szCs w:val="28"/>
        </w:rPr>
        <w:t>.</w:t>
      </w:r>
    </w:p>
    <w:p w14:paraId="77A9CCE8" w14:textId="77777777" w:rsidR="007477EA" w:rsidRDefault="007477EA" w:rsidP="007477EA">
      <w:pPr>
        <w:pStyle w:val="corte4fondo"/>
        <w:spacing w:before="360" w:after="360" w:line="276" w:lineRule="auto"/>
        <w:ind w:right="51"/>
        <w:contextualSpacing/>
        <w:rPr>
          <w:sz w:val="28"/>
          <w:szCs w:val="28"/>
        </w:rPr>
      </w:pPr>
    </w:p>
    <w:p w14:paraId="147E9F34" w14:textId="77777777" w:rsidR="00AB0CD1" w:rsidRDefault="007A73F6" w:rsidP="007477EA">
      <w:pPr>
        <w:pStyle w:val="corte4fondo"/>
        <w:spacing w:before="360" w:after="360" w:line="276" w:lineRule="auto"/>
        <w:ind w:right="51"/>
        <w:contextualSpacing/>
        <w:rPr>
          <w:rFonts w:cs="Arial"/>
          <w:bCs/>
          <w:sz w:val="28"/>
          <w:szCs w:val="28"/>
        </w:rPr>
      </w:pPr>
      <w:r>
        <w:rPr>
          <w:sz w:val="28"/>
          <w:szCs w:val="28"/>
        </w:rPr>
        <w:t xml:space="preserve">La </w:t>
      </w:r>
      <w:r w:rsidR="00542456" w:rsidRPr="006841F4">
        <w:rPr>
          <w:rFonts w:cs="Arial"/>
          <w:bCs/>
          <w:sz w:val="28"/>
          <w:szCs w:val="28"/>
        </w:rPr>
        <w:t>Primera Sala al</w:t>
      </w:r>
      <w:r w:rsidR="00542456" w:rsidRPr="00753AE8">
        <w:rPr>
          <w:rFonts w:cs="Arial"/>
          <w:bCs/>
          <w:sz w:val="28"/>
          <w:szCs w:val="28"/>
        </w:rPr>
        <w:t xml:space="preserve"> resolver el amparo directo en revisión 8480/2019, determinó que la interpretación realizada por el Tribunal Colegiado sobre los días que deben descontarse del cómputo para determinar la oportunidad de la presentación de la demanda de amparo directo resultó contraria al principio de certeza jurídica y acceso a la justicia</w:t>
      </w:r>
      <w:r w:rsidR="00415409">
        <w:rPr>
          <w:rFonts w:cs="Arial"/>
          <w:bCs/>
          <w:sz w:val="28"/>
          <w:szCs w:val="28"/>
        </w:rPr>
        <w:t xml:space="preserve">, pues de </w:t>
      </w:r>
      <w:r w:rsidR="00542456" w:rsidRPr="00753AE8">
        <w:rPr>
          <w:rFonts w:cs="Arial"/>
          <w:bCs/>
          <w:sz w:val="28"/>
          <w:szCs w:val="28"/>
        </w:rPr>
        <w:t>la lectura del artículo 19 de la Ley de Amparo</w:t>
      </w:r>
      <w:r w:rsidR="00415409">
        <w:rPr>
          <w:rFonts w:cs="Arial"/>
          <w:bCs/>
          <w:sz w:val="28"/>
          <w:szCs w:val="28"/>
        </w:rPr>
        <w:t xml:space="preserve"> no </w:t>
      </w:r>
      <w:r w:rsidR="00542456" w:rsidRPr="00753AE8">
        <w:rPr>
          <w:rFonts w:cs="Arial"/>
          <w:bCs/>
          <w:sz w:val="28"/>
          <w:szCs w:val="28"/>
        </w:rPr>
        <w:t>es posible desentrañar dos sistemas distintos para determinar los días considerados inhábiles para la promoción del juicio de amparo directo, como lo realizó el órgano colegiado</w:t>
      </w:r>
      <w:r w:rsidR="00AB0CD1">
        <w:rPr>
          <w:rFonts w:cs="Arial"/>
          <w:bCs/>
          <w:sz w:val="28"/>
          <w:szCs w:val="28"/>
        </w:rPr>
        <w:t xml:space="preserve">. </w:t>
      </w:r>
    </w:p>
    <w:p w14:paraId="32F70353" w14:textId="77777777" w:rsidR="00AB0CD1" w:rsidRDefault="00AB0CD1" w:rsidP="007477EA">
      <w:pPr>
        <w:pStyle w:val="corte4fondo"/>
        <w:spacing w:before="360" w:after="360" w:line="276" w:lineRule="auto"/>
        <w:ind w:right="51"/>
        <w:contextualSpacing/>
        <w:rPr>
          <w:rFonts w:cs="Arial"/>
          <w:bCs/>
          <w:sz w:val="28"/>
          <w:szCs w:val="28"/>
        </w:rPr>
      </w:pPr>
    </w:p>
    <w:p w14:paraId="5946AD0B" w14:textId="77777777" w:rsidR="00F262C7" w:rsidRDefault="00AB0CD1" w:rsidP="00F262C7">
      <w:pPr>
        <w:pStyle w:val="corte4fondo"/>
        <w:spacing w:before="360" w:after="360" w:line="276" w:lineRule="auto"/>
        <w:ind w:right="51"/>
        <w:contextualSpacing/>
        <w:rPr>
          <w:rFonts w:cs="Arial"/>
          <w:bCs/>
          <w:sz w:val="28"/>
          <w:szCs w:val="28"/>
        </w:rPr>
      </w:pPr>
      <w:r>
        <w:rPr>
          <w:rFonts w:cs="Arial"/>
          <w:bCs/>
          <w:sz w:val="28"/>
          <w:szCs w:val="28"/>
        </w:rPr>
        <w:t xml:space="preserve">La Sala indicó que </w:t>
      </w:r>
      <w:r w:rsidR="00542456" w:rsidRPr="00753AE8">
        <w:rPr>
          <w:rFonts w:cs="Arial"/>
          <w:bCs/>
          <w:sz w:val="28"/>
          <w:szCs w:val="28"/>
        </w:rPr>
        <w:t xml:space="preserve">la </w:t>
      </w:r>
      <w:r>
        <w:rPr>
          <w:rFonts w:cs="Arial"/>
          <w:bCs/>
          <w:sz w:val="28"/>
          <w:szCs w:val="28"/>
        </w:rPr>
        <w:t>l</w:t>
      </w:r>
      <w:r w:rsidR="00542456" w:rsidRPr="00753AE8">
        <w:rPr>
          <w:rFonts w:cs="Arial"/>
          <w:bCs/>
          <w:sz w:val="28"/>
          <w:szCs w:val="28"/>
        </w:rPr>
        <w:t>ey en la materia es clara en cuanto a los días que serán considerados inhábiles para los referidos fines; y el precepto en cuestión no distingue si se trata de la promoción de un juicio de amparo directo o indirecto, pues se refiere a la promoción, sustanciación y resolución de manera general.</w:t>
      </w:r>
    </w:p>
    <w:p w14:paraId="705691D7" w14:textId="77777777" w:rsidR="00F262C7" w:rsidRDefault="00F262C7" w:rsidP="00F262C7">
      <w:pPr>
        <w:pStyle w:val="corte4fondo"/>
        <w:spacing w:before="360" w:after="360" w:line="276" w:lineRule="auto"/>
        <w:ind w:right="51"/>
        <w:contextualSpacing/>
        <w:rPr>
          <w:rFonts w:cs="Arial"/>
          <w:bCs/>
          <w:sz w:val="28"/>
          <w:szCs w:val="28"/>
        </w:rPr>
      </w:pPr>
    </w:p>
    <w:p w14:paraId="3A4D05D3" w14:textId="623F3D4C" w:rsidR="002B09DD" w:rsidRDefault="00F262C7" w:rsidP="002B09DD">
      <w:pPr>
        <w:pStyle w:val="corte4fondo"/>
        <w:spacing w:before="360" w:after="360" w:line="276" w:lineRule="auto"/>
        <w:ind w:right="51"/>
        <w:contextualSpacing/>
        <w:rPr>
          <w:sz w:val="28"/>
          <w:szCs w:val="28"/>
        </w:rPr>
      </w:pPr>
      <w:r>
        <w:rPr>
          <w:rFonts w:cs="Arial"/>
          <w:bCs/>
          <w:sz w:val="28"/>
          <w:szCs w:val="28"/>
        </w:rPr>
        <w:t xml:space="preserve">Sin que el </w:t>
      </w:r>
      <w:r w:rsidR="00542456" w:rsidRPr="00753AE8">
        <w:rPr>
          <w:rFonts w:cs="Arial"/>
          <w:bCs/>
          <w:sz w:val="28"/>
          <w:szCs w:val="28"/>
        </w:rPr>
        <w:t>artículo resulta</w:t>
      </w:r>
      <w:r>
        <w:rPr>
          <w:rFonts w:cs="Arial"/>
          <w:bCs/>
          <w:sz w:val="28"/>
          <w:szCs w:val="28"/>
        </w:rPr>
        <w:t>ra</w:t>
      </w:r>
      <w:r w:rsidR="00542456" w:rsidRPr="00753AE8">
        <w:rPr>
          <w:rFonts w:cs="Arial"/>
          <w:bCs/>
          <w:sz w:val="28"/>
          <w:szCs w:val="28"/>
        </w:rPr>
        <w:t xml:space="preserve"> inconstitucional por sí mismo, </w:t>
      </w:r>
      <w:r w:rsidR="00C91495">
        <w:rPr>
          <w:rFonts w:cs="Arial"/>
          <w:bCs/>
          <w:sz w:val="28"/>
          <w:szCs w:val="28"/>
        </w:rPr>
        <w:t xml:space="preserve">dijo, </w:t>
      </w:r>
      <w:r w:rsidR="00542456" w:rsidRPr="00753AE8">
        <w:rPr>
          <w:rFonts w:cs="Arial"/>
          <w:bCs/>
          <w:sz w:val="28"/>
          <w:szCs w:val="28"/>
        </w:rPr>
        <w:t xml:space="preserve">sino que lo que generó inseguridad jurídica para el quejoso fue la interpretación realizada por el órgano colegiado, pues incluyó en el </w:t>
      </w:r>
      <w:r w:rsidR="00542456" w:rsidRPr="00753AE8">
        <w:rPr>
          <w:rFonts w:cs="Arial"/>
          <w:bCs/>
          <w:sz w:val="28"/>
          <w:szCs w:val="28"/>
        </w:rPr>
        <w:lastRenderedPageBreak/>
        <w:t xml:space="preserve">cómputo para determinar la extemporaneidad de la demanda un día que por disposición expresa de la ley es inhábil para efectos de la promoción del juicio. </w:t>
      </w:r>
    </w:p>
    <w:p w14:paraId="6F7E1842" w14:textId="77777777" w:rsidR="002B09DD" w:rsidRDefault="002B09DD" w:rsidP="002B09DD">
      <w:pPr>
        <w:pStyle w:val="corte4fondo"/>
        <w:spacing w:before="360" w:after="360" w:line="276" w:lineRule="auto"/>
        <w:ind w:right="51"/>
        <w:contextualSpacing/>
        <w:rPr>
          <w:sz w:val="28"/>
          <w:szCs w:val="28"/>
        </w:rPr>
      </w:pPr>
    </w:p>
    <w:p w14:paraId="27A0F785" w14:textId="77777777" w:rsidR="00285AFB" w:rsidRDefault="00542456" w:rsidP="00285AFB">
      <w:pPr>
        <w:pStyle w:val="corte4fondo"/>
        <w:spacing w:before="360" w:after="360" w:line="276" w:lineRule="auto"/>
        <w:ind w:right="51"/>
        <w:contextualSpacing/>
        <w:rPr>
          <w:sz w:val="28"/>
          <w:szCs w:val="28"/>
        </w:rPr>
      </w:pPr>
      <w:r w:rsidRPr="00753AE8">
        <w:rPr>
          <w:rFonts w:cs="Arial"/>
          <w:bCs/>
          <w:sz w:val="28"/>
          <w:szCs w:val="28"/>
        </w:rPr>
        <w:t xml:space="preserve">De ahí concluyó que para el cómputo del plazo para la presentación de la demanda de amparo deben considerarse inhábiles los días que así contempla la Ley de Amparo, aunque hayan sido hábiles para las autoridades responsables, así como aquellos días en que la autoridad responsable haya suspendido sus labores o que no pueda funcionar por causa de fuerza mayor, por ser esta autoridad ante quien se presenta la demanda. </w:t>
      </w:r>
    </w:p>
    <w:p w14:paraId="0D186D5C" w14:textId="77777777" w:rsidR="00285AFB" w:rsidRDefault="00285AFB" w:rsidP="00285AFB">
      <w:pPr>
        <w:pStyle w:val="corte4fondo"/>
        <w:spacing w:before="360" w:after="360" w:line="276" w:lineRule="auto"/>
        <w:ind w:right="51"/>
        <w:contextualSpacing/>
        <w:rPr>
          <w:sz w:val="28"/>
          <w:szCs w:val="28"/>
        </w:rPr>
      </w:pPr>
    </w:p>
    <w:p w14:paraId="0A523D0E" w14:textId="77777777" w:rsidR="004A5363" w:rsidRDefault="00285AFB" w:rsidP="004A5363">
      <w:pPr>
        <w:pStyle w:val="corte4fondo"/>
        <w:spacing w:before="360" w:after="360" w:line="276" w:lineRule="auto"/>
        <w:ind w:right="51"/>
        <w:contextualSpacing/>
        <w:rPr>
          <w:sz w:val="28"/>
          <w:szCs w:val="28"/>
        </w:rPr>
      </w:pPr>
      <w:r>
        <w:rPr>
          <w:rFonts w:cs="Arial"/>
          <w:bCs/>
          <w:sz w:val="28"/>
          <w:szCs w:val="28"/>
        </w:rPr>
        <w:t xml:space="preserve">Por su parte, </w:t>
      </w:r>
      <w:r w:rsidR="00542456" w:rsidRPr="00753AE8">
        <w:rPr>
          <w:rFonts w:cs="Arial"/>
          <w:bCs/>
          <w:sz w:val="28"/>
          <w:szCs w:val="28"/>
        </w:rPr>
        <w:t xml:space="preserve">la </w:t>
      </w:r>
      <w:r w:rsidR="00542456" w:rsidRPr="006841F4">
        <w:rPr>
          <w:rFonts w:cs="Arial"/>
          <w:bCs/>
          <w:sz w:val="28"/>
          <w:szCs w:val="28"/>
        </w:rPr>
        <w:t>Segunda Sala al</w:t>
      </w:r>
      <w:r w:rsidR="00542456" w:rsidRPr="00753AE8">
        <w:rPr>
          <w:rFonts w:cs="Arial"/>
          <w:bCs/>
          <w:sz w:val="28"/>
          <w:szCs w:val="28"/>
        </w:rPr>
        <w:t xml:space="preserve"> resolver la contradicción de tesis 19/2018, consideró que la Ley de Amparo al establecer reglas y plazos para la promoción de la demanda de amparo directo, y que su presentación es ante la autoridad responsable y no ante el Tribunal Colegiado de Circuito, </w:t>
      </w:r>
      <w:r w:rsidR="00C1674F">
        <w:rPr>
          <w:rFonts w:cs="Arial"/>
          <w:bCs/>
          <w:sz w:val="28"/>
          <w:szCs w:val="28"/>
        </w:rPr>
        <w:t xml:space="preserve">entonces, </w:t>
      </w:r>
      <w:r w:rsidR="00542456" w:rsidRPr="00753AE8">
        <w:rPr>
          <w:rFonts w:cs="Arial"/>
          <w:bCs/>
          <w:sz w:val="28"/>
          <w:szCs w:val="28"/>
        </w:rPr>
        <w:t>es ante el órgano responsable en donde comienza el trámite del juicio de amparo.</w:t>
      </w:r>
    </w:p>
    <w:p w14:paraId="78650FF6" w14:textId="77777777" w:rsidR="004A5363" w:rsidRDefault="004A5363" w:rsidP="004A5363">
      <w:pPr>
        <w:pStyle w:val="corte4fondo"/>
        <w:spacing w:before="360" w:after="360" w:line="276" w:lineRule="auto"/>
        <w:ind w:right="51"/>
        <w:contextualSpacing/>
        <w:rPr>
          <w:sz w:val="28"/>
          <w:szCs w:val="28"/>
        </w:rPr>
      </w:pPr>
    </w:p>
    <w:p w14:paraId="392AF36F" w14:textId="77777777" w:rsidR="00C4034E" w:rsidRDefault="004A5363" w:rsidP="00C4034E">
      <w:pPr>
        <w:pStyle w:val="corte4fondo"/>
        <w:spacing w:before="360" w:after="360" w:line="276" w:lineRule="auto"/>
        <w:ind w:right="51"/>
        <w:contextualSpacing/>
        <w:rPr>
          <w:sz w:val="28"/>
          <w:szCs w:val="28"/>
        </w:rPr>
      </w:pPr>
      <w:r>
        <w:rPr>
          <w:sz w:val="28"/>
          <w:szCs w:val="28"/>
        </w:rPr>
        <w:t xml:space="preserve">Indicó que </w:t>
      </w:r>
      <w:r w:rsidR="00542456" w:rsidRPr="00753AE8">
        <w:rPr>
          <w:rFonts w:cs="Arial"/>
          <w:bCs/>
          <w:sz w:val="28"/>
          <w:szCs w:val="28"/>
        </w:rPr>
        <w:t>si bien el artículo 19 de la Ley de Amparo establece a favor del quejoso una excepción de no incluir en el cómputo los días en que se suspendan las labores en el órgano jurisdiccional ante quien se tramita el juicio de amparo, dicha excepción está relacionada con la autoridad responsable que inicia el trámite del juicio de amparo directo</w:t>
      </w:r>
      <w:r w:rsidR="00C4034E">
        <w:rPr>
          <w:rFonts w:cs="Arial"/>
          <w:bCs/>
          <w:sz w:val="28"/>
          <w:szCs w:val="28"/>
        </w:rPr>
        <w:t xml:space="preserve">, por lo que </w:t>
      </w:r>
      <w:r w:rsidR="00542456" w:rsidRPr="00753AE8">
        <w:rPr>
          <w:rFonts w:cs="Arial"/>
          <w:bCs/>
          <w:sz w:val="28"/>
          <w:szCs w:val="28"/>
        </w:rPr>
        <w:t>aun cuando el Tribunal Colegiado de Circuito haya dejado de laborar algunos días, en nada incide, porque el cómputo respectivo para determinar si está en tiempo la demanda está relacionado con la autoridad responsable que la recibe.</w:t>
      </w:r>
    </w:p>
    <w:p w14:paraId="3A09172A" w14:textId="77777777" w:rsidR="00C4034E" w:rsidRDefault="00C4034E" w:rsidP="00C4034E">
      <w:pPr>
        <w:pStyle w:val="corte4fondo"/>
        <w:spacing w:before="360" w:after="360" w:line="276" w:lineRule="auto"/>
        <w:ind w:right="51"/>
        <w:contextualSpacing/>
        <w:rPr>
          <w:sz w:val="28"/>
          <w:szCs w:val="28"/>
        </w:rPr>
      </w:pPr>
    </w:p>
    <w:p w14:paraId="57C76BF6" w14:textId="74D4099E" w:rsidR="00A07D10" w:rsidRDefault="00DC5CFE" w:rsidP="006841F4">
      <w:pPr>
        <w:pStyle w:val="corte4fondo"/>
        <w:spacing w:before="360" w:after="360" w:line="276" w:lineRule="auto"/>
        <w:ind w:right="51"/>
        <w:contextualSpacing/>
        <w:rPr>
          <w:sz w:val="28"/>
          <w:szCs w:val="28"/>
        </w:rPr>
      </w:pPr>
      <w:r>
        <w:rPr>
          <w:sz w:val="28"/>
          <w:szCs w:val="28"/>
        </w:rPr>
        <w:t>Razón por la cual</w:t>
      </w:r>
      <w:r w:rsidR="006841F4">
        <w:rPr>
          <w:sz w:val="28"/>
          <w:szCs w:val="28"/>
        </w:rPr>
        <w:t xml:space="preserve">, </w:t>
      </w:r>
      <w:r w:rsidR="00C4034E">
        <w:rPr>
          <w:rFonts w:cs="Arial"/>
          <w:bCs/>
          <w:sz w:val="28"/>
          <w:szCs w:val="28"/>
        </w:rPr>
        <w:t xml:space="preserve">la Segunda Sala </w:t>
      </w:r>
      <w:r w:rsidR="00542456" w:rsidRPr="00753AE8">
        <w:rPr>
          <w:rFonts w:cs="Arial"/>
          <w:bCs/>
          <w:sz w:val="28"/>
          <w:szCs w:val="28"/>
        </w:rPr>
        <w:t xml:space="preserve">concluyó </w:t>
      </w:r>
      <w:proofErr w:type="gramStart"/>
      <w:r w:rsidR="00542456" w:rsidRPr="00753AE8">
        <w:rPr>
          <w:rFonts w:cs="Arial"/>
          <w:bCs/>
          <w:sz w:val="28"/>
          <w:szCs w:val="28"/>
        </w:rPr>
        <w:t>que</w:t>
      </w:r>
      <w:proofErr w:type="gramEnd"/>
      <w:r w:rsidR="00542456" w:rsidRPr="00753AE8">
        <w:rPr>
          <w:rFonts w:cs="Arial"/>
          <w:bCs/>
          <w:sz w:val="28"/>
          <w:szCs w:val="28"/>
        </w:rPr>
        <w:t xml:space="preserve"> para el cómputo del término para la presentación de la demanda</w:t>
      </w:r>
      <w:r w:rsidR="007445D1">
        <w:rPr>
          <w:rFonts w:cs="Arial"/>
          <w:bCs/>
          <w:sz w:val="28"/>
          <w:szCs w:val="28"/>
        </w:rPr>
        <w:t>,</w:t>
      </w:r>
      <w:r w:rsidR="00542456" w:rsidRPr="00753AE8">
        <w:rPr>
          <w:rFonts w:cs="Arial"/>
          <w:bCs/>
          <w:sz w:val="28"/>
          <w:szCs w:val="28"/>
        </w:rPr>
        <w:t xml:space="preserve"> deben excluirse los días inhábiles de la autoridad responsable, sin que sea conducente que se excluyan los días en que el tribunal colegiado haya dejado de laborar. </w:t>
      </w:r>
    </w:p>
    <w:p w14:paraId="5A80E2AA" w14:textId="77777777" w:rsidR="00A07D10" w:rsidRDefault="00A07D10" w:rsidP="00A07D10">
      <w:pPr>
        <w:pStyle w:val="corte4fondo"/>
        <w:spacing w:before="360" w:after="360" w:line="276" w:lineRule="auto"/>
        <w:ind w:right="51"/>
        <w:contextualSpacing/>
        <w:rPr>
          <w:sz w:val="28"/>
          <w:szCs w:val="28"/>
        </w:rPr>
      </w:pPr>
    </w:p>
    <w:p w14:paraId="4CF81F50" w14:textId="4DEE847F" w:rsidR="00A07D10" w:rsidRDefault="007445D1" w:rsidP="00A07D10">
      <w:pPr>
        <w:pStyle w:val="corte4fondo"/>
        <w:spacing w:before="360" w:after="360" w:line="276" w:lineRule="auto"/>
        <w:ind w:right="51"/>
        <w:contextualSpacing/>
        <w:rPr>
          <w:sz w:val="28"/>
          <w:szCs w:val="28"/>
        </w:rPr>
      </w:pPr>
      <w:r w:rsidRPr="007445D1">
        <w:rPr>
          <w:rFonts w:cs="Arial"/>
          <w:sz w:val="28"/>
          <w:szCs w:val="28"/>
        </w:rPr>
        <w:lastRenderedPageBreak/>
        <w:t xml:space="preserve">Con base en ello, </w:t>
      </w:r>
      <w:r>
        <w:rPr>
          <w:rFonts w:cs="Arial"/>
          <w:sz w:val="28"/>
          <w:szCs w:val="28"/>
        </w:rPr>
        <w:t xml:space="preserve">la mayoría del </w:t>
      </w:r>
      <w:r w:rsidR="00542456" w:rsidRPr="007445D1">
        <w:rPr>
          <w:rFonts w:cs="Arial"/>
          <w:sz w:val="28"/>
          <w:szCs w:val="28"/>
        </w:rPr>
        <w:t>Tribunal Pleno consider</w:t>
      </w:r>
      <w:r>
        <w:rPr>
          <w:rFonts w:cs="Arial"/>
          <w:sz w:val="28"/>
          <w:szCs w:val="28"/>
        </w:rPr>
        <w:t xml:space="preserve">ó </w:t>
      </w:r>
      <w:proofErr w:type="gramStart"/>
      <w:r w:rsidR="00542456" w:rsidRPr="007445D1">
        <w:rPr>
          <w:rFonts w:cs="Arial"/>
          <w:sz w:val="28"/>
          <w:szCs w:val="28"/>
        </w:rPr>
        <w:t>que</w:t>
      </w:r>
      <w:proofErr w:type="gramEnd"/>
      <w:r w:rsidR="00542456" w:rsidRPr="007445D1">
        <w:rPr>
          <w:rFonts w:cs="Arial"/>
          <w:sz w:val="28"/>
          <w:szCs w:val="28"/>
        </w:rPr>
        <w:t xml:space="preserve"> entre los ejercicios interpretativos realizados por las Salas contendientes</w:t>
      </w:r>
      <w:r w:rsidR="00571A40">
        <w:rPr>
          <w:rFonts w:cs="Arial"/>
          <w:sz w:val="28"/>
          <w:szCs w:val="28"/>
        </w:rPr>
        <w:t xml:space="preserve">, </w:t>
      </w:r>
      <w:r w:rsidR="00542456" w:rsidRPr="007445D1">
        <w:rPr>
          <w:rFonts w:cs="Arial"/>
          <w:sz w:val="28"/>
          <w:szCs w:val="28"/>
        </w:rPr>
        <w:t>exist</w:t>
      </w:r>
      <w:r w:rsidR="00961E4D">
        <w:rPr>
          <w:rFonts w:cs="Arial"/>
          <w:sz w:val="28"/>
          <w:szCs w:val="28"/>
        </w:rPr>
        <w:t xml:space="preserve">ía </w:t>
      </w:r>
      <w:r w:rsidR="00542456" w:rsidRPr="007445D1">
        <w:rPr>
          <w:rFonts w:cs="Arial"/>
          <w:sz w:val="28"/>
          <w:szCs w:val="28"/>
        </w:rPr>
        <w:t>un punto de toque con respecto a la resolución de un mismo problema jurídico.</w:t>
      </w:r>
    </w:p>
    <w:p w14:paraId="616D476F" w14:textId="77777777" w:rsidR="00A07D10" w:rsidRDefault="00A07D10" w:rsidP="00A07D10">
      <w:pPr>
        <w:pStyle w:val="corte4fondo"/>
        <w:spacing w:before="360" w:after="360" w:line="276" w:lineRule="auto"/>
        <w:ind w:right="51"/>
        <w:contextualSpacing/>
        <w:rPr>
          <w:sz w:val="28"/>
          <w:szCs w:val="28"/>
        </w:rPr>
      </w:pPr>
    </w:p>
    <w:p w14:paraId="2F18E32C" w14:textId="77777777" w:rsidR="00A07D10" w:rsidRDefault="00961E4D" w:rsidP="00A07D10">
      <w:pPr>
        <w:pStyle w:val="corte4fondo"/>
        <w:spacing w:before="360" w:after="360" w:line="276" w:lineRule="auto"/>
        <w:ind w:right="51"/>
        <w:contextualSpacing/>
        <w:rPr>
          <w:sz w:val="28"/>
          <w:szCs w:val="28"/>
        </w:rPr>
      </w:pPr>
      <w:r>
        <w:rPr>
          <w:rFonts w:cs="Arial"/>
          <w:sz w:val="28"/>
          <w:szCs w:val="28"/>
        </w:rPr>
        <w:t xml:space="preserve">Por un lado, porque </w:t>
      </w:r>
      <w:r w:rsidR="00542456" w:rsidRPr="00753AE8">
        <w:rPr>
          <w:rFonts w:cs="Arial"/>
          <w:sz w:val="28"/>
          <w:szCs w:val="28"/>
        </w:rPr>
        <w:t>la Primera Sala resolvió que, para efecto de dotar de certeza jurídica a los justiciables, para el cómputo de la presentación de la demanda de amparo directo, deben considerarse como inhábiles los días que contempla la Ley de Amparo, aunque hayan sido hábiles para las autoridades responsables.</w:t>
      </w:r>
    </w:p>
    <w:p w14:paraId="08049C48" w14:textId="77777777" w:rsidR="00A07D10" w:rsidRDefault="00A07D10" w:rsidP="00A07D10">
      <w:pPr>
        <w:pStyle w:val="corte4fondo"/>
        <w:spacing w:before="360" w:after="360" w:line="276" w:lineRule="auto"/>
        <w:ind w:right="51"/>
        <w:contextualSpacing/>
        <w:rPr>
          <w:sz w:val="28"/>
          <w:szCs w:val="28"/>
        </w:rPr>
      </w:pPr>
    </w:p>
    <w:p w14:paraId="5FBDC5B5" w14:textId="77777777" w:rsidR="00A07D10" w:rsidRDefault="00542456" w:rsidP="00A07D10">
      <w:pPr>
        <w:pStyle w:val="corte4fondo"/>
        <w:spacing w:before="360" w:after="360" w:line="276" w:lineRule="auto"/>
        <w:ind w:right="51"/>
        <w:contextualSpacing/>
        <w:rPr>
          <w:sz w:val="28"/>
          <w:szCs w:val="28"/>
        </w:rPr>
      </w:pPr>
      <w:r w:rsidRPr="00753AE8">
        <w:rPr>
          <w:rFonts w:cs="Arial"/>
          <w:sz w:val="28"/>
          <w:szCs w:val="28"/>
        </w:rPr>
        <w:t>En contraste, la Segunda Sala determinó para el mismo cómputo, que sólo deben considerarse los días inhábiles de la autoridad responsable, por ser ante quien se inicia la tramitación del juicio, y no deben excluirse del cómputo respectivo los días en los que el Tribunal Colegiado de Circuito haya suspendido sus labores.</w:t>
      </w:r>
    </w:p>
    <w:p w14:paraId="2D0F0CDA" w14:textId="77777777" w:rsidR="00A07D10" w:rsidRDefault="00A07D10" w:rsidP="00A07D10">
      <w:pPr>
        <w:pStyle w:val="corte4fondo"/>
        <w:spacing w:before="360" w:after="360" w:line="276" w:lineRule="auto"/>
        <w:ind w:right="51"/>
        <w:contextualSpacing/>
        <w:rPr>
          <w:sz w:val="28"/>
          <w:szCs w:val="28"/>
        </w:rPr>
      </w:pPr>
    </w:p>
    <w:p w14:paraId="7B75F5F7" w14:textId="03AEB750" w:rsidR="00542456" w:rsidRPr="00E37214" w:rsidRDefault="00A07D10" w:rsidP="00A07D10">
      <w:pPr>
        <w:pStyle w:val="corte4fondo"/>
        <w:spacing w:before="360" w:after="360" w:line="276" w:lineRule="auto"/>
        <w:ind w:right="51"/>
        <w:contextualSpacing/>
        <w:rPr>
          <w:sz w:val="28"/>
          <w:szCs w:val="28"/>
        </w:rPr>
      </w:pPr>
      <w:r>
        <w:rPr>
          <w:sz w:val="28"/>
          <w:szCs w:val="28"/>
        </w:rPr>
        <w:t>Concluy</w:t>
      </w:r>
      <w:r w:rsidR="009B730E">
        <w:rPr>
          <w:sz w:val="28"/>
          <w:szCs w:val="28"/>
        </w:rPr>
        <w:t xml:space="preserve">endo </w:t>
      </w:r>
      <w:r>
        <w:rPr>
          <w:sz w:val="28"/>
          <w:szCs w:val="28"/>
        </w:rPr>
        <w:t xml:space="preserve">así, </w:t>
      </w:r>
      <w:r w:rsidR="00542456" w:rsidRPr="00753AE8">
        <w:rPr>
          <w:rFonts w:cs="Arial"/>
          <w:sz w:val="28"/>
          <w:szCs w:val="28"/>
        </w:rPr>
        <w:t xml:space="preserve">que el </w:t>
      </w:r>
      <w:r w:rsidR="00542456" w:rsidRPr="006B48B6">
        <w:rPr>
          <w:rFonts w:cs="Arial"/>
          <w:sz w:val="28"/>
          <w:szCs w:val="28"/>
        </w:rPr>
        <w:t>punto de contradicción</w:t>
      </w:r>
      <w:r w:rsidR="00542456" w:rsidRPr="00753AE8">
        <w:rPr>
          <w:rFonts w:cs="Arial"/>
          <w:sz w:val="28"/>
          <w:szCs w:val="28"/>
        </w:rPr>
        <w:t xml:space="preserve"> entre dichos criterios </w:t>
      </w:r>
      <w:r w:rsidR="006B48B6">
        <w:rPr>
          <w:rFonts w:cs="Arial"/>
          <w:sz w:val="28"/>
          <w:szCs w:val="28"/>
        </w:rPr>
        <w:t xml:space="preserve">es el consistente </w:t>
      </w:r>
      <w:r w:rsidR="00542456" w:rsidRPr="00753AE8">
        <w:rPr>
          <w:rFonts w:cs="Arial"/>
          <w:sz w:val="28"/>
          <w:szCs w:val="28"/>
        </w:rPr>
        <w:t>en dilucidar</w:t>
      </w:r>
      <w:r>
        <w:rPr>
          <w:rFonts w:cs="Arial"/>
          <w:sz w:val="28"/>
          <w:szCs w:val="28"/>
        </w:rPr>
        <w:t xml:space="preserve">: </w:t>
      </w:r>
      <w:r w:rsidR="00384DBA" w:rsidRPr="00E37214">
        <w:rPr>
          <w:rFonts w:cs="Arial"/>
          <w:i/>
          <w:iCs/>
          <w:sz w:val="28"/>
          <w:szCs w:val="28"/>
        </w:rPr>
        <w:t>S</w:t>
      </w:r>
      <w:r w:rsidR="00542456" w:rsidRPr="00E37214">
        <w:rPr>
          <w:rFonts w:cs="Arial"/>
          <w:i/>
          <w:iCs/>
          <w:sz w:val="28"/>
          <w:szCs w:val="28"/>
        </w:rPr>
        <w:t>i para la presentación de la demanda de amparo directo deben descontarse del cómputo únicamente los días inhábiles o no laborables para la autoridad responsable, o también aquellos señalados en el artículo 19 de la Ley de Amparo.</w:t>
      </w:r>
    </w:p>
    <w:p w14:paraId="7769F0A0" w14:textId="77777777" w:rsidR="00542456" w:rsidRPr="00753AE8" w:rsidRDefault="00542456" w:rsidP="00542456">
      <w:pPr>
        <w:pStyle w:val="corte4fondo"/>
        <w:spacing w:line="240" w:lineRule="auto"/>
        <w:ind w:right="58" w:firstLine="708"/>
        <w:rPr>
          <w:rFonts w:cs="Arial"/>
          <w:b/>
          <w:bCs/>
          <w:sz w:val="28"/>
          <w:szCs w:val="28"/>
        </w:rPr>
      </w:pPr>
    </w:p>
    <w:p w14:paraId="5DBA6940" w14:textId="4DFF08CB" w:rsidR="00DA778F" w:rsidRPr="00DA778F" w:rsidRDefault="00384DBA" w:rsidP="00EB04D6">
      <w:pPr>
        <w:pStyle w:val="corte4fondo"/>
        <w:spacing w:before="360" w:after="360" w:line="276" w:lineRule="auto"/>
        <w:ind w:right="51"/>
        <w:contextualSpacing/>
        <w:rPr>
          <w:rFonts w:eastAsia="Calibri" w:cs="Arial"/>
          <w:sz w:val="28"/>
          <w:szCs w:val="28"/>
          <w:lang w:eastAsia="en-US"/>
        </w:rPr>
      </w:pPr>
      <w:r>
        <w:rPr>
          <w:sz w:val="28"/>
          <w:szCs w:val="28"/>
        </w:rPr>
        <w:t>Respetuosamente</w:t>
      </w:r>
      <w:r w:rsidR="006B48B6">
        <w:rPr>
          <w:sz w:val="28"/>
          <w:szCs w:val="28"/>
        </w:rPr>
        <w:t xml:space="preserve">, </w:t>
      </w:r>
      <w:r w:rsidR="0038276D" w:rsidRPr="009D22A7">
        <w:rPr>
          <w:rFonts w:cs="Arial"/>
          <w:sz w:val="28"/>
          <w:szCs w:val="28"/>
        </w:rPr>
        <w:t xml:space="preserve">no comparto </w:t>
      </w:r>
      <w:r w:rsidR="00DE0C86" w:rsidRPr="009D22A7">
        <w:rPr>
          <w:rFonts w:cs="Arial"/>
          <w:sz w:val="28"/>
          <w:szCs w:val="28"/>
        </w:rPr>
        <w:t xml:space="preserve">el </w:t>
      </w:r>
      <w:r>
        <w:rPr>
          <w:rFonts w:cs="Arial"/>
          <w:sz w:val="28"/>
          <w:szCs w:val="28"/>
        </w:rPr>
        <w:t xml:space="preserve">criterio de la mayoría, </w:t>
      </w:r>
      <w:r w:rsidR="00EB04D6">
        <w:rPr>
          <w:rFonts w:cs="Arial"/>
          <w:sz w:val="28"/>
          <w:szCs w:val="28"/>
        </w:rPr>
        <w:t xml:space="preserve">pues </w:t>
      </w:r>
      <w:r w:rsidR="006B48B6">
        <w:rPr>
          <w:rFonts w:eastAsia="Calibri" w:cs="Arial"/>
          <w:sz w:val="28"/>
          <w:szCs w:val="28"/>
          <w:lang w:eastAsia="en-US"/>
        </w:rPr>
        <w:t xml:space="preserve">bajo las premisas ya apuntadas, </w:t>
      </w:r>
      <w:r w:rsidR="006B48B6" w:rsidRPr="00E37214">
        <w:rPr>
          <w:rFonts w:eastAsia="Calibri" w:cs="Arial"/>
          <w:sz w:val="28"/>
          <w:szCs w:val="28"/>
          <w:lang w:eastAsia="en-US"/>
        </w:rPr>
        <w:t xml:space="preserve">considero que no </w:t>
      </w:r>
      <w:r w:rsidR="00DA778F" w:rsidRPr="00E37214">
        <w:rPr>
          <w:rFonts w:eastAsia="Calibri" w:cs="Arial"/>
          <w:sz w:val="28"/>
          <w:szCs w:val="28"/>
          <w:lang w:eastAsia="en-US"/>
        </w:rPr>
        <w:t>existe</w:t>
      </w:r>
      <w:r w:rsidR="002A01D5" w:rsidRPr="00E37214">
        <w:rPr>
          <w:rFonts w:eastAsia="Calibri" w:cs="Arial"/>
          <w:sz w:val="28"/>
          <w:szCs w:val="28"/>
          <w:lang w:eastAsia="en-US"/>
        </w:rPr>
        <w:t xml:space="preserve"> </w:t>
      </w:r>
      <w:r w:rsidR="00DA778F" w:rsidRPr="00E37214">
        <w:rPr>
          <w:rFonts w:eastAsia="Calibri" w:cs="Arial"/>
          <w:sz w:val="28"/>
          <w:szCs w:val="28"/>
          <w:lang w:eastAsia="en-US"/>
        </w:rPr>
        <w:t xml:space="preserve">contradicción de tesis </w:t>
      </w:r>
      <w:r w:rsidR="006B48B6" w:rsidRPr="00E37214">
        <w:rPr>
          <w:rFonts w:eastAsia="Calibri" w:cs="Arial"/>
          <w:sz w:val="28"/>
          <w:szCs w:val="28"/>
          <w:lang w:eastAsia="en-US"/>
        </w:rPr>
        <w:t>entre las Salas de este Alto Tribunal,</w:t>
      </w:r>
      <w:r w:rsidR="006B48B6">
        <w:rPr>
          <w:rFonts w:eastAsia="Calibri" w:cs="Arial"/>
          <w:sz w:val="28"/>
          <w:szCs w:val="28"/>
          <w:lang w:eastAsia="en-US"/>
        </w:rPr>
        <w:t xml:space="preserve"> </w:t>
      </w:r>
      <w:r w:rsidR="00EB04D6">
        <w:rPr>
          <w:rFonts w:eastAsia="Calibri" w:cs="Arial"/>
          <w:sz w:val="28"/>
          <w:szCs w:val="28"/>
          <w:lang w:eastAsia="en-US"/>
        </w:rPr>
        <w:t xml:space="preserve">ya que </w:t>
      </w:r>
      <w:r w:rsidR="00DA778F" w:rsidRPr="00DA778F">
        <w:rPr>
          <w:rFonts w:eastAsia="Calibri" w:cs="Arial"/>
          <w:sz w:val="28"/>
          <w:szCs w:val="28"/>
          <w:lang w:eastAsia="en-US"/>
        </w:rPr>
        <w:t xml:space="preserve">tal como se sostiene en el </w:t>
      </w:r>
      <w:r w:rsidR="00EB04D6">
        <w:rPr>
          <w:rFonts w:eastAsia="Calibri" w:cs="Arial"/>
          <w:sz w:val="28"/>
          <w:szCs w:val="28"/>
          <w:lang w:eastAsia="en-US"/>
        </w:rPr>
        <w:t>proyecto</w:t>
      </w:r>
      <w:r w:rsidR="00DA778F" w:rsidRPr="00DA778F">
        <w:rPr>
          <w:rFonts w:eastAsia="Calibri" w:cs="Arial"/>
          <w:sz w:val="28"/>
          <w:szCs w:val="28"/>
          <w:lang w:eastAsia="en-US"/>
        </w:rPr>
        <w:t xml:space="preserve">, los criterios entre ambas </w:t>
      </w:r>
      <w:r w:rsidR="00571A40">
        <w:rPr>
          <w:rFonts w:eastAsia="Calibri" w:cs="Arial"/>
          <w:sz w:val="28"/>
          <w:szCs w:val="28"/>
          <w:lang w:eastAsia="en-US"/>
        </w:rPr>
        <w:t>S</w:t>
      </w:r>
      <w:r w:rsidR="00DA778F" w:rsidRPr="00DA778F">
        <w:rPr>
          <w:rFonts w:eastAsia="Calibri" w:cs="Arial"/>
          <w:sz w:val="28"/>
          <w:szCs w:val="28"/>
          <w:lang w:eastAsia="en-US"/>
        </w:rPr>
        <w:t xml:space="preserve">alas en lugar de contraponerse se complementan. </w:t>
      </w:r>
    </w:p>
    <w:p w14:paraId="5364A560" w14:textId="77777777" w:rsidR="00DA778F" w:rsidRPr="00DA778F" w:rsidRDefault="00DA778F" w:rsidP="00DA778F">
      <w:pPr>
        <w:pStyle w:val="corte4fondo"/>
        <w:spacing w:before="360" w:after="360" w:line="276" w:lineRule="auto"/>
        <w:ind w:right="49"/>
        <w:contextualSpacing/>
        <w:rPr>
          <w:rFonts w:eastAsia="Calibri" w:cs="Arial"/>
          <w:sz w:val="28"/>
          <w:szCs w:val="28"/>
          <w:lang w:eastAsia="en-US"/>
        </w:rPr>
      </w:pPr>
    </w:p>
    <w:p w14:paraId="572927A5" w14:textId="616D9C88" w:rsidR="00DA778F" w:rsidRPr="00DA778F" w:rsidRDefault="00DA778F" w:rsidP="00DA778F">
      <w:pPr>
        <w:pStyle w:val="corte4fondo"/>
        <w:spacing w:before="360" w:after="360" w:line="276" w:lineRule="auto"/>
        <w:ind w:right="49"/>
        <w:contextualSpacing/>
        <w:rPr>
          <w:rFonts w:eastAsia="Calibri" w:cs="Arial"/>
          <w:sz w:val="28"/>
          <w:szCs w:val="28"/>
          <w:lang w:eastAsia="en-US"/>
        </w:rPr>
      </w:pPr>
      <w:r w:rsidRPr="00DA778F">
        <w:rPr>
          <w:rFonts w:eastAsia="Calibri" w:cs="Arial"/>
          <w:sz w:val="28"/>
          <w:szCs w:val="28"/>
          <w:lang w:eastAsia="en-US"/>
        </w:rPr>
        <w:t>E</w:t>
      </w:r>
      <w:r w:rsidR="00910D2B">
        <w:rPr>
          <w:rFonts w:eastAsia="Calibri" w:cs="Arial"/>
          <w:sz w:val="28"/>
          <w:szCs w:val="28"/>
          <w:lang w:eastAsia="en-US"/>
        </w:rPr>
        <w:t>llo</w:t>
      </w:r>
      <w:r w:rsidR="00BF40AA">
        <w:rPr>
          <w:rFonts w:eastAsia="Calibri" w:cs="Arial"/>
          <w:sz w:val="28"/>
          <w:szCs w:val="28"/>
          <w:lang w:eastAsia="en-US"/>
        </w:rPr>
        <w:t>,</w:t>
      </w:r>
      <w:r w:rsidR="00910D2B">
        <w:rPr>
          <w:rFonts w:eastAsia="Calibri" w:cs="Arial"/>
          <w:sz w:val="28"/>
          <w:szCs w:val="28"/>
          <w:lang w:eastAsia="en-US"/>
        </w:rPr>
        <w:t xml:space="preserve"> pues </w:t>
      </w:r>
      <w:r w:rsidRPr="00DA778F">
        <w:rPr>
          <w:rFonts w:eastAsia="Calibri" w:cs="Arial"/>
          <w:sz w:val="28"/>
          <w:szCs w:val="28"/>
          <w:lang w:eastAsia="en-US"/>
        </w:rPr>
        <w:t xml:space="preserve">la Primera Sala partió del análisis de un caso en el que el tribunal colegiado del conocimiento sobreseyó en el juicio al considerar extemporánea la presentación de la demanda, pues a su juicio, si bien el </w:t>
      </w:r>
      <w:r w:rsidR="00C363CE">
        <w:rPr>
          <w:rFonts w:eastAsia="Calibri" w:cs="Arial"/>
          <w:sz w:val="28"/>
          <w:szCs w:val="28"/>
          <w:lang w:eastAsia="en-US"/>
        </w:rPr>
        <w:t>veintiuno de marzo de dos mil diecinueve (</w:t>
      </w:r>
      <w:r w:rsidR="00C363CE" w:rsidRPr="00DA778F">
        <w:rPr>
          <w:rFonts w:eastAsia="Calibri" w:cs="Arial"/>
          <w:sz w:val="28"/>
          <w:szCs w:val="28"/>
          <w:lang w:eastAsia="en-US"/>
        </w:rPr>
        <w:t>21 de marzo de 2019</w:t>
      </w:r>
      <w:r w:rsidR="00C363CE">
        <w:rPr>
          <w:rFonts w:eastAsia="Calibri" w:cs="Arial"/>
          <w:sz w:val="28"/>
          <w:szCs w:val="28"/>
          <w:lang w:eastAsia="en-US"/>
        </w:rPr>
        <w:t>)</w:t>
      </w:r>
      <w:r w:rsidR="00545BA7">
        <w:rPr>
          <w:rFonts w:eastAsia="Calibri" w:cs="Arial"/>
          <w:sz w:val="28"/>
          <w:szCs w:val="28"/>
          <w:lang w:eastAsia="en-US"/>
        </w:rPr>
        <w:t xml:space="preserve"> </w:t>
      </w:r>
      <w:r w:rsidRPr="00DA778F">
        <w:rPr>
          <w:rFonts w:eastAsia="Calibri" w:cs="Arial"/>
          <w:sz w:val="28"/>
          <w:szCs w:val="28"/>
          <w:lang w:eastAsia="en-US"/>
        </w:rPr>
        <w:t>era inhábil en términos del artículo 19 de la Ley de Amparo, lo cierto es que éste no debía descontarse del cómputo para la oportunidad de la demanda, pues únicamente debían descontarse los días que fueron inhábiles para el juez responsable.</w:t>
      </w:r>
    </w:p>
    <w:p w14:paraId="60E2C1A0" w14:textId="77777777" w:rsidR="00DA778F" w:rsidRPr="00DA778F" w:rsidRDefault="00DA778F" w:rsidP="00DA778F">
      <w:pPr>
        <w:pStyle w:val="corte4fondo"/>
        <w:spacing w:before="360" w:after="360" w:line="276" w:lineRule="auto"/>
        <w:ind w:right="49"/>
        <w:contextualSpacing/>
        <w:rPr>
          <w:rFonts w:eastAsia="Calibri" w:cs="Arial"/>
          <w:sz w:val="28"/>
          <w:szCs w:val="28"/>
          <w:lang w:eastAsia="en-US"/>
        </w:rPr>
      </w:pPr>
    </w:p>
    <w:p w14:paraId="762B0B69" w14:textId="4F72F7B4" w:rsidR="00DA778F" w:rsidRPr="00DA778F" w:rsidRDefault="005221F1" w:rsidP="00DA778F">
      <w:pPr>
        <w:pStyle w:val="corte4fondo"/>
        <w:spacing w:before="360" w:after="360" w:line="276" w:lineRule="auto"/>
        <w:ind w:right="49"/>
        <w:contextualSpacing/>
        <w:rPr>
          <w:rFonts w:eastAsia="Calibri" w:cs="Arial"/>
          <w:sz w:val="28"/>
          <w:szCs w:val="28"/>
          <w:lang w:eastAsia="en-US"/>
        </w:rPr>
      </w:pPr>
      <w:r>
        <w:rPr>
          <w:rFonts w:eastAsia="Calibri" w:cs="Arial"/>
          <w:sz w:val="28"/>
          <w:szCs w:val="28"/>
          <w:lang w:eastAsia="en-US"/>
        </w:rPr>
        <w:t xml:space="preserve">Así, la </w:t>
      </w:r>
      <w:r w:rsidR="00545BA7">
        <w:rPr>
          <w:rFonts w:eastAsia="Calibri" w:cs="Arial"/>
          <w:sz w:val="28"/>
          <w:szCs w:val="28"/>
          <w:lang w:eastAsia="en-US"/>
        </w:rPr>
        <w:t xml:space="preserve">Sala </w:t>
      </w:r>
      <w:r>
        <w:rPr>
          <w:rFonts w:eastAsia="Calibri" w:cs="Arial"/>
          <w:sz w:val="28"/>
          <w:szCs w:val="28"/>
          <w:lang w:eastAsia="en-US"/>
        </w:rPr>
        <w:t xml:space="preserve">concluyó </w:t>
      </w:r>
      <w:proofErr w:type="gramStart"/>
      <w:r>
        <w:rPr>
          <w:rFonts w:eastAsia="Calibri" w:cs="Arial"/>
          <w:sz w:val="28"/>
          <w:szCs w:val="28"/>
          <w:lang w:eastAsia="en-US"/>
        </w:rPr>
        <w:t>que</w:t>
      </w:r>
      <w:proofErr w:type="gramEnd"/>
      <w:r w:rsidR="00DA778F" w:rsidRPr="00DA778F">
        <w:rPr>
          <w:rFonts w:eastAsia="Calibri" w:cs="Arial"/>
          <w:sz w:val="28"/>
          <w:szCs w:val="28"/>
          <w:lang w:eastAsia="en-US"/>
        </w:rPr>
        <w:t xml:space="preserve"> para determinar la oportunidad de la demanda de amparo directo, deben considerarse inhábiles los días que así contempla la Ley de Amparo, aunque hayan sido hábiles para las autoridades responsables, así como aquellos días en que la autoridad responsable haya suspendido sus labores o que no pueda funcionar por causa de fuerza mayor, por ser esta autoridad ante quien se presenta la demanda.</w:t>
      </w:r>
    </w:p>
    <w:p w14:paraId="6C61B7BF" w14:textId="77777777" w:rsidR="00DA778F" w:rsidRPr="00217D53" w:rsidRDefault="00DA778F" w:rsidP="00DA778F">
      <w:pPr>
        <w:pStyle w:val="corte4fondo"/>
        <w:spacing w:before="360" w:after="360" w:line="276" w:lineRule="auto"/>
        <w:ind w:right="49"/>
        <w:contextualSpacing/>
        <w:rPr>
          <w:rFonts w:eastAsia="Calibri" w:cs="Arial"/>
          <w:sz w:val="28"/>
          <w:szCs w:val="28"/>
          <w:lang w:eastAsia="en-US"/>
        </w:rPr>
      </w:pPr>
    </w:p>
    <w:p w14:paraId="7BD31D48" w14:textId="7BE0F1D8" w:rsidR="00DA778F" w:rsidRPr="00DA778F" w:rsidRDefault="00DA778F" w:rsidP="00DA778F">
      <w:pPr>
        <w:pStyle w:val="corte4fondo"/>
        <w:spacing w:before="360" w:after="360" w:line="276" w:lineRule="auto"/>
        <w:ind w:right="49"/>
        <w:contextualSpacing/>
        <w:rPr>
          <w:rFonts w:eastAsia="Calibri" w:cs="Arial"/>
          <w:sz w:val="28"/>
          <w:szCs w:val="28"/>
          <w:lang w:eastAsia="en-US"/>
        </w:rPr>
      </w:pPr>
      <w:r w:rsidRPr="00DA778F">
        <w:rPr>
          <w:rFonts w:eastAsia="Calibri" w:cs="Arial"/>
          <w:sz w:val="28"/>
          <w:szCs w:val="28"/>
          <w:lang w:eastAsia="en-US"/>
        </w:rPr>
        <w:t>E</w:t>
      </w:r>
      <w:r w:rsidR="005221F1">
        <w:rPr>
          <w:rFonts w:eastAsia="Calibri" w:cs="Arial"/>
          <w:sz w:val="28"/>
          <w:szCs w:val="28"/>
          <w:lang w:eastAsia="en-US"/>
        </w:rPr>
        <w:t>s decir, l</w:t>
      </w:r>
      <w:r w:rsidRPr="00DA778F">
        <w:rPr>
          <w:rFonts w:eastAsia="Calibri" w:cs="Arial"/>
          <w:sz w:val="28"/>
          <w:szCs w:val="28"/>
          <w:lang w:eastAsia="en-US"/>
        </w:rPr>
        <w:t xml:space="preserve">a </w:t>
      </w:r>
      <w:r w:rsidR="002A0230">
        <w:rPr>
          <w:rFonts w:eastAsia="Calibri" w:cs="Arial"/>
          <w:sz w:val="28"/>
          <w:szCs w:val="28"/>
          <w:lang w:eastAsia="en-US"/>
        </w:rPr>
        <w:t xml:space="preserve">Primera </w:t>
      </w:r>
      <w:r w:rsidRPr="00DA778F">
        <w:rPr>
          <w:rFonts w:eastAsia="Calibri" w:cs="Arial"/>
          <w:sz w:val="28"/>
          <w:szCs w:val="28"/>
          <w:lang w:eastAsia="en-US"/>
        </w:rPr>
        <w:t>Sala analizó propiamente si un día inhábil contemplado en el artículo 19 de la Ley de Amparo deb</w:t>
      </w:r>
      <w:r w:rsidR="005A5464">
        <w:rPr>
          <w:rFonts w:eastAsia="Calibri" w:cs="Arial"/>
          <w:sz w:val="28"/>
          <w:szCs w:val="28"/>
          <w:lang w:eastAsia="en-US"/>
        </w:rPr>
        <w:t>e</w:t>
      </w:r>
      <w:r w:rsidRPr="00DA778F">
        <w:rPr>
          <w:rFonts w:eastAsia="Calibri" w:cs="Arial"/>
          <w:sz w:val="28"/>
          <w:szCs w:val="28"/>
          <w:lang w:eastAsia="en-US"/>
        </w:rPr>
        <w:t xml:space="preserve"> considerarse o no para poder determinar la oportunidad para presentar la demanda de amparo directo ante la autoridad responsable, concluyendo que sí t</w:t>
      </w:r>
      <w:r w:rsidR="005A5464">
        <w:rPr>
          <w:rFonts w:eastAsia="Calibri" w:cs="Arial"/>
          <w:sz w:val="28"/>
          <w:szCs w:val="28"/>
          <w:lang w:eastAsia="en-US"/>
        </w:rPr>
        <w:t xml:space="preserve">iene </w:t>
      </w:r>
      <w:r w:rsidRPr="00DA778F">
        <w:rPr>
          <w:rFonts w:eastAsia="Calibri" w:cs="Arial"/>
          <w:sz w:val="28"/>
          <w:szCs w:val="28"/>
          <w:lang w:eastAsia="en-US"/>
        </w:rPr>
        <w:t>que descontarse por seguridad jurídica de los gobernados.</w:t>
      </w:r>
    </w:p>
    <w:p w14:paraId="6D175FF2" w14:textId="77777777" w:rsidR="00DA778F" w:rsidRPr="00E5413D" w:rsidRDefault="00DA778F" w:rsidP="00DA778F">
      <w:pPr>
        <w:pStyle w:val="corte4fondo"/>
        <w:spacing w:before="360" w:after="360" w:line="276" w:lineRule="auto"/>
        <w:ind w:right="49"/>
        <w:contextualSpacing/>
        <w:rPr>
          <w:rFonts w:eastAsia="Calibri" w:cs="Arial"/>
          <w:sz w:val="36"/>
          <w:szCs w:val="36"/>
          <w:lang w:eastAsia="en-US"/>
        </w:rPr>
      </w:pPr>
    </w:p>
    <w:p w14:paraId="34C8AC71" w14:textId="0E5D708E" w:rsidR="00DA778F" w:rsidRPr="00DA778F" w:rsidRDefault="00DA778F" w:rsidP="00DA778F">
      <w:pPr>
        <w:pStyle w:val="corte4fondo"/>
        <w:spacing w:before="360" w:after="360" w:line="276" w:lineRule="auto"/>
        <w:ind w:right="49"/>
        <w:contextualSpacing/>
        <w:rPr>
          <w:rFonts w:eastAsia="Calibri" w:cs="Arial"/>
          <w:sz w:val="28"/>
          <w:szCs w:val="28"/>
          <w:lang w:eastAsia="en-US"/>
        </w:rPr>
      </w:pPr>
      <w:r w:rsidRPr="00DA778F">
        <w:rPr>
          <w:rFonts w:eastAsia="Calibri" w:cs="Arial"/>
          <w:sz w:val="28"/>
          <w:szCs w:val="28"/>
          <w:lang w:eastAsia="en-US"/>
        </w:rPr>
        <w:t xml:space="preserve">Por su parte, la Segunda Sala al examinar la contradicción de tesis sometida a su consideración, valoró los criterios en los que los tribunales colegiados contendientes se pronunciaron en torno a si en el cómputo del plazo para la presentación de la demanda de amparo directo, deben excluirse, además de los días inhábiles de la autoridad responsable, los del tribunal colegiado al que corresponda conocer de dicha demanda. Ello, pues nueve tribunales colegiados sostuvieron que solo deben considerarse como inhábiles los días en que la autoridad responsable no haya laborado, no así aquellos en que el tribunal colegiado haya suspendido sus </w:t>
      </w:r>
      <w:proofErr w:type="gramStart"/>
      <w:r w:rsidRPr="00DA778F">
        <w:rPr>
          <w:rFonts w:eastAsia="Calibri" w:cs="Arial"/>
          <w:sz w:val="28"/>
          <w:szCs w:val="28"/>
          <w:lang w:eastAsia="en-US"/>
        </w:rPr>
        <w:t>labores</w:t>
      </w:r>
      <w:r w:rsidR="006C2085">
        <w:rPr>
          <w:rFonts w:eastAsia="Calibri" w:cs="Arial"/>
          <w:sz w:val="28"/>
          <w:szCs w:val="28"/>
          <w:lang w:eastAsia="en-US"/>
        </w:rPr>
        <w:t xml:space="preserve">; </w:t>
      </w:r>
      <w:r w:rsidRPr="00DA778F">
        <w:rPr>
          <w:rFonts w:eastAsia="Calibri" w:cs="Arial"/>
          <w:sz w:val="28"/>
          <w:szCs w:val="28"/>
          <w:lang w:eastAsia="en-US"/>
        </w:rPr>
        <w:t xml:space="preserve"> mientras</w:t>
      </w:r>
      <w:proofErr w:type="gramEnd"/>
      <w:r w:rsidRPr="00DA778F">
        <w:rPr>
          <w:rFonts w:eastAsia="Calibri" w:cs="Arial"/>
          <w:sz w:val="28"/>
          <w:szCs w:val="28"/>
          <w:lang w:eastAsia="en-US"/>
        </w:rPr>
        <w:t xml:space="preserve"> que los restantes consideraron que son días inhábiles aquéllos en que la autoridad responsable no haya laborado, así como los días en que el tribunal colegiado haya suspendido labores.</w:t>
      </w:r>
    </w:p>
    <w:p w14:paraId="118C49B0" w14:textId="77777777" w:rsidR="00DA778F" w:rsidRPr="00E5413D" w:rsidRDefault="00DA778F" w:rsidP="00DA778F">
      <w:pPr>
        <w:pStyle w:val="corte4fondo"/>
        <w:spacing w:before="360" w:after="360" w:line="276" w:lineRule="auto"/>
        <w:ind w:right="49"/>
        <w:contextualSpacing/>
        <w:rPr>
          <w:rFonts w:eastAsia="Calibri" w:cs="Arial"/>
          <w:sz w:val="40"/>
          <w:szCs w:val="40"/>
          <w:lang w:eastAsia="en-US"/>
        </w:rPr>
      </w:pPr>
    </w:p>
    <w:p w14:paraId="4DF3A839" w14:textId="584E9C73" w:rsidR="00DA778F" w:rsidRPr="00DA778F" w:rsidRDefault="00DA778F" w:rsidP="00DA778F">
      <w:pPr>
        <w:pStyle w:val="corte4fondo"/>
        <w:spacing w:before="360" w:after="360" w:line="276" w:lineRule="auto"/>
        <w:ind w:right="49"/>
        <w:contextualSpacing/>
        <w:rPr>
          <w:rFonts w:eastAsia="Calibri" w:cs="Arial"/>
          <w:sz w:val="28"/>
          <w:szCs w:val="28"/>
          <w:lang w:eastAsia="en-US"/>
        </w:rPr>
      </w:pPr>
      <w:r w:rsidRPr="00DA778F">
        <w:rPr>
          <w:rFonts w:eastAsia="Calibri" w:cs="Arial"/>
          <w:sz w:val="28"/>
          <w:szCs w:val="28"/>
          <w:lang w:eastAsia="en-US"/>
        </w:rPr>
        <w:t xml:space="preserve">Respecto </w:t>
      </w:r>
      <w:r w:rsidR="00C6110B">
        <w:rPr>
          <w:rFonts w:eastAsia="Calibri" w:cs="Arial"/>
          <w:sz w:val="28"/>
          <w:szCs w:val="28"/>
          <w:lang w:eastAsia="en-US"/>
        </w:rPr>
        <w:t xml:space="preserve">a </w:t>
      </w:r>
      <w:r w:rsidRPr="00DA778F">
        <w:rPr>
          <w:rFonts w:eastAsia="Calibri" w:cs="Arial"/>
          <w:sz w:val="28"/>
          <w:szCs w:val="28"/>
          <w:lang w:eastAsia="en-US"/>
        </w:rPr>
        <w:t xml:space="preserve">lo anterior, la Sala arribó a la convicción de que para el </w:t>
      </w:r>
      <w:r w:rsidR="006C06EA" w:rsidRPr="00CA45BC">
        <w:rPr>
          <w:rFonts w:eastAsia="Calibri" w:cs="Arial"/>
          <w:sz w:val="28"/>
          <w:szCs w:val="28"/>
          <w:lang w:eastAsia="en-US"/>
        </w:rPr>
        <w:t>computo del</w:t>
      </w:r>
      <w:r w:rsidR="006C06EA">
        <w:rPr>
          <w:rFonts w:eastAsia="Calibri" w:cs="Arial"/>
          <w:sz w:val="28"/>
          <w:szCs w:val="28"/>
          <w:lang w:eastAsia="en-US"/>
        </w:rPr>
        <w:t xml:space="preserve"> </w:t>
      </w:r>
      <w:r w:rsidRPr="00DA778F">
        <w:rPr>
          <w:rFonts w:eastAsia="Calibri" w:cs="Arial"/>
          <w:sz w:val="28"/>
          <w:szCs w:val="28"/>
          <w:lang w:eastAsia="en-US"/>
        </w:rPr>
        <w:t>plazo para la promoción de la demanda de amparo directo, no debe exceptuarse los días en que el tribunal colegiado haya suspendido labores</w:t>
      </w:r>
      <w:r w:rsidR="00EE354B">
        <w:rPr>
          <w:rFonts w:eastAsia="Calibri" w:cs="Arial"/>
          <w:sz w:val="28"/>
          <w:szCs w:val="28"/>
          <w:lang w:eastAsia="en-US"/>
        </w:rPr>
        <w:t>; l</w:t>
      </w:r>
      <w:r w:rsidRPr="00DA778F">
        <w:rPr>
          <w:rFonts w:eastAsia="Calibri" w:cs="Arial"/>
          <w:sz w:val="28"/>
          <w:szCs w:val="28"/>
          <w:lang w:eastAsia="en-US"/>
        </w:rPr>
        <w:t>o anterior, pues</w:t>
      </w:r>
      <w:r w:rsidR="00EE354B">
        <w:rPr>
          <w:rFonts w:eastAsia="Calibri" w:cs="Arial"/>
          <w:sz w:val="28"/>
          <w:szCs w:val="28"/>
          <w:lang w:eastAsia="en-US"/>
        </w:rPr>
        <w:t xml:space="preserve"> </w:t>
      </w:r>
      <w:r w:rsidRPr="00DA778F">
        <w:rPr>
          <w:rFonts w:eastAsia="Calibri" w:cs="Arial"/>
          <w:sz w:val="28"/>
          <w:szCs w:val="28"/>
          <w:lang w:eastAsia="en-US"/>
        </w:rPr>
        <w:t xml:space="preserve">por disposición legal es ante la autoridad responsable que da comienzo el trámite del juicio de amparo directo, y por eso es que para el cómputo del término de la presentación de la demanda deben excluirse los días inhábiles de la responsable, sin que se excluyan los días en que el tribunal </w:t>
      </w:r>
      <w:r w:rsidRPr="00DA778F">
        <w:rPr>
          <w:rFonts w:eastAsia="Calibri" w:cs="Arial"/>
          <w:sz w:val="28"/>
          <w:szCs w:val="28"/>
          <w:lang w:eastAsia="en-US"/>
        </w:rPr>
        <w:lastRenderedPageBreak/>
        <w:t>colegiado haya dejado de laborar, puesto que esa circunstancia en nada incide para el cómputo del plazo ni ocasiona inseguridad o falta de certeza al particular.</w:t>
      </w:r>
    </w:p>
    <w:p w14:paraId="178970E5" w14:textId="77777777" w:rsidR="00DA778F" w:rsidRPr="00E5413D" w:rsidRDefault="00DA778F" w:rsidP="00DA778F">
      <w:pPr>
        <w:pStyle w:val="corte4fondo"/>
        <w:spacing w:before="360" w:after="360" w:line="276" w:lineRule="auto"/>
        <w:ind w:right="49"/>
        <w:contextualSpacing/>
        <w:rPr>
          <w:rFonts w:eastAsia="Calibri" w:cs="Arial"/>
          <w:sz w:val="36"/>
          <w:szCs w:val="36"/>
          <w:lang w:eastAsia="en-US"/>
        </w:rPr>
      </w:pPr>
    </w:p>
    <w:p w14:paraId="0EBCC109" w14:textId="52479940" w:rsidR="00DA778F" w:rsidRPr="00DA778F" w:rsidRDefault="00DA778F" w:rsidP="00DA778F">
      <w:pPr>
        <w:pStyle w:val="corte4fondo"/>
        <w:spacing w:before="360" w:after="360" w:line="276" w:lineRule="auto"/>
        <w:ind w:right="49"/>
        <w:contextualSpacing/>
        <w:rPr>
          <w:rFonts w:eastAsia="Calibri" w:cs="Arial"/>
          <w:sz w:val="28"/>
          <w:szCs w:val="28"/>
          <w:lang w:eastAsia="en-US"/>
        </w:rPr>
      </w:pPr>
      <w:r w:rsidRPr="00DA778F">
        <w:rPr>
          <w:rFonts w:eastAsia="Calibri" w:cs="Arial"/>
          <w:sz w:val="28"/>
          <w:szCs w:val="28"/>
          <w:lang w:eastAsia="en-US"/>
        </w:rPr>
        <w:t xml:space="preserve">Como se </w:t>
      </w:r>
      <w:r w:rsidR="001D140E">
        <w:rPr>
          <w:rFonts w:eastAsia="Calibri" w:cs="Arial"/>
          <w:sz w:val="28"/>
          <w:szCs w:val="28"/>
          <w:lang w:eastAsia="en-US"/>
        </w:rPr>
        <w:t xml:space="preserve">puede </w:t>
      </w:r>
      <w:r w:rsidRPr="00DA778F">
        <w:rPr>
          <w:rFonts w:eastAsia="Calibri" w:cs="Arial"/>
          <w:sz w:val="28"/>
          <w:szCs w:val="28"/>
          <w:lang w:eastAsia="en-US"/>
        </w:rPr>
        <w:t>adv</w:t>
      </w:r>
      <w:r w:rsidR="001D140E">
        <w:rPr>
          <w:rFonts w:eastAsia="Calibri" w:cs="Arial"/>
          <w:sz w:val="28"/>
          <w:szCs w:val="28"/>
          <w:lang w:eastAsia="en-US"/>
        </w:rPr>
        <w:t>ertir</w:t>
      </w:r>
      <w:r w:rsidRPr="00DA778F">
        <w:rPr>
          <w:rFonts w:eastAsia="Calibri" w:cs="Arial"/>
          <w:sz w:val="28"/>
          <w:szCs w:val="28"/>
          <w:lang w:eastAsia="en-US"/>
        </w:rPr>
        <w:t xml:space="preserve">, </w:t>
      </w:r>
      <w:r w:rsidR="00BA53FA">
        <w:rPr>
          <w:rFonts w:eastAsia="Calibri" w:cs="Arial"/>
          <w:sz w:val="28"/>
          <w:szCs w:val="28"/>
          <w:lang w:eastAsia="en-US"/>
        </w:rPr>
        <w:t xml:space="preserve">mientras </w:t>
      </w:r>
      <w:r w:rsidRPr="00DA778F">
        <w:rPr>
          <w:rFonts w:eastAsia="Calibri" w:cs="Arial"/>
          <w:sz w:val="28"/>
          <w:szCs w:val="28"/>
          <w:lang w:eastAsia="en-US"/>
        </w:rPr>
        <w:t xml:space="preserve">la Segunda Sala examinó los días no laborables para la autoridad responsable en un periodo diverso (distintos a los contemplados en el artículo 19 de la Ley de Amparo), </w:t>
      </w:r>
      <w:r w:rsidR="009A1295">
        <w:rPr>
          <w:rFonts w:eastAsia="Calibri" w:cs="Arial"/>
          <w:sz w:val="28"/>
          <w:szCs w:val="28"/>
          <w:lang w:eastAsia="en-US"/>
        </w:rPr>
        <w:t xml:space="preserve">concluyendo </w:t>
      </w:r>
      <w:r w:rsidRPr="00DA778F">
        <w:rPr>
          <w:rFonts w:eastAsia="Calibri" w:cs="Arial"/>
          <w:sz w:val="28"/>
          <w:szCs w:val="28"/>
          <w:lang w:eastAsia="en-US"/>
        </w:rPr>
        <w:t>que para el cómputo del término de la presentación de la demanda</w:t>
      </w:r>
      <w:r w:rsidR="009A1295">
        <w:rPr>
          <w:rFonts w:eastAsia="Calibri" w:cs="Arial"/>
          <w:sz w:val="28"/>
          <w:szCs w:val="28"/>
          <w:lang w:eastAsia="en-US"/>
        </w:rPr>
        <w:t>,</w:t>
      </w:r>
      <w:r w:rsidRPr="00DA778F">
        <w:rPr>
          <w:rFonts w:eastAsia="Calibri" w:cs="Arial"/>
          <w:sz w:val="28"/>
          <w:szCs w:val="28"/>
          <w:lang w:eastAsia="en-US"/>
        </w:rPr>
        <w:t xml:space="preserve"> deben excluirse los días inhábiles de la responsable, sin que se excluyan los días en que el tribunal colegiado haya dejado de laborar, puesto que esa circunstancia en nada incide para el cómputo del plazo ni ocasiona inseguridad o falta de certeza al particular.</w:t>
      </w:r>
    </w:p>
    <w:p w14:paraId="7A462073" w14:textId="77777777" w:rsidR="00DA778F" w:rsidRPr="00E5413D" w:rsidRDefault="00DA778F" w:rsidP="00DA778F">
      <w:pPr>
        <w:pStyle w:val="corte4fondo"/>
        <w:spacing w:before="360" w:after="360" w:line="276" w:lineRule="auto"/>
        <w:ind w:right="49"/>
        <w:contextualSpacing/>
        <w:rPr>
          <w:rFonts w:eastAsia="Calibri" w:cs="Arial"/>
          <w:sz w:val="36"/>
          <w:szCs w:val="36"/>
          <w:lang w:eastAsia="en-US"/>
        </w:rPr>
      </w:pPr>
    </w:p>
    <w:p w14:paraId="4B26E1B6" w14:textId="6A7341F6" w:rsidR="00BA53FA" w:rsidRPr="00DA778F" w:rsidRDefault="00BA53FA" w:rsidP="00BA53FA">
      <w:pPr>
        <w:pStyle w:val="corte4fondo"/>
        <w:spacing w:before="360" w:after="360" w:line="276" w:lineRule="auto"/>
        <w:ind w:right="49"/>
        <w:contextualSpacing/>
        <w:rPr>
          <w:rFonts w:eastAsia="Calibri" w:cs="Arial"/>
          <w:sz w:val="28"/>
          <w:szCs w:val="28"/>
          <w:lang w:eastAsia="en-US"/>
        </w:rPr>
      </w:pPr>
      <w:r>
        <w:rPr>
          <w:rFonts w:eastAsia="Calibri" w:cs="Arial"/>
          <w:sz w:val="28"/>
          <w:szCs w:val="28"/>
          <w:lang w:eastAsia="en-US"/>
        </w:rPr>
        <w:t xml:space="preserve">Por su parte, </w:t>
      </w:r>
      <w:r w:rsidR="002352CF">
        <w:rPr>
          <w:rFonts w:eastAsia="Calibri" w:cs="Arial"/>
          <w:sz w:val="28"/>
          <w:szCs w:val="28"/>
          <w:lang w:eastAsia="en-US"/>
        </w:rPr>
        <w:t>la P</w:t>
      </w:r>
      <w:r w:rsidR="00993994" w:rsidRPr="00DA778F">
        <w:rPr>
          <w:rFonts w:eastAsia="Calibri" w:cs="Arial"/>
          <w:sz w:val="28"/>
          <w:szCs w:val="28"/>
          <w:lang w:eastAsia="en-US"/>
        </w:rPr>
        <w:t>rimera Sala</w:t>
      </w:r>
      <w:r w:rsidR="00FE6955">
        <w:rPr>
          <w:rFonts w:eastAsia="Calibri" w:cs="Arial"/>
          <w:sz w:val="28"/>
          <w:szCs w:val="28"/>
          <w:lang w:eastAsia="en-US"/>
        </w:rPr>
        <w:t xml:space="preserve"> analizó </w:t>
      </w:r>
      <w:r w:rsidR="00183BDA" w:rsidRPr="00DA778F">
        <w:rPr>
          <w:rFonts w:eastAsia="Calibri" w:cs="Arial"/>
          <w:sz w:val="28"/>
          <w:szCs w:val="28"/>
          <w:lang w:eastAsia="en-US"/>
        </w:rPr>
        <w:t>propiamente</w:t>
      </w:r>
      <w:r w:rsidR="00183BDA">
        <w:rPr>
          <w:rFonts w:eastAsia="Calibri" w:cs="Arial"/>
          <w:sz w:val="28"/>
          <w:szCs w:val="28"/>
          <w:lang w:eastAsia="en-US"/>
        </w:rPr>
        <w:t xml:space="preserve"> </w:t>
      </w:r>
      <w:r w:rsidR="00993994" w:rsidRPr="00DA778F">
        <w:rPr>
          <w:rFonts w:eastAsia="Calibri" w:cs="Arial"/>
          <w:sz w:val="28"/>
          <w:szCs w:val="28"/>
          <w:lang w:eastAsia="en-US"/>
        </w:rPr>
        <w:t xml:space="preserve">un día inhábil </w:t>
      </w:r>
      <w:r w:rsidR="00183BDA">
        <w:rPr>
          <w:rFonts w:eastAsia="Calibri" w:cs="Arial"/>
          <w:sz w:val="28"/>
          <w:szCs w:val="28"/>
          <w:lang w:eastAsia="en-US"/>
        </w:rPr>
        <w:t xml:space="preserve">de los </w:t>
      </w:r>
      <w:r w:rsidR="00993994" w:rsidRPr="00DA778F">
        <w:rPr>
          <w:rFonts w:eastAsia="Calibri" w:cs="Arial"/>
          <w:sz w:val="28"/>
          <w:szCs w:val="28"/>
          <w:lang w:eastAsia="en-US"/>
        </w:rPr>
        <w:t>contemplado</w:t>
      </w:r>
      <w:r w:rsidR="00183BDA">
        <w:rPr>
          <w:rFonts w:eastAsia="Calibri" w:cs="Arial"/>
          <w:sz w:val="28"/>
          <w:szCs w:val="28"/>
          <w:lang w:eastAsia="en-US"/>
        </w:rPr>
        <w:t>s</w:t>
      </w:r>
      <w:r w:rsidR="00993994" w:rsidRPr="00DA778F">
        <w:rPr>
          <w:rFonts w:eastAsia="Calibri" w:cs="Arial"/>
          <w:sz w:val="28"/>
          <w:szCs w:val="28"/>
          <w:lang w:eastAsia="en-US"/>
        </w:rPr>
        <w:t xml:space="preserve"> en el artículo 19 de la Ley de Amparo para poder determinar si deb</w:t>
      </w:r>
      <w:r w:rsidR="00F32B66">
        <w:rPr>
          <w:rFonts w:eastAsia="Calibri" w:cs="Arial"/>
          <w:sz w:val="28"/>
          <w:szCs w:val="28"/>
          <w:lang w:eastAsia="en-US"/>
        </w:rPr>
        <w:t>e</w:t>
      </w:r>
      <w:r w:rsidR="00993994" w:rsidRPr="00DA778F">
        <w:rPr>
          <w:rFonts w:eastAsia="Calibri" w:cs="Arial"/>
          <w:sz w:val="28"/>
          <w:szCs w:val="28"/>
          <w:lang w:eastAsia="en-US"/>
        </w:rPr>
        <w:t xml:space="preserve"> contarse o exclu</w:t>
      </w:r>
      <w:r w:rsidR="00F32B66">
        <w:rPr>
          <w:rFonts w:eastAsia="Calibri" w:cs="Arial"/>
          <w:sz w:val="28"/>
          <w:szCs w:val="28"/>
          <w:lang w:eastAsia="en-US"/>
        </w:rPr>
        <w:t xml:space="preserve">irse </w:t>
      </w:r>
      <w:r w:rsidR="00993994" w:rsidRPr="00DA778F">
        <w:rPr>
          <w:rFonts w:eastAsia="Calibri" w:cs="Arial"/>
          <w:sz w:val="28"/>
          <w:szCs w:val="28"/>
          <w:lang w:eastAsia="en-US"/>
        </w:rPr>
        <w:t>para contabilizar el plazo para presentar la demanda de amparo directo ante la autoridad responsable</w:t>
      </w:r>
      <w:r>
        <w:rPr>
          <w:rFonts w:eastAsia="Calibri" w:cs="Arial"/>
          <w:sz w:val="28"/>
          <w:szCs w:val="28"/>
          <w:lang w:eastAsia="en-US"/>
        </w:rPr>
        <w:t xml:space="preserve">, </w:t>
      </w:r>
      <w:r w:rsidRPr="00DA778F">
        <w:rPr>
          <w:rFonts w:eastAsia="Calibri" w:cs="Arial"/>
          <w:sz w:val="28"/>
          <w:szCs w:val="28"/>
          <w:lang w:eastAsia="en-US"/>
        </w:rPr>
        <w:t>concluyendo que sí t</w:t>
      </w:r>
      <w:r>
        <w:rPr>
          <w:rFonts w:eastAsia="Calibri" w:cs="Arial"/>
          <w:sz w:val="28"/>
          <w:szCs w:val="28"/>
          <w:lang w:eastAsia="en-US"/>
        </w:rPr>
        <w:t xml:space="preserve">iene </w:t>
      </w:r>
      <w:r w:rsidRPr="00DA778F">
        <w:rPr>
          <w:rFonts w:eastAsia="Calibri" w:cs="Arial"/>
          <w:sz w:val="28"/>
          <w:szCs w:val="28"/>
          <w:lang w:eastAsia="en-US"/>
        </w:rPr>
        <w:t>que descontarse por seguridad jurídica de los gobernados.</w:t>
      </w:r>
    </w:p>
    <w:p w14:paraId="0044E8BA" w14:textId="77777777" w:rsidR="00BA53FA" w:rsidRPr="00E5413D" w:rsidRDefault="00BA53FA" w:rsidP="00BA53FA">
      <w:pPr>
        <w:pStyle w:val="corte4fondo"/>
        <w:spacing w:before="360" w:after="360" w:line="276" w:lineRule="auto"/>
        <w:ind w:right="49"/>
        <w:contextualSpacing/>
        <w:rPr>
          <w:rFonts w:eastAsia="Calibri" w:cs="Arial"/>
          <w:sz w:val="36"/>
          <w:szCs w:val="36"/>
          <w:lang w:eastAsia="en-US"/>
        </w:rPr>
      </w:pPr>
    </w:p>
    <w:p w14:paraId="7B84AC74" w14:textId="2D16C25A" w:rsidR="005B7947" w:rsidRDefault="00BA53FA" w:rsidP="00603E84">
      <w:pPr>
        <w:pStyle w:val="corte4fondo"/>
        <w:spacing w:before="360" w:after="360" w:line="276" w:lineRule="auto"/>
        <w:ind w:right="49"/>
        <w:contextualSpacing/>
        <w:rPr>
          <w:rFonts w:eastAsia="Calibri" w:cs="Arial"/>
          <w:sz w:val="28"/>
          <w:szCs w:val="28"/>
          <w:lang w:eastAsia="en-US"/>
        </w:rPr>
      </w:pPr>
      <w:r>
        <w:rPr>
          <w:rFonts w:eastAsia="Calibri" w:cs="Arial"/>
          <w:sz w:val="28"/>
          <w:szCs w:val="28"/>
          <w:lang w:eastAsia="en-US"/>
        </w:rPr>
        <w:t>De ahí que</w:t>
      </w:r>
      <w:r w:rsidR="005F40CC">
        <w:rPr>
          <w:rFonts w:eastAsia="Calibri" w:cs="Arial"/>
          <w:sz w:val="28"/>
          <w:szCs w:val="28"/>
          <w:lang w:eastAsia="en-US"/>
        </w:rPr>
        <w:t xml:space="preserve"> </w:t>
      </w:r>
      <w:r w:rsidR="00DA778F" w:rsidRPr="00DA778F">
        <w:rPr>
          <w:rFonts w:eastAsia="Calibri" w:cs="Arial"/>
          <w:sz w:val="28"/>
          <w:szCs w:val="28"/>
          <w:lang w:eastAsia="en-US"/>
        </w:rPr>
        <w:t>consider</w:t>
      </w:r>
      <w:r w:rsidR="00594CD9">
        <w:rPr>
          <w:rFonts w:eastAsia="Calibri" w:cs="Arial"/>
          <w:sz w:val="28"/>
          <w:szCs w:val="28"/>
          <w:lang w:eastAsia="en-US"/>
        </w:rPr>
        <w:t>é</w:t>
      </w:r>
      <w:r w:rsidR="00DA778F" w:rsidRPr="00DA778F">
        <w:rPr>
          <w:rFonts w:eastAsia="Calibri" w:cs="Arial"/>
          <w:sz w:val="28"/>
          <w:szCs w:val="28"/>
          <w:lang w:eastAsia="en-US"/>
        </w:rPr>
        <w:t xml:space="preserve"> que no exist</w:t>
      </w:r>
      <w:r w:rsidR="00594CD9">
        <w:rPr>
          <w:rFonts w:eastAsia="Calibri" w:cs="Arial"/>
          <w:sz w:val="28"/>
          <w:szCs w:val="28"/>
          <w:lang w:eastAsia="en-US"/>
        </w:rPr>
        <w:t>ía</w:t>
      </w:r>
      <w:r w:rsidR="00DA778F" w:rsidRPr="00DA778F">
        <w:rPr>
          <w:rFonts w:eastAsia="Calibri" w:cs="Arial"/>
          <w:sz w:val="28"/>
          <w:szCs w:val="28"/>
          <w:lang w:eastAsia="en-US"/>
        </w:rPr>
        <w:t xml:space="preserve"> un punto de toque en la contradicción de tesis, precisamente</w:t>
      </w:r>
      <w:r w:rsidR="00AF3E32">
        <w:rPr>
          <w:rFonts w:eastAsia="Calibri" w:cs="Arial"/>
          <w:sz w:val="28"/>
          <w:szCs w:val="28"/>
          <w:lang w:eastAsia="en-US"/>
        </w:rPr>
        <w:t>,</w:t>
      </w:r>
      <w:r w:rsidR="00DA778F" w:rsidRPr="00DA778F">
        <w:rPr>
          <w:rFonts w:eastAsia="Calibri" w:cs="Arial"/>
          <w:sz w:val="28"/>
          <w:szCs w:val="28"/>
          <w:lang w:eastAsia="en-US"/>
        </w:rPr>
        <w:t xml:space="preserve"> porque </w:t>
      </w:r>
      <w:r w:rsidR="00AF3E32">
        <w:rPr>
          <w:rFonts w:eastAsia="Calibri" w:cs="Arial"/>
          <w:sz w:val="28"/>
          <w:szCs w:val="28"/>
          <w:lang w:eastAsia="en-US"/>
        </w:rPr>
        <w:t>la Segunda S</w:t>
      </w:r>
      <w:r w:rsidR="00DA778F" w:rsidRPr="00DA778F">
        <w:rPr>
          <w:rFonts w:eastAsia="Calibri" w:cs="Arial"/>
          <w:sz w:val="28"/>
          <w:szCs w:val="28"/>
          <w:lang w:eastAsia="en-US"/>
        </w:rPr>
        <w:t>ala no se pronunció en torno a un día inhábil contemplado en la ley de la materia</w:t>
      </w:r>
      <w:r w:rsidR="00B212CD">
        <w:rPr>
          <w:rFonts w:eastAsia="Calibri" w:cs="Arial"/>
          <w:sz w:val="28"/>
          <w:szCs w:val="28"/>
          <w:lang w:eastAsia="en-US"/>
        </w:rPr>
        <w:t xml:space="preserve">, </w:t>
      </w:r>
      <w:r w:rsidR="00DA778F" w:rsidRPr="00DA778F">
        <w:rPr>
          <w:rFonts w:eastAsia="Calibri" w:cs="Arial"/>
          <w:sz w:val="28"/>
          <w:szCs w:val="28"/>
          <w:lang w:eastAsia="en-US"/>
        </w:rPr>
        <w:t>cuestión que sí tuvo que dilucidar la Primera Sala al conocer del amparo directo en revisión sometido a su consideración</w:t>
      </w:r>
      <w:r w:rsidR="005B7947">
        <w:rPr>
          <w:rFonts w:eastAsia="Calibri" w:cs="Arial"/>
          <w:sz w:val="28"/>
          <w:szCs w:val="28"/>
          <w:lang w:eastAsia="en-US"/>
        </w:rPr>
        <w:t xml:space="preserve">. </w:t>
      </w:r>
    </w:p>
    <w:p w14:paraId="388EF676" w14:textId="77777777" w:rsidR="005B7947" w:rsidRPr="00E5413D" w:rsidRDefault="005B7947" w:rsidP="00603E84">
      <w:pPr>
        <w:pStyle w:val="corte4fondo"/>
        <w:spacing w:before="360" w:after="360" w:line="276" w:lineRule="auto"/>
        <w:ind w:right="49"/>
        <w:contextualSpacing/>
        <w:rPr>
          <w:rFonts w:eastAsia="Calibri" w:cs="Arial"/>
          <w:sz w:val="44"/>
          <w:szCs w:val="44"/>
          <w:lang w:eastAsia="en-US"/>
        </w:rPr>
      </w:pPr>
    </w:p>
    <w:p w14:paraId="33388332" w14:textId="793598EA" w:rsidR="007277C7" w:rsidRPr="00F27DC8" w:rsidRDefault="00FB68F4" w:rsidP="007277C7">
      <w:pPr>
        <w:pStyle w:val="corte4fondo"/>
        <w:spacing w:before="360" w:after="360" w:line="276" w:lineRule="auto"/>
        <w:ind w:right="49"/>
        <w:contextualSpacing/>
        <w:rPr>
          <w:rFonts w:eastAsia="Calibri"/>
          <w:bCs/>
          <w:sz w:val="28"/>
          <w:szCs w:val="28"/>
          <w:lang w:eastAsia="en-US"/>
        </w:rPr>
      </w:pPr>
      <w:r>
        <w:rPr>
          <w:rFonts w:eastAsia="Calibri" w:cs="Arial"/>
          <w:sz w:val="28"/>
          <w:szCs w:val="28"/>
          <w:lang w:eastAsia="en-US"/>
        </w:rPr>
        <w:t xml:space="preserve">No obstante lo anterior, vencido por el voto mayoritario, consideré que el criterio propuesto, con la adición que el Ponente aceptó, era correcta, máxime que </w:t>
      </w:r>
      <w:r w:rsidR="007277C7" w:rsidRPr="00F27DC8">
        <w:rPr>
          <w:rFonts w:eastAsia="Calibri"/>
          <w:sz w:val="28"/>
          <w:szCs w:val="28"/>
          <w:lang w:eastAsia="en-US"/>
        </w:rPr>
        <w:t xml:space="preserve">el agregado que </w:t>
      </w:r>
      <w:r w:rsidR="0061396F" w:rsidRPr="00F27DC8">
        <w:rPr>
          <w:rFonts w:eastAsia="Calibri"/>
          <w:sz w:val="28"/>
          <w:szCs w:val="28"/>
          <w:lang w:eastAsia="en-US"/>
        </w:rPr>
        <w:t xml:space="preserve">se aceptó </w:t>
      </w:r>
      <w:r w:rsidR="007277C7" w:rsidRPr="00F27DC8">
        <w:rPr>
          <w:rFonts w:eastAsia="Calibri"/>
          <w:sz w:val="28"/>
          <w:szCs w:val="28"/>
          <w:lang w:eastAsia="en-US"/>
        </w:rPr>
        <w:t>introducir a la contradicción</w:t>
      </w:r>
      <w:r w:rsidR="0061396F" w:rsidRPr="00F27DC8">
        <w:rPr>
          <w:rFonts w:eastAsia="Calibri"/>
          <w:sz w:val="28"/>
          <w:szCs w:val="28"/>
          <w:lang w:eastAsia="en-US"/>
        </w:rPr>
        <w:t xml:space="preserve"> de tesis</w:t>
      </w:r>
      <w:r w:rsidR="007277C7" w:rsidRPr="00F27DC8">
        <w:rPr>
          <w:rFonts w:eastAsia="Calibri"/>
          <w:sz w:val="28"/>
          <w:szCs w:val="28"/>
          <w:lang w:eastAsia="en-US"/>
        </w:rPr>
        <w:t xml:space="preserve">, en el sentido de </w:t>
      </w:r>
      <w:r w:rsidR="0061396F" w:rsidRPr="00F27DC8">
        <w:rPr>
          <w:rFonts w:eastAsia="Calibri"/>
          <w:sz w:val="28"/>
          <w:szCs w:val="28"/>
          <w:lang w:eastAsia="en-US"/>
        </w:rPr>
        <w:t xml:space="preserve">especificar </w:t>
      </w:r>
      <w:r w:rsidR="007277C7" w:rsidRPr="00F27DC8">
        <w:rPr>
          <w:rFonts w:eastAsia="Calibri"/>
          <w:bCs/>
          <w:sz w:val="28"/>
          <w:szCs w:val="28"/>
          <w:lang w:eastAsia="en-US"/>
        </w:rPr>
        <w:t xml:space="preserve">que aquellos días en que los tribunales federales suspenden sus labores por causas extraordinarias, </w:t>
      </w:r>
      <w:r w:rsidR="0061396F" w:rsidRPr="00F27DC8">
        <w:rPr>
          <w:rFonts w:eastAsia="Calibri"/>
          <w:bCs/>
          <w:sz w:val="28"/>
          <w:szCs w:val="28"/>
          <w:lang w:eastAsia="en-US"/>
        </w:rPr>
        <w:t>s</w:t>
      </w:r>
      <w:r w:rsidR="00C8768E" w:rsidRPr="00F27DC8">
        <w:rPr>
          <w:rFonts w:eastAsia="Calibri"/>
          <w:bCs/>
          <w:sz w:val="28"/>
          <w:szCs w:val="28"/>
          <w:lang w:eastAsia="en-US"/>
        </w:rPr>
        <w:t>í</w:t>
      </w:r>
      <w:r w:rsidR="0061396F" w:rsidRPr="00F27DC8">
        <w:rPr>
          <w:rFonts w:eastAsia="Calibri"/>
          <w:bCs/>
          <w:sz w:val="28"/>
          <w:szCs w:val="28"/>
          <w:lang w:eastAsia="en-US"/>
        </w:rPr>
        <w:t xml:space="preserve"> deben </w:t>
      </w:r>
      <w:r w:rsidR="007277C7" w:rsidRPr="00F27DC8">
        <w:rPr>
          <w:rFonts w:eastAsia="Calibri"/>
          <w:bCs/>
          <w:sz w:val="28"/>
          <w:szCs w:val="28"/>
          <w:lang w:eastAsia="en-US"/>
        </w:rPr>
        <w:t>computa</w:t>
      </w:r>
      <w:r w:rsidR="0061396F" w:rsidRPr="00F27DC8">
        <w:rPr>
          <w:rFonts w:eastAsia="Calibri"/>
          <w:bCs/>
          <w:sz w:val="28"/>
          <w:szCs w:val="28"/>
          <w:lang w:eastAsia="en-US"/>
        </w:rPr>
        <w:t xml:space="preserve">rse </w:t>
      </w:r>
      <w:r w:rsidR="007277C7" w:rsidRPr="00F27DC8">
        <w:rPr>
          <w:rFonts w:eastAsia="Calibri"/>
          <w:bCs/>
          <w:sz w:val="28"/>
          <w:szCs w:val="28"/>
          <w:lang w:eastAsia="en-US"/>
        </w:rPr>
        <w:t xml:space="preserve">para el plazo de la presentación de la demanda, </w:t>
      </w:r>
      <w:r w:rsidR="00C8768E" w:rsidRPr="00F27DC8">
        <w:rPr>
          <w:rFonts w:eastAsia="Calibri"/>
          <w:bCs/>
          <w:sz w:val="28"/>
          <w:szCs w:val="28"/>
          <w:lang w:eastAsia="en-US"/>
        </w:rPr>
        <w:t>fue precisamente el criterio que sustentó la Segunda Sala</w:t>
      </w:r>
      <w:r w:rsidR="009B380A">
        <w:rPr>
          <w:rFonts w:eastAsia="Calibri"/>
          <w:bCs/>
          <w:sz w:val="28"/>
          <w:szCs w:val="28"/>
          <w:lang w:eastAsia="en-US"/>
        </w:rPr>
        <w:t>,</w:t>
      </w:r>
      <w:r w:rsidR="00C8768E" w:rsidRPr="00F27DC8">
        <w:rPr>
          <w:rFonts w:eastAsia="Calibri"/>
          <w:bCs/>
          <w:sz w:val="28"/>
          <w:szCs w:val="28"/>
          <w:lang w:eastAsia="en-US"/>
        </w:rPr>
        <w:t xml:space="preserve"> y </w:t>
      </w:r>
      <w:r w:rsidR="009F0080">
        <w:rPr>
          <w:rFonts w:eastAsia="Calibri"/>
          <w:bCs/>
          <w:sz w:val="28"/>
          <w:szCs w:val="28"/>
          <w:lang w:eastAsia="en-US"/>
        </w:rPr>
        <w:t xml:space="preserve">con el </w:t>
      </w:r>
      <w:r w:rsidR="009B380A">
        <w:rPr>
          <w:rFonts w:eastAsia="Calibri"/>
          <w:bCs/>
          <w:sz w:val="28"/>
          <w:szCs w:val="28"/>
          <w:lang w:eastAsia="en-US"/>
        </w:rPr>
        <w:t>que el suscrito, en su momento, votó a favor.</w:t>
      </w:r>
    </w:p>
    <w:p w14:paraId="734B84F4" w14:textId="77777777" w:rsidR="007277C7" w:rsidRDefault="007277C7" w:rsidP="007E6108">
      <w:pPr>
        <w:pStyle w:val="corte4fondo"/>
        <w:spacing w:before="360" w:after="360" w:line="276" w:lineRule="auto"/>
        <w:ind w:right="49"/>
        <w:contextualSpacing/>
        <w:rPr>
          <w:rFonts w:eastAsia="Calibri"/>
          <w:sz w:val="28"/>
          <w:szCs w:val="28"/>
          <w:lang w:eastAsia="en-US"/>
        </w:rPr>
      </w:pPr>
    </w:p>
    <w:p w14:paraId="0806A6C4" w14:textId="77777777" w:rsidR="00266FE3" w:rsidRPr="00BC5FD5" w:rsidRDefault="003C5FA5" w:rsidP="00AA6303">
      <w:pPr>
        <w:pStyle w:val="CORTE4NORMAL"/>
        <w:spacing w:line="276" w:lineRule="auto"/>
        <w:ind w:right="49" w:firstLine="0"/>
        <w:jc w:val="center"/>
        <w:rPr>
          <w:b/>
          <w:szCs w:val="28"/>
        </w:rPr>
      </w:pPr>
      <w:r w:rsidRPr="00BC5FD5">
        <w:rPr>
          <w:b/>
          <w:szCs w:val="28"/>
        </w:rPr>
        <w:t>R</w:t>
      </w:r>
      <w:r w:rsidR="0046391E" w:rsidRPr="00BC5FD5">
        <w:rPr>
          <w:b/>
          <w:szCs w:val="28"/>
        </w:rPr>
        <w:t xml:space="preserve"> E S P E T U O S A M E N T E</w:t>
      </w:r>
    </w:p>
    <w:p w14:paraId="0238742A" w14:textId="6DEFE964" w:rsidR="00266FE3" w:rsidRDefault="00266FE3" w:rsidP="00AA6303">
      <w:pPr>
        <w:pStyle w:val="CORTE4NORMAL"/>
        <w:spacing w:line="276" w:lineRule="auto"/>
        <w:ind w:right="49" w:firstLine="0"/>
        <w:jc w:val="center"/>
        <w:rPr>
          <w:b/>
          <w:szCs w:val="28"/>
        </w:rPr>
      </w:pPr>
    </w:p>
    <w:p w14:paraId="27D9A5CE" w14:textId="63BA88B4" w:rsidR="00015ABA" w:rsidRDefault="00015ABA" w:rsidP="00AA6303">
      <w:pPr>
        <w:pStyle w:val="CORTE4NORMAL"/>
        <w:spacing w:line="276" w:lineRule="auto"/>
        <w:ind w:right="49" w:firstLine="0"/>
        <w:jc w:val="center"/>
        <w:rPr>
          <w:b/>
          <w:szCs w:val="28"/>
        </w:rPr>
      </w:pPr>
    </w:p>
    <w:p w14:paraId="061B5C6D" w14:textId="77777777" w:rsidR="00015ABA" w:rsidRDefault="00015ABA" w:rsidP="00AA6303">
      <w:pPr>
        <w:pStyle w:val="CORTE4NORMAL"/>
        <w:spacing w:line="276" w:lineRule="auto"/>
        <w:ind w:right="49" w:firstLine="0"/>
        <w:jc w:val="center"/>
        <w:rPr>
          <w:b/>
          <w:szCs w:val="28"/>
        </w:rPr>
      </w:pPr>
    </w:p>
    <w:p w14:paraId="3ACE7711" w14:textId="77777777" w:rsidR="00910A2D" w:rsidRPr="00A94F49" w:rsidRDefault="00910A2D" w:rsidP="00AA6303">
      <w:pPr>
        <w:pStyle w:val="CORTE4NORMAL"/>
        <w:spacing w:line="276" w:lineRule="auto"/>
        <w:ind w:right="49" w:firstLine="0"/>
        <w:jc w:val="center"/>
        <w:rPr>
          <w:b/>
          <w:szCs w:val="28"/>
        </w:rPr>
      </w:pPr>
    </w:p>
    <w:p w14:paraId="1DBA9AB9" w14:textId="77777777" w:rsidR="00747381" w:rsidRDefault="008D1809" w:rsidP="00AA6303">
      <w:pPr>
        <w:pStyle w:val="CORTE4NORMAL"/>
        <w:spacing w:line="276" w:lineRule="auto"/>
        <w:ind w:right="49" w:firstLine="0"/>
        <w:jc w:val="center"/>
        <w:rPr>
          <w:b/>
          <w:szCs w:val="28"/>
        </w:rPr>
      </w:pPr>
      <w:r w:rsidRPr="00A94F49">
        <w:rPr>
          <w:b/>
          <w:szCs w:val="28"/>
        </w:rPr>
        <w:t>MINISTRO JOSÉ FERNANDO FRANCO GONZÁLEZ SALAS</w:t>
      </w:r>
    </w:p>
    <w:p w14:paraId="1ACE72FE" w14:textId="77777777" w:rsidR="00C87AF1" w:rsidRDefault="00C87AF1" w:rsidP="00AA6303">
      <w:pPr>
        <w:pStyle w:val="CORTE4NORMAL"/>
        <w:spacing w:line="276" w:lineRule="auto"/>
        <w:ind w:right="49" w:firstLine="0"/>
        <w:jc w:val="center"/>
        <w:rPr>
          <w:b/>
          <w:szCs w:val="28"/>
        </w:rPr>
      </w:pPr>
    </w:p>
    <w:p w14:paraId="7D1E2E32" w14:textId="27A6DA49" w:rsidR="00C87AF1" w:rsidRDefault="00C87AF1" w:rsidP="00C87AF1">
      <w:pPr>
        <w:pStyle w:val="CORTE4NORMAL"/>
        <w:spacing w:line="276" w:lineRule="auto"/>
        <w:ind w:right="49" w:firstLine="0"/>
        <w:rPr>
          <w:sz w:val="24"/>
          <w:szCs w:val="24"/>
        </w:rPr>
      </w:pPr>
      <w:r w:rsidRPr="00C87AF1">
        <w:rPr>
          <w:sz w:val="24"/>
          <w:szCs w:val="24"/>
        </w:rPr>
        <w:t>NPCF</w:t>
      </w:r>
    </w:p>
    <w:p w14:paraId="4710EBE0" w14:textId="6F35C38B" w:rsidR="005F3D95" w:rsidRDefault="005F3D95" w:rsidP="00C87AF1">
      <w:pPr>
        <w:pStyle w:val="CORTE4NORMAL"/>
        <w:spacing w:line="276" w:lineRule="auto"/>
        <w:ind w:right="49" w:firstLine="0"/>
        <w:rPr>
          <w:sz w:val="24"/>
          <w:szCs w:val="24"/>
        </w:rPr>
      </w:pPr>
    </w:p>
    <w:p w14:paraId="78E91CDC" w14:textId="77777777" w:rsidR="005F3D95" w:rsidRPr="003F00C9" w:rsidRDefault="005F3D95" w:rsidP="005F3D95">
      <w:pPr>
        <w:jc w:val="both"/>
        <w:rPr>
          <w:rFonts w:ascii="Arial" w:hAnsi="Arial" w:cs="Arial"/>
          <w:sz w:val="24"/>
          <w:szCs w:val="24"/>
        </w:rPr>
      </w:pPr>
      <w:r w:rsidRPr="003F00C9">
        <w:rPr>
          <w:rFonts w:ascii="Arial" w:hAnsi="Arial" w:cs="Arial"/>
          <w:sz w:val="24"/>
          <w:szCs w:val="24"/>
        </w:rPr>
        <w:t>En términos de lo dispuesto en los artículos 3, fracción XXI, 73, fracción II, 111, 113, 116, Octavo y Duodécimo Transitorios de la Ley General de Transparencia y Acceso a la Información Pública, así como en el segundo párrafo de artículo 9º del Reglamento de la Suprema Corte de Justicia de la Nación y del Consejo de la Judicatura Federal para la aplicación de la Ley Federal de Transparencia y Acceso a la Información Pública Gubernamental, en esta versión pública se testa la información considerada legalmente como reservada o confidencial que encuadra en esos supuestos normativos.</w:t>
      </w:r>
    </w:p>
    <w:p w14:paraId="22052493" w14:textId="77777777" w:rsidR="005F3D95" w:rsidRPr="00C87AF1" w:rsidRDefault="005F3D95" w:rsidP="005F3D95">
      <w:pPr>
        <w:pStyle w:val="CORTE4NORMAL"/>
        <w:spacing w:line="276" w:lineRule="auto"/>
        <w:ind w:right="49" w:firstLine="0"/>
        <w:rPr>
          <w:sz w:val="24"/>
          <w:szCs w:val="24"/>
        </w:rPr>
      </w:pPr>
    </w:p>
    <w:p w14:paraId="7C9B9D29" w14:textId="77777777" w:rsidR="005F3D95" w:rsidRPr="00C87AF1" w:rsidRDefault="005F3D95" w:rsidP="00C87AF1">
      <w:pPr>
        <w:pStyle w:val="CORTE4NORMAL"/>
        <w:spacing w:line="276" w:lineRule="auto"/>
        <w:ind w:right="49" w:firstLine="0"/>
        <w:rPr>
          <w:sz w:val="24"/>
          <w:szCs w:val="24"/>
        </w:rPr>
      </w:pPr>
    </w:p>
    <w:sectPr w:rsidR="005F3D95" w:rsidRPr="00C87AF1" w:rsidSect="0058572B">
      <w:headerReference w:type="even" r:id="rId11"/>
      <w:headerReference w:type="default" r:id="rId12"/>
      <w:footerReference w:type="even" r:id="rId13"/>
      <w:footerReference w:type="default" r:id="rId14"/>
      <w:headerReference w:type="first" r:id="rId15"/>
      <w:footerReference w:type="first" r:id="rId16"/>
      <w:pgSz w:w="12240" w:h="20160" w:code="5"/>
      <w:pgMar w:top="3402" w:right="1701" w:bottom="1985" w:left="1985" w:header="1418" w:footer="141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659A2" w14:textId="77777777" w:rsidR="00096EB9" w:rsidRDefault="00096EB9" w:rsidP="009C4E0F">
      <w:r>
        <w:separator/>
      </w:r>
    </w:p>
  </w:endnote>
  <w:endnote w:type="continuationSeparator" w:id="0">
    <w:p w14:paraId="23F342BB" w14:textId="77777777" w:rsidR="00096EB9" w:rsidRDefault="00096EB9" w:rsidP="009C4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0FBA3" w14:textId="77777777" w:rsidR="006D5E8E" w:rsidRDefault="006D5E8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AC9BD" w14:textId="77777777" w:rsidR="00652AB3" w:rsidRDefault="00652AB3" w:rsidP="00652AB3">
    <w:pPr>
      <w:pStyle w:val="Piedepgina"/>
      <w:jc w:val="right"/>
      <w:rPr>
        <w:rFonts w:ascii="Arial" w:hAnsi="Arial" w:cs="Arial"/>
        <w:b/>
        <w:sz w:val="24"/>
        <w:szCs w:val="24"/>
      </w:rPr>
    </w:pPr>
  </w:p>
  <w:p w14:paraId="3D8A19BF" w14:textId="77777777" w:rsidR="00EE754D" w:rsidRPr="00652AB3" w:rsidRDefault="00EE754D" w:rsidP="00652AB3">
    <w:pPr>
      <w:pStyle w:val="Piedepgina"/>
      <w:jc w:val="right"/>
      <w:rPr>
        <w:rFonts w:ascii="Arial" w:hAnsi="Arial" w:cs="Arial"/>
        <w:b/>
        <w:sz w:val="24"/>
        <w:szCs w:val="24"/>
      </w:rPr>
    </w:pPr>
    <w:r w:rsidRPr="00652AB3">
      <w:rPr>
        <w:rFonts w:ascii="Arial" w:hAnsi="Arial" w:cs="Arial"/>
        <w:b/>
        <w:sz w:val="24"/>
        <w:szCs w:val="24"/>
      </w:rPr>
      <w:fldChar w:fldCharType="begin"/>
    </w:r>
    <w:r w:rsidRPr="00652AB3">
      <w:rPr>
        <w:rFonts w:ascii="Arial" w:hAnsi="Arial" w:cs="Arial"/>
        <w:b/>
        <w:sz w:val="24"/>
        <w:szCs w:val="24"/>
      </w:rPr>
      <w:instrText>PAGE   \* MERGEFORMAT</w:instrText>
    </w:r>
    <w:r w:rsidRPr="00652AB3">
      <w:rPr>
        <w:rFonts w:ascii="Arial" w:hAnsi="Arial" w:cs="Arial"/>
        <w:b/>
        <w:sz w:val="24"/>
        <w:szCs w:val="24"/>
      </w:rPr>
      <w:fldChar w:fldCharType="separate"/>
    </w:r>
    <w:r w:rsidR="00446152">
      <w:rPr>
        <w:rFonts w:ascii="Arial" w:hAnsi="Arial" w:cs="Arial"/>
        <w:b/>
        <w:noProof/>
        <w:sz w:val="24"/>
        <w:szCs w:val="24"/>
      </w:rPr>
      <w:t>12</w:t>
    </w:r>
    <w:r w:rsidRPr="00652AB3">
      <w:rPr>
        <w:rFonts w:ascii="Arial" w:hAnsi="Arial" w:cs="Arial"/>
        <w:b/>
        <w:sz w:val="24"/>
        <w:szCs w:val="24"/>
      </w:rPr>
      <w:fldChar w:fldCharType="end"/>
    </w:r>
  </w:p>
  <w:p w14:paraId="760A962A" w14:textId="77777777" w:rsidR="00EE754D" w:rsidRPr="00652AB3" w:rsidRDefault="00EE754D" w:rsidP="00652AB3">
    <w:pPr>
      <w:pStyle w:val="Piedepgina"/>
      <w:jc w:val="right"/>
      <w:rPr>
        <w:rFonts w:ascii="Arial" w:hAnsi="Arial" w:cs="Arial"/>
        <w:b/>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4EF2A" w14:textId="77777777" w:rsidR="006D5E8E" w:rsidRDefault="006D5E8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86069" w14:textId="77777777" w:rsidR="00096EB9" w:rsidRDefault="00096EB9" w:rsidP="009C4E0F">
      <w:r>
        <w:separator/>
      </w:r>
    </w:p>
  </w:footnote>
  <w:footnote w:type="continuationSeparator" w:id="0">
    <w:p w14:paraId="3BB6C443" w14:textId="77777777" w:rsidR="00096EB9" w:rsidRDefault="00096EB9" w:rsidP="009C4E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B7648" w14:textId="77777777" w:rsidR="006D5E8E" w:rsidRDefault="006D5E8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21800" w14:textId="77777777" w:rsidR="004938CC" w:rsidRPr="00652AB3" w:rsidRDefault="004938CC" w:rsidP="00652AB3">
    <w:pPr>
      <w:pStyle w:val="Encabezado"/>
      <w:tabs>
        <w:tab w:val="clear" w:pos="8838"/>
      </w:tabs>
      <w:ind w:right="-518"/>
      <w:jc w:val="right"/>
      <w:rPr>
        <w:rFonts w:ascii="Arial" w:hAnsi="Arial" w:cs="Arial"/>
        <w:b/>
        <w:sz w:val="24"/>
        <w:szCs w:val="24"/>
        <w:lang w:val="es-MX"/>
      </w:rPr>
    </w:pPr>
  </w:p>
  <w:p w14:paraId="0D2FBBF4" w14:textId="77777777" w:rsidR="004938CC" w:rsidRDefault="004938CC" w:rsidP="00652AB3">
    <w:pPr>
      <w:pStyle w:val="Encabezado"/>
      <w:tabs>
        <w:tab w:val="clear" w:pos="8838"/>
      </w:tabs>
      <w:ind w:right="-518"/>
      <w:jc w:val="right"/>
      <w:rPr>
        <w:rFonts w:ascii="Arial" w:hAnsi="Arial" w:cs="Arial"/>
        <w:b/>
        <w:sz w:val="24"/>
        <w:szCs w:val="24"/>
        <w:lang w:val="es-MX"/>
      </w:rPr>
    </w:pPr>
  </w:p>
  <w:p w14:paraId="7B4A2E2B" w14:textId="77777777" w:rsidR="006D5E8E" w:rsidRPr="00652AB3" w:rsidRDefault="006D5E8E" w:rsidP="00652AB3">
    <w:pPr>
      <w:pStyle w:val="Encabezado"/>
      <w:tabs>
        <w:tab w:val="clear" w:pos="8838"/>
      </w:tabs>
      <w:ind w:right="-518"/>
      <w:jc w:val="right"/>
      <w:rPr>
        <w:rFonts w:ascii="Arial" w:hAnsi="Arial" w:cs="Arial"/>
        <w:b/>
        <w:sz w:val="24"/>
        <w:szCs w:val="24"/>
        <w:lang w:val="es-MX"/>
      </w:rPr>
    </w:pPr>
  </w:p>
  <w:p w14:paraId="67DA201B" w14:textId="77777777" w:rsidR="004938CC" w:rsidRPr="00652AB3" w:rsidRDefault="004938CC" w:rsidP="00652AB3">
    <w:pPr>
      <w:pStyle w:val="Encabezado"/>
      <w:tabs>
        <w:tab w:val="clear" w:pos="8838"/>
      </w:tabs>
      <w:ind w:right="-518"/>
      <w:jc w:val="right"/>
      <w:rPr>
        <w:rFonts w:ascii="Arial" w:hAnsi="Arial" w:cs="Arial"/>
        <w:b/>
        <w:sz w:val="24"/>
        <w:szCs w:val="24"/>
        <w:lang w:val="es-MX"/>
      </w:rPr>
    </w:pPr>
  </w:p>
  <w:p w14:paraId="360E88A5" w14:textId="5435F837" w:rsidR="00EE754D" w:rsidRPr="00652AB3" w:rsidRDefault="004D0E2B" w:rsidP="00652AB3">
    <w:pPr>
      <w:pStyle w:val="Encabezado"/>
      <w:tabs>
        <w:tab w:val="clear" w:pos="8838"/>
      </w:tabs>
      <w:ind w:right="-518"/>
      <w:jc w:val="right"/>
      <w:rPr>
        <w:rFonts w:ascii="Arial" w:hAnsi="Arial" w:cs="Arial"/>
        <w:b/>
        <w:sz w:val="24"/>
        <w:szCs w:val="24"/>
        <w:lang w:val="es-MX"/>
      </w:rPr>
    </w:pPr>
    <w:r w:rsidRPr="00652AB3">
      <w:rPr>
        <w:rFonts w:ascii="Arial" w:hAnsi="Arial" w:cs="Arial"/>
        <w:b/>
        <w:sz w:val="24"/>
        <w:szCs w:val="24"/>
        <w:lang w:val="es-MX"/>
      </w:rPr>
      <w:t xml:space="preserve">VOTO </w:t>
    </w:r>
    <w:r w:rsidR="004F0B3D">
      <w:rPr>
        <w:rFonts w:ascii="Arial" w:hAnsi="Arial" w:cs="Arial"/>
        <w:b/>
        <w:sz w:val="24"/>
        <w:szCs w:val="24"/>
        <w:lang w:val="es-MX"/>
      </w:rPr>
      <w:t xml:space="preserve">PARTICULAR </w:t>
    </w:r>
    <w:r w:rsidRPr="00652AB3">
      <w:rPr>
        <w:rFonts w:ascii="Arial" w:hAnsi="Arial" w:cs="Arial"/>
        <w:b/>
        <w:sz w:val="24"/>
        <w:szCs w:val="24"/>
        <w:lang w:val="es-MX"/>
      </w:rPr>
      <w:t xml:space="preserve">EN LA </w:t>
    </w:r>
    <w:r w:rsidR="004F0B3D">
      <w:rPr>
        <w:rFonts w:ascii="Arial" w:hAnsi="Arial" w:cs="Arial"/>
        <w:b/>
        <w:sz w:val="24"/>
        <w:szCs w:val="24"/>
        <w:lang w:val="es-MX"/>
      </w:rPr>
      <w:t xml:space="preserve">CONTRADICIÓN DE TESIS </w:t>
    </w:r>
    <w:r w:rsidR="00492284">
      <w:rPr>
        <w:rFonts w:ascii="Arial" w:hAnsi="Arial" w:cs="Arial"/>
        <w:b/>
        <w:sz w:val="24"/>
        <w:szCs w:val="24"/>
        <w:lang w:val="es-MX"/>
      </w:rPr>
      <w:t>257/2020</w:t>
    </w:r>
  </w:p>
  <w:p w14:paraId="669CFDCD" w14:textId="77777777" w:rsidR="004938CC" w:rsidRPr="00652AB3" w:rsidRDefault="004938CC" w:rsidP="00652AB3">
    <w:pPr>
      <w:pStyle w:val="Encabezado"/>
      <w:tabs>
        <w:tab w:val="clear" w:pos="8838"/>
      </w:tabs>
      <w:ind w:right="-518"/>
      <w:jc w:val="right"/>
      <w:rPr>
        <w:rFonts w:ascii="Arial" w:hAnsi="Arial" w:cs="Arial"/>
        <w:b/>
        <w:sz w:val="24"/>
        <w:szCs w:val="24"/>
        <w:lang w:val="es-MX"/>
      </w:rPr>
    </w:pPr>
  </w:p>
  <w:p w14:paraId="2FC195D6" w14:textId="77777777" w:rsidR="004938CC" w:rsidRPr="00652AB3" w:rsidRDefault="004938CC" w:rsidP="00652AB3">
    <w:pPr>
      <w:pStyle w:val="Encabezado"/>
      <w:tabs>
        <w:tab w:val="clear" w:pos="8838"/>
      </w:tabs>
      <w:ind w:right="-518"/>
      <w:jc w:val="right"/>
      <w:rPr>
        <w:rFonts w:ascii="Arial" w:hAnsi="Arial" w:cs="Arial"/>
        <w:b/>
        <w:sz w:val="24"/>
        <w:szCs w:val="24"/>
        <w:lang w:val="es-MX"/>
      </w:rPr>
    </w:pPr>
  </w:p>
  <w:p w14:paraId="309E0FF4" w14:textId="77777777" w:rsidR="004938CC" w:rsidRPr="00652AB3" w:rsidRDefault="004938CC" w:rsidP="00652AB3">
    <w:pPr>
      <w:pStyle w:val="Encabezado"/>
      <w:tabs>
        <w:tab w:val="clear" w:pos="8838"/>
      </w:tabs>
      <w:ind w:right="-518"/>
      <w:jc w:val="right"/>
      <w:rPr>
        <w:rFonts w:ascii="Arial" w:hAnsi="Arial" w:cs="Arial"/>
        <w:b/>
        <w:sz w:val="24"/>
        <w:szCs w:val="24"/>
        <w:lang w:val="es-MX"/>
      </w:rPr>
    </w:pPr>
  </w:p>
  <w:p w14:paraId="3AD6DBFB" w14:textId="77777777" w:rsidR="004938CC" w:rsidRPr="00652AB3" w:rsidRDefault="004938CC" w:rsidP="00652AB3">
    <w:pPr>
      <w:pStyle w:val="Encabezado"/>
      <w:tabs>
        <w:tab w:val="clear" w:pos="8838"/>
      </w:tabs>
      <w:ind w:right="-518"/>
      <w:jc w:val="right"/>
      <w:rPr>
        <w:rFonts w:ascii="Arial" w:hAnsi="Arial" w:cs="Arial"/>
        <w:b/>
        <w:sz w:val="24"/>
        <w:szCs w:val="24"/>
        <w:lang w:val="es-MX"/>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CE2D3" w14:textId="77777777" w:rsidR="006D5E8E" w:rsidRDefault="006D5E8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598D"/>
    <w:multiLevelType w:val="hybridMultilevel"/>
    <w:tmpl w:val="C9A6A09A"/>
    <w:lvl w:ilvl="0" w:tplc="4984CF2A">
      <w:start w:val="1"/>
      <w:numFmt w:val="decimal"/>
      <w:lvlText w:val="%1."/>
      <w:lvlJc w:val="left"/>
      <w:pPr>
        <w:ind w:left="502" w:hanging="360"/>
      </w:pPr>
      <w:rPr>
        <w:b w:val="0"/>
      </w:rPr>
    </w:lvl>
    <w:lvl w:ilvl="1" w:tplc="080A0019">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 w15:restartNumberingAfterBreak="0">
    <w:nsid w:val="02287050"/>
    <w:multiLevelType w:val="hybridMultilevel"/>
    <w:tmpl w:val="164A99B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C7A5CCC"/>
    <w:multiLevelType w:val="hybridMultilevel"/>
    <w:tmpl w:val="70DAB70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F24E6B"/>
    <w:multiLevelType w:val="hybridMultilevel"/>
    <w:tmpl w:val="2BA4ADCA"/>
    <w:lvl w:ilvl="0" w:tplc="7F2660AC">
      <w:start w:val="1"/>
      <w:numFmt w:val="lowerRoman"/>
      <w:lvlText w:val="%1)"/>
      <w:lvlJc w:val="left"/>
      <w:pPr>
        <w:ind w:left="720" w:hanging="360"/>
      </w:pPr>
      <w:rPr>
        <w:rFonts w:ascii="Arial" w:eastAsia="Times New Roman"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EE59D5"/>
    <w:multiLevelType w:val="hybridMultilevel"/>
    <w:tmpl w:val="FDD8CED0"/>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31734E"/>
    <w:multiLevelType w:val="hybridMultilevel"/>
    <w:tmpl w:val="EDB25416"/>
    <w:lvl w:ilvl="0" w:tplc="7C44B6A8">
      <w:start w:val="121"/>
      <w:numFmt w:val="decimal"/>
      <w:lvlText w:val="%1."/>
      <w:lvlJc w:val="left"/>
      <w:pPr>
        <w:ind w:left="840" w:hanging="48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F2F14BE"/>
    <w:multiLevelType w:val="hybridMultilevel"/>
    <w:tmpl w:val="7B2013DA"/>
    <w:lvl w:ilvl="0" w:tplc="080A0017">
      <w:start w:val="1"/>
      <w:numFmt w:val="low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055159D"/>
    <w:multiLevelType w:val="hybridMultilevel"/>
    <w:tmpl w:val="A4388172"/>
    <w:lvl w:ilvl="0" w:tplc="60146CB8">
      <w:start w:val="1"/>
      <w:numFmt w:val="decimal"/>
      <w:lvlText w:val="%1."/>
      <w:lvlJc w:val="left"/>
      <w:pPr>
        <w:ind w:left="720" w:hanging="360"/>
      </w:pPr>
      <w:rPr>
        <w:b w:val="0"/>
        <w:i w:val="0"/>
        <w:sz w:val="22"/>
        <w:szCs w:val="22"/>
      </w:rPr>
    </w:lvl>
    <w:lvl w:ilvl="1" w:tplc="092678D4">
      <w:start w:val="1"/>
      <w:numFmt w:val="upperRoman"/>
      <w:lvlText w:val="%2."/>
      <w:lvlJc w:val="left"/>
      <w:pPr>
        <w:ind w:left="1800" w:hanging="720"/>
      </w:pPr>
      <w:rPr>
        <w:rFonts w:hint="default"/>
        <w:b/>
      </w:rPr>
    </w:lvl>
    <w:lvl w:ilvl="2" w:tplc="41861576">
      <w:start w:val="1"/>
      <w:numFmt w:val="lowerLetter"/>
      <w:lvlText w:val="%3)"/>
      <w:lvlJc w:val="left"/>
      <w:pPr>
        <w:ind w:left="2410" w:hanging="430"/>
      </w:pPr>
      <w:rPr>
        <w:rFonts w:hint="default"/>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0EF2E0B"/>
    <w:multiLevelType w:val="hybridMultilevel"/>
    <w:tmpl w:val="EEA4AF94"/>
    <w:lvl w:ilvl="0" w:tplc="375C0C4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1631272"/>
    <w:multiLevelType w:val="hybridMultilevel"/>
    <w:tmpl w:val="8A00B54E"/>
    <w:lvl w:ilvl="0" w:tplc="273A2E1A">
      <w:start w:val="6"/>
      <w:numFmt w:val="upperRoman"/>
      <w:lvlText w:val="%1."/>
      <w:lvlJc w:val="left"/>
      <w:pPr>
        <w:ind w:left="1866" w:hanging="720"/>
      </w:pPr>
      <w:rPr>
        <w:rFonts w:hint="default"/>
        <w:b/>
      </w:rPr>
    </w:lvl>
    <w:lvl w:ilvl="1" w:tplc="080A0019">
      <w:start w:val="1"/>
      <w:numFmt w:val="lowerLetter"/>
      <w:lvlText w:val="%2."/>
      <w:lvlJc w:val="left"/>
      <w:pPr>
        <w:ind w:left="2226" w:hanging="360"/>
      </w:pPr>
    </w:lvl>
    <w:lvl w:ilvl="2" w:tplc="080A001B" w:tentative="1">
      <w:start w:val="1"/>
      <w:numFmt w:val="lowerRoman"/>
      <w:lvlText w:val="%3."/>
      <w:lvlJc w:val="right"/>
      <w:pPr>
        <w:ind w:left="2946" w:hanging="180"/>
      </w:pPr>
    </w:lvl>
    <w:lvl w:ilvl="3" w:tplc="080A000F" w:tentative="1">
      <w:start w:val="1"/>
      <w:numFmt w:val="decimal"/>
      <w:lvlText w:val="%4."/>
      <w:lvlJc w:val="left"/>
      <w:pPr>
        <w:ind w:left="3666" w:hanging="360"/>
      </w:pPr>
    </w:lvl>
    <w:lvl w:ilvl="4" w:tplc="080A0019" w:tentative="1">
      <w:start w:val="1"/>
      <w:numFmt w:val="lowerLetter"/>
      <w:lvlText w:val="%5."/>
      <w:lvlJc w:val="left"/>
      <w:pPr>
        <w:ind w:left="4386" w:hanging="360"/>
      </w:pPr>
    </w:lvl>
    <w:lvl w:ilvl="5" w:tplc="080A001B" w:tentative="1">
      <w:start w:val="1"/>
      <w:numFmt w:val="lowerRoman"/>
      <w:lvlText w:val="%6."/>
      <w:lvlJc w:val="right"/>
      <w:pPr>
        <w:ind w:left="5106" w:hanging="180"/>
      </w:pPr>
    </w:lvl>
    <w:lvl w:ilvl="6" w:tplc="080A000F" w:tentative="1">
      <w:start w:val="1"/>
      <w:numFmt w:val="decimal"/>
      <w:lvlText w:val="%7."/>
      <w:lvlJc w:val="left"/>
      <w:pPr>
        <w:ind w:left="5826" w:hanging="360"/>
      </w:pPr>
    </w:lvl>
    <w:lvl w:ilvl="7" w:tplc="080A0019" w:tentative="1">
      <w:start w:val="1"/>
      <w:numFmt w:val="lowerLetter"/>
      <w:lvlText w:val="%8."/>
      <w:lvlJc w:val="left"/>
      <w:pPr>
        <w:ind w:left="6546" w:hanging="360"/>
      </w:pPr>
    </w:lvl>
    <w:lvl w:ilvl="8" w:tplc="080A001B" w:tentative="1">
      <w:start w:val="1"/>
      <w:numFmt w:val="lowerRoman"/>
      <w:lvlText w:val="%9."/>
      <w:lvlJc w:val="right"/>
      <w:pPr>
        <w:ind w:left="7266" w:hanging="180"/>
      </w:pPr>
    </w:lvl>
  </w:abstractNum>
  <w:abstractNum w:abstractNumId="10" w15:restartNumberingAfterBreak="0">
    <w:nsid w:val="21EA387F"/>
    <w:multiLevelType w:val="hybridMultilevel"/>
    <w:tmpl w:val="F7D0A9DC"/>
    <w:lvl w:ilvl="0" w:tplc="E5603AF0">
      <w:start w:val="1"/>
      <w:numFmt w:val="lowerRoman"/>
      <w:lvlText w:val="%1)"/>
      <w:lvlJc w:val="left"/>
      <w:pPr>
        <w:ind w:left="720" w:hanging="360"/>
      </w:pPr>
      <w:rPr>
        <w:rFonts w:ascii="Arial" w:eastAsia="Times New Roman"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A885944"/>
    <w:multiLevelType w:val="hybridMultilevel"/>
    <w:tmpl w:val="DBC6FB4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1666519"/>
    <w:multiLevelType w:val="hybridMultilevel"/>
    <w:tmpl w:val="BE8C7970"/>
    <w:lvl w:ilvl="0" w:tplc="33A0C73C">
      <w:start w:val="121"/>
      <w:numFmt w:val="decimal"/>
      <w:lvlText w:val="%1."/>
      <w:lvlJc w:val="left"/>
      <w:pPr>
        <w:ind w:left="840" w:hanging="48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4414F4A"/>
    <w:multiLevelType w:val="hybridMultilevel"/>
    <w:tmpl w:val="12C80974"/>
    <w:lvl w:ilvl="0" w:tplc="080A000B">
      <w:start w:val="1"/>
      <w:numFmt w:val="bullet"/>
      <w:lvlText w:val=""/>
      <w:lvlJc w:val="left"/>
      <w:pPr>
        <w:ind w:left="1571" w:hanging="360"/>
      </w:pPr>
      <w:rPr>
        <w:rFonts w:ascii="Wingdings" w:hAnsi="Wingdings"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14" w15:restartNumberingAfterBreak="0">
    <w:nsid w:val="382F10B1"/>
    <w:multiLevelType w:val="hybridMultilevel"/>
    <w:tmpl w:val="A17EE14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A3F4A5C"/>
    <w:multiLevelType w:val="singleLevel"/>
    <w:tmpl w:val="D690D9F6"/>
    <w:lvl w:ilvl="0">
      <w:start w:val="1"/>
      <w:numFmt w:val="decimal"/>
      <w:lvlText w:val="%1."/>
      <w:lvlJc w:val="left"/>
      <w:pPr>
        <w:tabs>
          <w:tab w:val="num" w:pos="1069"/>
        </w:tabs>
        <w:ind w:left="1069" w:hanging="360"/>
      </w:pPr>
    </w:lvl>
  </w:abstractNum>
  <w:abstractNum w:abstractNumId="16" w15:restartNumberingAfterBreak="0">
    <w:nsid w:val="3AC26B6F"/>
    <w:multiLevelType w:val="hybridMultilevel"/>
    <w:tmpl w:val="AD2CE576"/>
    <w:lvl w:ilvl="0" w:tplc="935E2BB8">
      <w:start w:val="1"/>
      <w:numFmt w:val="lowerRoman"/>
      <w:lvlText w:val="%1)"/>
      <w:lvlJc w:val="left"/>
      <w:pPr>
        <w:ind w:left="720" w:hanging="360"/>
      </w:pPr>
      <w:rPr>
        <w:rFonts w:ascii="Arial" w:eastAsia="Times New Roman"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DEC45FB"/>
    <w:multiLevelType w:val="hybridMultilevel"/>
    <w:tmpl w:val="D79C1634"/>
    <w:lvl w:ilvl="0" w:tplc="6364702E">
      <w:start w:val="1"/>
      <w:numFmt w:val="upperRoman"/>
      <w:lvlText w:val="%1."/>
      <w:lvlJc w:val="left"/>
      <w:pPr>
        <w:ind w:left="3556" w:hanging="720"/>
      </w:pPr>
      <w:rPr>
        <w:rFonts w:hint="default"/>
        <w:b/>
      </w:rPr>
    </w:lvl>
    <w:lvl w:ilvl="1" w:tplc="080A0019" w:tentative="1">
      <w:start w:val="1"/>
      <w:numFmt w:val="lowerLetter"/>
      <w:lvlText w:val="%2."/>
      <w:lvlJc w:val="left"/>
      <w:pPr>
        <w:ind w:left="3916" w:hanging="360"/>
      </w:pPr>
    </w:lvl>
    <w:lvl w:ilvl="2" w:tplc="080A001B" w:tentative="1">
      <w:start w:val="1"/>
      <w:numFmt w:val="lowerRoman"/>
      <w:lvlText w:val="%3."/>
      <w:lvlJc w:val="right"/>
      <w:pPr>
        <w:ind w:left="4636" w:hanging="180"/>
      </w:pPr>
    </w:lvl>
    <w:lvl w:ilvl="3" w:tplc="080A000F" w:tentative="1">
      <w:start w:val="1"/>
      <w:numFmt w:val="decimal"/>
      <w:lvlText w:val="%4."/>
      <w:lvlJc w:val="left"/>
      <w:pPr>
        <w:ind w:left="5356" w:hanging="360"/>
      </w:pPr>
    </w:lvl>
    <w:lvl w:ilvl="4" w:tplc="080A0019" w:tentative="1">
      <w:start w:val="1"/>
      <w:numFmt w:val="lowerLetter"/>
      <w:lvlText w:val="%5."/>
      <w:lvlJc w:val="left"/>
      <w:pPr>
        <w:ind w:left="6076" w:hanging="360"/>
      </w:pPr>
    </w:lvl>
    <w:lvl w:ilvl="5" w:tplc="080A001B" w:tentative="1">
      <w:start w:val="1"/>
      <w:numFmt w:val="lowerRoman"/>
      <w:lvlText w:val="%6."/>
      <w:lvlJc w:val="right"/>
      <w:pPr>
        <w:ind w:left="6796" w:hanging="180"/>
      </w:pPr>
    </w:lvl>
    <w:lvl w:ilvl="6" w:tplc="080A000F" w:tentative="1">
      <w:start w:val="1"/>
      <w:numFmt w:val="decimal"/>
      <w:lvlText w:val="%7."/>
      <w:lvlJc w:val="left"/>
      <w:pPr>
        <w:ind w:left="7516" w:hanging="360"/>
      </w:pPr>
    </w:lvl>
    <w:lvl w:ilvl="7" w:tplc="080A0019" w:tentative="1">
      <w:start w:val="1"/>
      <w:numFmt w:val="lowerLetter"/>
      <w:lvlText w:val="%8."/>
      <w:lvlJc w:val="left"/>
      <w:pPr>
        <w:ind w:left="8236" w:hanging="360"/>
      </w:pPr>
    </w:lvl>
    <w:lvl w:ilvl="8" w:tplc="080A001B" w:tentative="1">
      <w:start w:val="1"/>
      <w:numFmt w:val="lowerRoman"/>
      <w:lvlText w:val="%9."/>
      <w:lvlJc w:val="right"/>
      <w:pPr>
        <w:ind w:left="8956" w:hanging="180"/>
      </w:pPr>
    </w:lvl>
  </w:abstractNum>
  <w:abstractNum w:abstractNumId="18" w15:restartNumberingAfterBreak="0">
    <w:nsid w:val="41EC2BC5"/>
    <w:multiLevelType w:val="hybridMultilevel"/>
    <w:tmpl w:val="3F680782"/>
    <w:lvl w:ilvl="0" w:tplc="C406A42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4BE685C"/>
    <w:multiLevelType w:val="hybridMultilevel"/>
    <w:tmpl w:val="C9A6A09A"/>
    <w:lvl w:ilvl="0" w:tplc="4984CF2A">
      <w:start w:val="1"/>
      <w:numFmt w:val="decimal"/>
      <w:lvlText w:val="%1."/>
      <w:lvlJc w:val="left"/>
      <w:pPr>
        <w:ind w:left="502" w:hanging="360"/>
      </w:pPr>
      <w:rPr>
        <w:b w:val="0"/>
      </w:rPr>
    </w:lvl>
    <w:lvl w:ilvl="1" w:tplc="080A0019">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0" w15:restartNumberingAfterBreak="0">
    <w:nsid w:val="46AA2DE0"/>
    <w:multiLevelType w:val="hybridMultilevel"/>
    <w:tmpl w:val="31A01DA0"/>
    <w:lvl w:ilvl="0" w:tplc="080A0017">
      <w:start w:val="1"/>
      <w:numFmt w:val="low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F023886"/>
    <w:multiLevelType w:val="hybridMultilevel"/>
    <w:tmpl w:val="394682D6"/>
    <w:lvl w:ilvl="0" w:tplc="080A000B">
      <w:start w:val="1"/>
      <w:numFmt w:val="bullet"/>
      <w:lvlText w:val=""/>
      <w:lvlJc w:val="left"/>
      <w:pPr>
        <w:ind w:left="1571" w:hanging="360"/>
      </w:pPr>
      <w:rPr>
        <w:rFonts w:ascii="Wingdings" w:hAnsi="Wingdings"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22" w15:restartNumberingAfterBreak="0">
    <w:nsid w:val="50650A62"/>
    <w:multiLevelType w:val="hybridMultilevel"/>
    <w:tmpl w:val="4B289EBA"/>
    <w:lvl w:ilvl="0" w:tplc="10701058">
      <w:start w:val="5"/>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11C57F3"/>
    <w:multiLevelType w:val="hybridMultilevel"/>
    <w:tmpl w:val="41BA0E6A"/>
    <w:lvl w:ilvl="0" w:tplc="6DB0791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57354DD"/>
    <w:multiLevelType w:val="hybridMultilevel"/>
    <w:tmpl w:val="C9A6A09A"/>
    <w:lvl w:ilvl="0" w:tplc="4984CF2A">
      <w:start w:val="1"/>
      <w:numFmt w:val="decimal"/>
      <w:lvlText w:val="%1."/>
      <w:lvlJc w:val="left"/>
      <w:pPr>
        <w:ind w:left="502" w:hanging="360"/>
      </w:pPr>
      <w:rPr>
        <w:b w:val="0"/>
      </w:rPr>
    </w:lvl>
    <w:lvl w:ilvl="1" w:tplc="080A0019">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5" w15:restartNumberingAfterBreak="0">
    <w:nsid w:val="61B80943"/>
    <w:multiLevelType w:val="hybridMultilevel"/>
    <w:tmpl w:val="283A921E"/>
    <w:lvl w:ilvl="0" w:tplc="2BC2374C">
      <w:start w:val="1"/>
      <w:numFmt w:val="lowerRoman"/>
      <w:lvlText w:val="%1)"/>
      <w:lvlJc w:val="left"/>
      <w:pPr>
        <w:ind w:left="720" w:hanging="360"/>
      </w:pPr>
      <w:rPr>
        <w:rFonts w:ascii="Arial" w:eastAsia="Times New Roman"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262264B"/>
    <w:multiLevelType w:val="hybridMultilevel"/>
    <w:tmpl w:val="A9C68810"/>
    <w:lvl w:ilvl="0" w:tplc="E468FF9C">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34E0515"/>
    <w:multiLevelType w:val="hybridMultilevel"/>
    <w:tmpl w:val="E4820F92"/>
    <w:lvl w:ilvl="0" w:tplc="8024838C">
      <w:start w:val="1"/>
      <w:numFmt w:val="upperRoman"/>
      <w:lvlText w:val="%1."/>
      <w:lvlJc w:val="left"/>
      <w:pPr>
        <w:ind w:left="1146" w:hanging="72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8" w15:restartNumberingAfterBreak="0">
    <w:nsid w:val="647C3515"/>
    <w:multiLevelType w:val="hybridMultilevel"/>
    <w:tmpl w:val="52EA50B6"/>
    <w:lvl w:ilvl="0" w:tplc="6CB0149E">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55E0C0B"/>
    <w:multiLevelType w:val="hybridMultilevel"/>
    <w:tmpl w:val="9BF69956"/>
    <w:lvl w:ilvl="0" w:tplc="2BC2374C">
      <w:start w:val="1"/>
      <w:numFmt w:val="lowerRoman"/>
      <w:lvlText w:val="%1)"/>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63C69EE"/>
    <w:multiLevelType w:val="hybridMultilevel"/>
    <w:tmpl w:val="38E29A24"/>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1" w15:restartNumberingAfterBreak="0">
    <w:nsid w:val="68BA6307"/>
    <w:multiLevelType w:val="hybridMultilevel"/>
    <w:tmpl w:val="7BCCA506"/>
    <w:lvl w:ilvl="0" w:tplc="17184E5E">
      <w:start w:val="18"/>
      <w:numFmt w:val="decimal"/>
      <w:lvlText w:val="%1."/>
      <w:lvlJc w:val="left"/>
      <w:pPr>
        <w:ind w:left="502"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B560DBD"/>
    <w:multiLevelType w:val="hybridMultilevel"/>
    <w:tmpl w:val="9796DF42"/>
    <w:lvl w:ilvl="0" w:tplc="0140473A">
      <w:start w:val="17"/>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CBD62D3"/>
    <w:multiLevelType w:val="hybridMultilevel"/>
    <w:tmpl w:val="5384448E"/>
    <w:lvl w:ilvl="0" w:tplc="5C909A42">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2295DE4"/>
    <w:multiLevelType w:val="hybridMultilevel"/>
    <w:tmpl w:val="8D94CDFE"/>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5" w15:restartNumberingAfterBreak="0">
    <w:nsid w:val="727E0C76"/>
    <w:multiLevelType w:val="hybridMultilevel"/>
    <w:tmpl w:val="6714D30C"/>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6" w15:restartNumberingAfterBreak="0">
    <w:nsid w:val="737F0F29"/>
    <w:multiLevelType w:val="hybridMultilevel"/>
    <w:tmpl w:val="A6685C62"/>
    <w:lvl w:ilvl="0" w:tplc="8020D014">
      <w:start w:val="1"/>
      <w:numFmt w:val="upperLetter"/>
      <w:lvlText w:val="%1)"/>
      <w:lvlJc w:val="left"/>
      <w:pPr>
        <w:ind w:left="1080" w:hanging="720"/>
      </w:pPr>
      <w:rPr>
        <w:rFonts w:ascii="Arial" w:eastAsia="Times New Roman"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42634CE"/>
    <w:multiLevelType w:val="hybridMultilevel"/>
    <w:tmpl w:val="99C25300"/>
    <w:lvl w:ilvl="0" w:tplc="B37E8A64">
      <w:start w:val="1"/>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8" w15:restartNumberingAfterBreak="0">
    <w:nsid w:val="777F25C0"/>
    <w:multiLevelType w:val="hybridMultilevel"/>
    <w:tmpl w:val="802442F6"/>
    <w:lvl w:ilvl="0" w:tplc="2230D4FE">
      <w:start w:val="1"/>
      <w:numFmt w:val="decimal"/>
      <w:lvlText w:val="%1."/>
      <w:lvlJc w:val="left"/>
      <w:pPr>
        <w:ind w:left="360" w:hanging="360"/>
      </w:pPr>
      <w:rPr>
        <w:b w:val="0"/>
        <w:lang w:val="es-MX"/>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9" w15:restartNumberingAfterBreak="0">
    <w:nsid w:val="78837FC4"/>
    <w:multiLevelType w:val="hybridMultilevel"/>
    <w:tmpl w:val="EF427624"/>
    <w:lvl w:ilvl="0" w:tplc="080A000B">
      <w:start w:val="1"/>
      <w:numFmt w:val="bullet"/>
      <w:lvlText w:val=""/>
      <w:lvlJc w:val="left"/>
      <w:pPr>
        <w:ind w:left="1571" w:hanging="360"/>
      </w:pPr>
      <w:rPr>
        <w:rFonts w:ascii="Wingdings" w:hAnsi="Wingdings"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num w:numId="1">
    <w:abstractNumId w:val="32"/>
  </w:num>
  <w:num w:numId="2">
    <w:abstractNumId w:val="24"/>
  </w:num>
  <w:num w:numId="3">
    <w:abstractNumId w:val="4"/>
  </w:num>
  <w:num w:numId="4">
    <w:abstractNumId w:val="31"/>
  </w:num>
  <w:num w:numId="5">
    <w:abstractNumId w:val="27"/>
  </w:num>
  <w:num w:numId="6">
    <w:abstractNumId w:val="14"/>
  </w:num>
  <w:num w:numId="7">
    <w:abstractNumId w:val="22"/>
  </w:num>
  <w:num w:numId="8">
    <w:abstractNumId w:val="11"/>
  </w:num>
  <w:num w:numId="9">
    <w:abstractNumId w:val="25"/>
  </w:num>
  <w:num w:numId="10">
    <w:abstractNumId w:val="37"/>
  </w:num>
  <w:num w:numId="11">
    <w:abstractNumId w:val="23"/>
  </w:num>
  <w:num w:numId="12">
    <w:abstractNumId w:val="36"/>
  </w:num>
  <w:num w:numId="13">
    <w:abstractNumId w:val="33"/>
  </w:num>
  <w:num w:numId="14">
    <w:abstractNumId w:val="6"/>
  </w:num>
  <w:num w:numId="15">
    <w:abstractNumId w:val="20"/>
  </w:num>
  <w:num w:numId="16">
    <w:abstractNumId w:val="29"/>
  </w:num>
  <w:num w:numId="17">
    <w:abstractNumId w:val="2"/>
  </w:num>
  <w:num w:numId="18">
    <w:abstractNumId w:val="8"/>
  </w:num>
  <w:num w:numId="19">
    <w:abstractNumId w:val="3"/>
  </w:num>
  <w:num w:numId="20">
    <w:abstractNumId w:val="10"/>
  </w:num>
  <w:num w:numId="21">
    <w:abstractNumId w:val="16"/>
  </w:num>
  <w:num w:numId="22">
    <w:abstractNumId w:val="18"/>
  </w:num>
  <w:num w:numId="23">
    <w:abstractNumId w:val="26"/>
  </w:num>
  <w:num w:numId="24">
    <w:abstractNumId w:val="28"/>
  </w:num>
  <w:num w:numId="25">
    <w:abstractNumId w:val="1"/>
  </w:num>
  <w:num w:numId="26">
    <w:abstractNumId w:val="0"/>
  </w:num>
  <w:num w:numId="27">
    <w:abstractNumId w:val="19"/>
  </w:num>
  <w:num w:numId="28">
    <w:abstractNumId w:val="12"/>
  </w:num>
  <w:num w:numId="29">
    <w:abstractNumId w:val="5"/>
  </w:num>
  <w:num w:numId="30">
    <w:abstractNumId w:val="9"/>
  </w:num>
  <w:num w:numId="31">
    <w:abstractNumId w:val="35"/>
  </w:num>
  <w:num w:numId="32">
    <w:abstractNumId w:val="30"/>
  </w:num>
  <w:num w:numId="33">
    <w:abstractNumId w:val="39"/>
  </w:num>
  <w:num w:numId="34">
    <w:abstractNumId w:val="13"/>
  </w:num>
  <w:num w:numId="35">
    <w:abstractNumId w:val="21"/>
  </w:num>
  <w:num w:numId="36">
    <w:abstractNumId w:val="34"/>
  </w:num>
  <w:num w:numId="37">
    <w:abstractNumId w:val="15"/>
    <w:lvlOverride w:ilvl="0">
      <w:startOverride w:val="1"/>
    </w:lvlOverride>
  </w:num>
  <w:num w:numId="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38"/>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E0F"/>
    <w:rsid w:val="000001FB"/>
    <w:rsid w:val="00002E90"/>
    <w:rsid w:val="00003C87"/>
    <w:rsid w:val="000048A3"/>
    <w:rsid w:val="00004B33"/>
    <w:rsid w:val="00010B25"/>
    <w:rsid w:val="00014675"/>
    <w:rsid w:val="000150EA"/>
    <w:rsid w:val="00015ABA"/>
    <w:rsid w:val="00016E42"/>
    <w:rsid w:val="00016FD0"/>
    <w:rsid w:val="00023B96"/>
    <w:rsid w:val="00024F43"/>
    <w:rsid w:val="00030E20"/>
    <w:rsid w:val="00032481"/>
    <w:rsid w:val="00032F91"/>
    <w:rsid w:val="000404BA"/>
    <w:rsid w:val="0004140A"/>
    <w:rsid w:val="00043378"/>
    <w:rsid w:val="00044F97"/>
    <w:rsid w:val="00050266"/>
    <w:rsid w:val="000517DF"/>
    <w:rsid w:val="0005307B"/>
    <w:rsid w:val="00053678"/>
    <w:rsid w:val="000556E4"/>
    <w:rsid w:val="0005572D"/>
    <w:rsid w:val="00055A0B"/>
    <w:rsid w:val="00056347"/>
    <w:rsid w:val="000612A5"/>
    <w:rsid w:val="000614AE"/>
    <w:rsid w:val="000630D1"/>
    <w:rsid w:val="00063E11"/>
    <w:rsid w:val="0007209B"/>
    <w:rsid w:val="000758C0"/>
    <w:rsid w:val="000817E9"/>
    <w:rsid w:val="00083AAE"/>
    <w:rsid w:val="00084D4B"/>
    <w:rsid w:val="00086D6E"/>
    <w:rsid w:val="00090233"/>
    <w:rsid w:val="000909AA"/>
    <w:rsid w:val="00090B03"/>
    <w:rsid w:val="00091EB2"/>
    <w:rsid w:val="00096EB9"/>
    <w:rsid w:val="000A1852"/>
    <w:rsid w:val="000A2722"/>
    <w:rsid w:val="000A5422"/>
    <w:rsid w:val="000A5AFB"/>
    <w:rsid w:val="000A740B"/>
    <w:rsid w:val="000B20CA"/>
    <w:rsid w:val="000B24C7"/>
    <w:rsid w:val="000B27D2"/>
    <w:rsid w:val="000B2DF5"/>
    <w:rsid w:val="000B3C88"/>
    <w:rsid w:val="000B5213"/>
    <w:rsid w:val="000C0CEA"/>
    <w:rsid w:val="000C156D"/>
    <w:rsid w:val="000C2BE5"/>
    <w:rsid w:val="000C6C50"/>
    <w:rsid w:val="000D22F3"/>
    <w:rsid w:val="000D5618"/>
    <w:rsid w:val="000D73E9"/>
    <w:rsid w:val="000E1570"/>
    <w:rsid w:val="000E2B69"/>
    <w:rsid w:val="000E3B43"/>
    <w:rsid w:val="000E6CC0"/>
    <w:rsid w:val="000E7492"/>
    <w:rsid w:val="000F1BCA"/>
    <w:rsid w:val="000F1FEE"/>
    <w:rsid w:val="000F369D"/>
    <w:rsid w:val="000F3FF4"/>
    <w:rsid w:val="000F5225"/>
    <w:rsid w:val="000F5B35"/>
    <w:rsid w:val="001001BF"/>
    <w:rsid w:val="00101769"/>
    <w:rsid w:val="00104CF5"/>
    <w:rsid w:val="00104FB4"/>
    <w:rsid w:val="00107119"/>
    <w:rsid w:val="00110694"/>
    <w:rsid w:val="001129FD"/>
    <w:rsid w:val="00114242"/>
    <w:rsid w:val="00115A7D"/>
    <w:rsid w:val="00120B3A"/>
    <w:rsid w:val="00121051"/>
    <w:rsid w:val="00121B6E"/>
    <w:rsid w:val="00121E05"/>
    <w:rsid w:val="00122C6D"/>
    <w:rsid w:val="00130018"/>
    <w:rsid w:val="00130F00"/>
    <w:rsid w:val="001331C4"/>
    <w:rsid w:val="001354BB"/>
    <w:rsid w:val="001374ED"/>
    <w:rsid w:val="00137D38"/>
    <w:rsid w:val="0014053B"/>
    <w:rsid w:val="00143A03"/>
    <w:rsid w:val="00147208"/>
    <w:rsid w:val="0014779B"/>
    <w:rsid w:val="0015106C"/>
    <w:rsid w:val="0015303F"/>
    <w:rsid w:val="001544CD"/>
    <w:rsid w:val="00160C73"/>
    <w:rsid w:val="00160D48"/>
    <w:rsid w:val="00160E1B"/>
    <w:rsid w:val="00162482"/>
    <w:rsid w:val="00163FC1"/>
    <w:rsid w:val="00165BCA"/>
    <w:rsid w:val="0016739D"/>
    <w:rsid w:val="0017590F"/>
    <w:rsid w:val="00177396"/>
    <w:rsid w:val="00177D21"/>
    <w:rsid w:val="00180E9B"/>
    <w:rsid w:val="001824DD"/>
    <w:rsid w:val="00183BDA"/>
    <w:rsid w:val="00184738"/>
    <w:rsid w:val="001907D0"/>
    <w:rsid w:val="001910A1"/>
    <w:rsid w:val="00191B6A"/>
    <w:rsid w:val="00192E74"/>
    <w:rsid w:val="001979D3"/>
    <w:rsid w:val="001A08F5"/>
    <w:rsid w:val="001A3639"/>
    <w:rsid w:val="001B052F"/>
    <w:rsid w:val="001B1BBC"/>
    <w:rsid w:val="001C02CF"/>
    <w:rsid w:val="001C1F46"/>
    <w:rsid w:val="001D140E"/>
    <w:rsid w:val="001D2ABC"/>
    <w:rsid w:val="001D2DA8"/>
    <w:rsid w:val="001D4ADE"/>
    <w:rsid w:val="001D67CD"/>
    <w:rsid w:val="001D6E1E"/>
    <w:rsid w:val="001F1E31"/>
    <w:rsid w:val="001F601F"/>
    <w:rsid w:val="00201756"/>
    <w:rsid w:val="00203D4A"/>
    <w:rsid w:val="00203DE8"/>
    <w:rsid w:val="00203E8F"/>
    <w:rsid w:val="00204D3F"/>
    <w:rsid w:val="002067C1"/>
    <w:rsid w:val="00207658"/>
    <w:rsid w:val="00211633"/>
    <w:rsid w:val="002126E1"/>
    <w:rsid w:val="00215176"/>
    <w:rsid w:val="002158AB"/>
    <w:rsid w:val="0021596D"/>
    <w:rsid w:val="00216B8B"/>
    <w:rsid w:val="002178DF"/>
    <w:rsid w:val="00217D53"/>
    <w:rsid w:val="00221AA4"/>
    <w:rsid w:val="002261EF"/>
    <w:rsid w:val="0022684C"/>
    <w:rsid w:val="00234892"/>
    <w:rsid w:val="002352CF"/>
    <w:rsid w:val="00236ADB"/>
    <w:rsid w:val="00237025"/>
    <w:rsid w:val="00240558"/>
    <w:rsid w:val="002409E9"/>
    <w:rsid w:val="00240C05"/>
    <w:rsid w:val="0024319D"/>
    <w:rsid w:val="0024424D"/>
    <w:rsid w:val="0024583A"/>
    <w:rsid w:val="002468DB"/>
    <w:rsid w:val="00251FE5"/>
    <w:rsid w:val="002538C6"/>
    <w:rsid w:val="0025795F"/>
    <w:rsid w:val="00257967"/>
    <w:rsid w:val="00257D83"/>
    <w:rsid w:val="00261415"/>
    <w:rsid w:val="002616C1"/>
    <w:rsid w:val="002626B1"/>
    <w:rsid w:val="002633E0"/>
    <w:rsid w:val="00265DC8"/>
    <w:rsid w:val="00266467"/>
    <w:rsid w:val="00266FE3"/>
    <w:rsid w:val="002672DC"/>
    <w:rsid w:val="00272988"/>
    <w:rsid w:val="00273E9B"/>
    <w:rsid w:val="002752D6"/>
    <w:rsid w:val="00276589"/>
    <w:rsid w:val="00277F80"/>
    <w:rsid w:val="00280145"/>
    <w:rsid w:val="00280B16"/>
    <w:rsid w:val="0028190A"/>
    <w:rsid w:val="00285AFB"/>
    <w:rsid w:val="00285C56"/>
    <w:rsid w:val="00286498"/>
    <w:rsid w:val="0028707F"/>
    <w:rsid w:val="00287F90"/>
    <w:rsid w:val="00291156"/>
    <w:rsid w:val="00293567"/>
    <w:rsid w:val="00294236"/>
    <w:rsid w:val="002975F7"/>
    <w:rsid w:val="002A01D5"/>
    <w:rsid w:val="002A0230"/>
    <w:rsid w:val="002A1262"/>
    <w:rsid w:val="002A131D"/>
    <w:rsid w:val="002A174F"/>
    <w:rsid w:val="002A36EF"/>
    <w:rsid w:val="002A7847"/>
    <w:rsid w:val="002A7A32"/>
    <w:rsid w:val="002B09DD"/>
    <w:rsid w:val="002B0E60"/>
    <w:rsid w:val="002B1631"/>
    <w:rsid w:val="002B1EA6"/>
    <w:rsid w:val="002B1FB0"/>
    <w:rsid w:val="002B2F25"/>
    <w:rsid w:val="002B401A"/>
    <w:rsid w:val="002B56BF"/>
    <w:rsid w:val="002C5C0C"/>
    <w:rsid w:val="002C7173"/>
    <w:rsid w:val="002C7638"/>
    <w:rsid w:val="002D283F"/>
    <w:rsid w:val="002D5A34"/>
    <w:rsid w:val="002E02EC"/>
    <w:rsid w:val="002E3393"/>
    <w:rsid w:val="002E4D35"/>
    <w:rsid w:val="002E4FA1"/>
    <w:rsid w:val="002E5C8A"/>
    <w:rsid w:val="002E7DA0"/>
    <w:rsid w:val="002F0335"/>
    <w:rsid w:val="002F0639"/>
    <w:rsid w:val="002F0C41"/>
    <w:rsid w:val="002F146A"/>
    <w:rsid w:val="0030236C"/>
    <w:rsid w:val="00302625"/>
    <w:rsid w:val="00304251"/>
    <w:rsid w:val="00304466"/>
    <w:rsid w:val="003055AF"/>
    <w:rsid w:val="00306E34"/>
    <w:rsid w:val="0030792F"/>
    <w:rsid w:val="00311832"/>
    <w:rsid w:val="0031520C"/>
    <w:rsid w:val="00316BE0"/>
    <w:rsid w:val="00316D31"/>
    <w:rsid w:val="003204F8"/>
    <w:rsid w:val="003228D3"/>
    <w:rsid w:val="003239BF"/>
    <w:rsid w:val="00325D7C"/>
    <w:rsid w:val="00327FAF"/>
    <w:rsid w:val="003301C6"/>
    <w:rsid w:val="00330423"/>
    <w:rsid w:val="00333053"/>
    <w:rsid w:val="00333D7E"/>
    <w:rsid w:val="003343E8"/>
    <w:rsid w:val="00336077"/>
    <w:rsid w:val="00336538"/>
    <w:rsid w:val="003453AC"/>
    <w:rsid w:val="00347B67"/>
    <w:rsid w:val="00350467"/>
    <w:rsid w:val="00350FD9"/>
    <w:rsid w:val="0035161A"/>
    <w:rsid w:val="003532BF"/>
    <w:rsid w:val="00355F52"/>
    <w:rsid w:val="00356AF1"/>
    <w:rsid w:val="00361155"/>
    <w:rsid w:val="003618D7"/>
    <w:rsid w:val="003619B3"/>
    <w:rsid w:val="00363481"/>
    <w:rsid w:val="003653BB"/>
    <w:rsid w:val="003654C8"/>
    <w:rsid w:val="003667BB"/>
    <w:rsid w:val="00371603"/>
    <w:rsid w:val="00371EF8"/>
    <w:rsid w:val="00374DA0"/>
    <w:rsid w:val="00375C5C"/>
    <w:rsid w:val="00375EBC"/>
    <w:rsid w:val="00381460"/>
    <w:rsid w:val="0038276D"/>
    <w:rsid w:val="00383915"/>
    <w:rsid w:val="00384DBA"/>
    <w:rsid w:val="00386585"/>
    <w:rsid w:val="00390169"/>
    <w:rsid w:val="003942A7"/>
    <w:rsid w:val="003A49D2"/>
    <w:rsid w:val="003A5B48"/>
    <w:rsid w:val="003A5EB4"/>
    <w:rsid w:val="003B5FAB"/>
    <w:rsid w:val="003B7FFA"/>
    <w:rsid w:val="003C0F81"/>
    <w:rsid w:val="003C4EDA"/>
    <w:rsid w:val="003C5FA5"/>
    <w:rsid w:val="003C61CB"/>
    <w:rsid w:val="003C6525"/>
    <w:rsid w:val="003C7ACE"/>
    <w:rsid w:val="003D2D25"/>
    <w:rsid w:val="003D5902"/>
    <w:rsid w:val="003D67EB"/>
    <w:rsid w:val="003E3C95"/>
    <w:rsid w:val="003E49F8"/>
    <w:rsid w:val="003E6FB5"/>
    <w:rsid w:val="003E734D"/>
    <w:rsid w:val="003F0BA2"/>
    <w:rsid w:val="003F1ED4"/>
    <w:rsid w:val="003F2030"/>
    <w:rsid w:val="003F2D75"/>
    <w:rsid w:val="003F5FFB"/>
    <w:rsid w:val="004002BD"/>
    <w:rsid w:val="0040233F"/>
    <w:rsid w:val="004025F3"/>
    <w:rsid w:val="00405246"/>
    <w:rsid w:val="00406C47"/>
    <w:rsid w:val="00410C5F"/>
    <w:rsid w:val="004115AF"/>
    <w:rsid w:val="00411DB7"/>
    <w:rsid w:val="004130BE"/>
    <w:rsid w:val="00415409"/>
    <w:rsid w:val="004203AA"/>
    <w:rsid w:val="00427046"/>
    <w:rsid w:val="0042727D"/>
    <w:rsid w:val="00430156"/>
    <w:rsid w:val="004314D7"/>
    <w:rsid w:val="00432759"/>
    <w:rsid w:val="00433B7A"/>
    <w:rsid w:val="00433FCF"/>
    <w:rsid w:val="00437061"/>
    <w:rsid w:val="00440BC2"/>
    <w:rsid w:val="0044112E"/>
    <w:rsid w:val="0044307E"/>
    <w:rsid w:val="00446152"/>
    <w:rsid w:val="00451A2F"/>
    <w:rsid w:val="00461126"/>
    <w:rsid w:val="00462B84"/>
    <w:rsid w:val="00462CD7"/>
    <w:rsid w:val="004633D1"/>
    <w:rsid w:val="0046391E"/>
    <w:rsid w:val="004653E8"/>
    <w:rsid w:val="00465D79"/>
    <w:rsid w:val="0047078C"/>
    <w:rsid w:val="00473071"/>
    <w:rsid w:val="00476B2E"/>
    <w:rsid w:val="00481670"/>
    <w:rsid w:val="004822EE"/>
    <w:rsid w:val="00484BA4"/>
    <w:rsid w:val="004858ED"/>
    <w:rsid w:val="004869FA"/>
    <w:rsid w:val="00492284"/>
    <w:rsid w:val="00492AEC"/>
    <w:rsid w:val="004938CC"/>
    <w:rsid w:val="0049517B"/>
    <w:rsid w:val="00495D50"/>
    <w:rsid w:val="00496F34"/>
    <w:rsid w:val="0049726A"/>
    <w:rsid w:val="004A493B"/>
    <w:rsid w:val="004A4FEA"/>
    <w:rsid w:val="004A5363"/>
    <w:rsid w:val="004A69DB"/>
    <w:rsid w:val="004B63BA"/>
    <w:rsid w:val="004B641B"/>
    <w:rsid w:val="004C33E6"/>
    <w:rsid w:val="004C4032"/>
    <w:rsid w:val="004C48EA"/>
    <w:rsid w:val="004D09BD"/>
    <w:rsid w:val="004D0E2B"/>
    <w:rsid w:val="004D1126"/>
    <w:rsid w:val="004D6CF5"/>
    <w:rsid w:val="004D73F3"/>
    <w:rsid w:val="004E1B42"/>
    <w:rsid w:val="004E55E4"/>
    <w:rsid w:val="004F0B3D"/>
    <w:rsid w:val="004F0E7E"/>
    <w:rsid w:val="004F6177"/>
    <w:rsid w:val="004F7A01"/>
    <w:rsid w:val="0050008C"/>
    <w:rsid w:val="005026A4"/>
    <w:rsid w:val="00504549"/>
    <w:rsid w:val="005059F6"/>
    <w:rsid w:val="0050745B"/>
    <w:rsid w:val="005075F4"/>
    <w:rsid w:val="005126FF"/>
    <w:rsid w:val="00512E8D"/>
    <w:rsid w:val="00514876"/>
    <w:rsid w:val="00514D7C"/>
    <w:rsid w:val="00515260"/>
    <w:rsid w:val="00515F40"/>
    <w:rsid w:val="00516980"/>
    <w:rsid w:val="005169A8"/>
    <w:rsid w:val="005169ED"/>
    <w:rsid w:val="005178E7"/>
    <w:rsid w:val="00521739"/>
    <w:rsid w:val="005221F1"/>
    <w:rsid w:val="00524BFF"/>
    <w:rsid w:val="00525115"/>
    <w:rsid w:val="005307D2"/>
    <w:rsid w:val="005314A5"/>
    <w:rsid w:val="00532B78"/>
    <w:rsid w:val="005361C1"/>
    <w:rsid w:val="0054204E"/>
    <w:rsid w:val="00542456"/>
    <w:rsid w:val="00545BA7"/>
    <w:rsid w:val="005477D1"/>
    <w:rsid w:val="00550FA0"/>
    <w:rsid w:val="005551E8"/>
    <w:rsid w:val="00560944"/>
    <w:rsid w:val="0056355A"/>
    <w:rsid w:val="005653B4"/>
    <w:rsid w:val="00571A40"/>
    <w:rsid w:val="005748D0"/>
    <w:rsid w:val="00574AEB"/>
    <w:rsid w:val="00574C89"/>
    <w:rsid w:val="005756B4"/>
    <w:rsid w:val="00576561"/>
    <w:rsid w:val="00580666"/>
    <w:rsid w:val="00582562"/>
    <w:rsid w:val="00584C19"/>
    <w:rsid w:val="0058572B"/>
    <w:rsid w:val="00585EE4"/>
    <w:rsid w:val="00590648"/>
    <w:rsid w:val="00592582"/>
    <w:rsid w:val="005929BB"/>
    <w:rsid w:val="00594CD9"/>
    <w:rsid w:val="0059565E"/>
    <w:rsid w:val="00595DBD"/>
    <w:rsid w:val="00596C4F"/>
    <w:rsid w:val="005A2618"/>
    <w:rsid w:val="005A5464"/>
    <w:rsid w:val="005A760A"/>
    <w:rsid w:val="005A7CAD"/>
    <w:rsid w:val="005B20E8"/>
    <w:rsid w:val="005B2629"/>
    <w:rsid w:val="005B433D"/>
    <w:rsid w:val="005B524A"/>
    <w:rsid w:val="005B7947"/>
    <w:rsid w:val="005C0712"/>
    <w:rsid w:val="005C4E5F"/>
    <w:rsid w:val="005D0989"/>
    <w:rsid w:val="005D214D"/>
    <w:rsid w:val="005D2FDA"/>
    <w:rsid w:val="005D47EA"/>
    <w:rsid w:val="005D498F"/>
    <w:rsid w:val="005D6092"/>
    <w:rsid w:val="005D64C6"/>
    <w:rsid w:val="005E062E"/>
    <w:rsid w:val="005E0A55"/>
    <w:rsid w:val="005E13CA"/>
    <w:rsid w:val="005E15C3"/>
    <w:rsid w:val="005E29E4"/>
    <w:rsid w:val="005E52CC"/>
    <w:rsid w:val="005F0C23"/>
    <w:rsid w:val="005F24C9"/>
    <w:rsid w:val="005F3B39"/>
    <w:rsid w:val="005F3D95"/>
    <w:rsid w:val="005F40CC"/>
    <w:rsid w:val="005F412C"/>
    <w:rsid w:val="006027FE"/>
    <w:rsid w:val="00602D79"/>
    <w:rsid w:val="0060329E"/>
    <w:rsid w:val="00603E84"/>
    <w:rsid w:val="006071E0"/>
    <w:rsid w:val="006114C2"/>
    <w:rsid w:val="006125A1"/>
    <w:rsid w:val="006128E6"/>
    <w:rsid w:val="0061396F"/>
    <w:rsid w:val="006146FD"/>
    <w:rsid w:val="00614F75"/>
    <w:rsid w:val="00615B59"/>
    <w:rsid w:val="00615F02"/>
    <w:rsid w:val="006201C3"/>
    <w:rsid w:val="00620D04"/>
    <w:rsid w:val="006210C7"/>
    <w:rsid w:val="00631311"/>
    <w:rsid w:val="006317A0"/>
    <w:rsid w:val="00631878"/>
    <w:rsid w:val="00633FDE"/>
    <w:rsid w:val="00635854"/>
    <w:rsid w:val="0064144E"/>
    <w:rsid w:val="006416DD"/>
    <w:rsid w:val="00641A6E"/>
    <w:rsid w:val="00643D67"/>
    <w:rsid w:val="006440A2"/>
    <w:rsid w:val="0065171E"/>
    <w:rsid w:val="006521A6"/>
    <w:rsid w:val="00652AB3"/>
    <w:rsid w:val="006540C4"/>
    <w:rsid w:val="0066038F"/>
    <w:rsid w:val="00660867"/>
    <w:rsid w:val="00662896"/>
    <w:rsid w:val="00662E65"/>
    <w:rsid w:val="006670BD"/>
    <w:rsid w:val="00670101"/>
    <w:rsid w:val="00670888"/>
    <w:rsid w:val="00670AA8"/>
    <w:rsid w:val="00673D9A"/>
    <w:rsid w:val="00676097"/>
    <w:rsid w:val="006817AB"/>
    <w:rsid w:val="006824AA"/>
    <w:rsid w:val="006829D3"/>
    <w:rsid w:val="006841F4"/>
    <w:rsid w:val="00684BCD"/>
    <w:rsid w:val="006852E7"/>
    <w:rsid w:val="00685711"/>
    <w:rsid w:val="00685B5D"/>
    <w:rsid w:val="00695863"/>
    <w:rsid w:val="00695D99"/>
    <w:rsid w:val="006A2192"/>
    <w:rsid w:val="006A68EE"/>
    <w:rsid w:val="006B1C2B"/>
    <w:rsid w:val="006B2965"/>
    <w:rsid w:val="006B3E0B"/>
    <w:rsid w:val="006B4810"/>
    <w:rsid w:val="006B48B6"/>
    <w:rsid w:val="006C06EA"/>
    <w:rsid w:val="006C17AE"/>
    <w:rsid w:val="006C2085"/>
    <w:rsid w:val="006C5894"/>
    <w:rsid w:val="006C5DCB"/>
    <w:rsid w:val="006C7181"/>
    <w:rsid w:val="006D5126"/>
    <w:rsid w:val="006D5C71"/>
    <w:rsid w:val="006D5CD0"/>
    <w:rsid w:val="006D5E8E"/>
    <w:rsid w:val="006D6948"/>
    <w:rsid w:val="006D6D66"/>
    <w:rsid w:val="006E09B0"/>
    <w:rsid w:val="006E1218"/>
    <w:rsid w:val="006E2B20"/>
    <w:rsid w:val="006E4394"/>
    <w:rsid w:val="006E750D"/>
    <w:rsid w:val="006F2B69"/>
    <w:rsid w:val="006F3040"/>
    <w:rsid w:val="006F4276"/>
    <w:rsid w:val="006F75C6"/>
    <w:rsid w:val="006F77C5"/>
    <w:rsid w:val="006F7EBA"/>
    <w:rsid w:val="0070304F"/>
    <w:rsid w:val="00704D27"/>
    <w:rsid w:val="00706178"/>
    <w:rsid w:val="00713FEF"/>
    <w:rsid w:val="0071732C"/>
    <w:rsid w:val="00723206"/>
    <w:rsid w:val="007232DE"/>
    <w:rsid w:val="007277C7"/>
    <w:rsid w:val="007308F4"/>
    <w:rsid w:val="00733E15"/>
    <w:rsid w:val="00735EE3"/>
    <w:rsid w:val="007360E9"/>
    <w:rsid w:val="007371F5"/>
    <w:rsid w:val="00741F45"/>
    <w:rsid w:val="00742200"/>
    <w:rsid w:val="007445D1"/>
    <w:rsid w:val="00744904"/>
    <w:rsid w:val="00747381"/>
    <w:rsid w:val="007475CC"/>
    <w:rsid w:val="007477EA"/>
    <w:rsid w:val="00750878"/>
    <w:rsid w:val="00753AE8"/>
    <w:rsid w:val="00760538"/>
    <w:rsid w:val="0076396F"/>
    <w:rsid w:val="0076499C"/>
    <w:rsid w:val="00765CA7"/>
    <w:rsid w:val="0076678D"/>
    <w:rsid w:val="00777017"/>
    <w:rsid w:val="0077752D"/>
    <w:rsid w:val="00780109"/>
    <w:rsid w:val="00780AB4"/>
    <w:rsid w:val="007832C2"/>
    <w:rsid w:val="00784E3D"/>
    <w:rsid w:val="00785EE0"/>
    <w:rsid w:val="007866A8"/>
    <w:rsid w:val="00786C5A"/>
    <w:rsid w:val="007877E7"/>
    <w:rsid w:val="00790CDE"/>
    <w:rsid w:val="007925F8"/>
    <w:rsid w:val="007948BE"/>
    <w:rsid w:val="0079528B"/>
    <w:rsid w:val="00795370"/>
    <w:rsid w:val="007A2382"/>
    <w:rsid w:val="007A2E3C"/>
    <w:rsid w:val="007A5F44"/>
    <w:rsid w:val="007A73F6"/>
    <w:rsid w:val="007A7E04"/>
    <w:rsid w:val="007B1465"/>
    <w:rsid w:val="007B4592"/>
    <w:rsid w:val="007B4834"/>
    <w:rsid w:val="007B4971"/>
    <w:rsid w:val="007B5C98"/>
    <w:rsid w:val="007B6A94"/>
    <w:rsid w:val="007B758B"/>
    <w:rsid w:val="007B7829"/>
    <w:rsid w:val="007C0D05"/>
    <w:rsid w:val="007C123B"/>
    <w:rsid w:val="007C1425"/>
    <w:rsid w:val="007C3B4C"/>
    <w:rsid w:val="007C576B"/>
    <w:rsid w:val="007C7385"/>
    <w:rsid w:val="007D01FE"/>
    <w:rsid w:val="007D0B37"/>
    <w:rsid w:val="007D2A47"/>
    <w:rsid w:val="007E2863"/>
    <w:rsid w:val="007E3474"/>
    <w:rsid w:val="007E3D0B"/>
    <w:rsid w:val="007E5D11"/>
    <w:rsid w:val="007E6108"/>
    <w:rsid w:val="007E62C8"/>
    <w:rsid w:val="007E7164"/>
    <w:rsid w:val="007F2233"/>
    <w:rsid w:val="007F2376"/>
    <w:rsid w:val="007F2ED7"/>
    <w:rsid w:val="007F43BC"/>
    <w:rsid w:val="00801F18"/>
    <w:rsid w:val="00802205"/>
    <w:rsid w:val="008031E4"/>
    <w:rsid w:val="00804B01"/>
    <w:rsid w:val="008067F3"/>
    <w:rsid w:val="00811BC0"/>
    <w:rsid w:val="00815A20"/>
    <w:rsid w:val="008161FD"/>
    <w:rsid w:val="0081679F"/>
    <w:rsid w:val="008223FC"/>
    <w:rsid w:val="00823943"/>
    <w:rsid w:val="00825C13"/>
    <w:rsid w:val="0082761E"/>
    <w:rsid w:val="00831A71"/>
    <w:rsid w:val="00832B95"/>
    <w:rsid w:val="00834CCF"/>
    <w:rsid w:val="00834EAF"/>
    <w:rsid w:val="00840381"/>
    <w:rsid w:val="008410E5"/>
    <w:rsid w:val="0084478A"/>
    <w:rsid w:val="00844A5B"/>
    <w:rsid w:val="00846902"/>
    <w:rsid w:val="00853B11"/>
    <w:rsid w:val="00854A48"/>
    <w:rsid w:val="00855057"/>
    <w:rsid w:val="008552E5"/>
    <w:rsid w:val="00855398"/>
    <w:rsid w:val="00856679"/>
    <w:rsid w:val="008567E9"/>
    <w:rsid w:val="00856E1A"/>
    <w:rsid w:val="00861DA2"/>
    <w:rsid w:val="0086222F"/>
    <w:rsid w:val="00864E3E"/>
    <w:rsid w:val="0087201D"/>
    <w:rsid w:val="00873F0C"/>
    <w:rsid w:val="008769FC"/>
    <w:rsid w:val="00880A96"/>
    <w:rsid w:val="00882E0D"/>
    <w:rsid w:val="00883181"/>
    <w:rsid w:val="00883647"/>
    <w:rsid w:val="00884240"/>
    <w:rsid w:val="008845A9"/>
    <w:rsid w:val="00885596"/>
    <w:rsid w:val="008935FE"/>
    <w:rsid w:val="00894D56"/>
    <w:rsid w:val="008A0A6B"/>
    <w:rsid w:val="008A52BA"/>
    <w:rsid w:val="008A58D0"/>
    <w:rsid w:val="008A5DB4"/>
    <w:rsid w:val="008A7F18"/>
    <w:rsid w:val="008B2889"/>
    <w:rsid w:val="008B28CF"/>
    <w:rsid w:val="008B42F3"/>
    <w:rsid w:val="008B4CE5"/>
    <w:rsid w:val="008B4D9E"/>
    <w:rsid w:val="008B5B18"/>
    <w:rsid w:val="008B6704"/>
    <w:rsid w:val="008B6E49"/>
    <w:rsid w:val="008B7534"/>
    <w:rsid w:val="008C0CA6"/>
    <w:rsid w:val="008C0F26"/>
    <w:rsid w:val="008C1534"/>
    <w:rsid w:val="008C1B05"/>
    <w:rsid w:val="008C2B3B"/>
    <w:rsid w:val="008C3F5F"/>
    <w:rsid w:val="008C5C7C"/>
    <w:rsid w:val="008C5DC9"/>
    <w:rsid w:val="008C6B62"/>
    <w:rsid w:val="008D09B6"/>
    <w:rsid w:val="008D1809"/>
    <w:rsid w:val="008D25AD"/>
    <w:rsid w:val="008D53BC"/>
    <w:rsid w:val="008D5E73"/>
    <w:rsid w:val="008D6721"/>
    <w:rsid w:val="008D73E2"/>
    <w:rsid w:val="008D7483"/>
    <w:rsid w:val="008D767F"/>
    <w:rsid w:val="008E02FA"/>
    <w:rsid w:val="008E68FA"/>
    <w:rsid w:val="008E6B7A"/>
    <w:rsid w:val="008F1561"/>
    <w:rsid w:val="008F1D44"/>
    <w:rsid w:val="008F58EB"/>
    <w:rsid w:val="008F5CB7"/>
    <w:rsid w:val="009012D8"/>
    <w:rsid w:val="00901D53"/>
    <w:rsid w:val="009077F5"/>
    <w:rsid w:val="0091057E"/>
    <w:rsid w:val="00910A2D"/>
    <w:rsid w:val="00910D2B"/>
    <w:rsid w:val="00912CB0"/>
    <w:rsid w:val="00916237"/>
    <w:rsid w:val="00916A5A"/>
    <w:rsid w:val="00920D9F"/>
    <w:rsid w:val="00921DB2"/>
    <w:rsid w:val="00922457"/>
    <w:rsid w:val="00922867"/>
    <w:rsid w:val="00923606"/>
    <w:rsid w:val="00923CB4"/>
    <w:rsid w:val="00923D59"/>
    <w:rsid w:val="00927E06"/>
    <w:rsid w:val="00927E14"/>
    <w:rsid w:val="009303D7"/>
    <w:rsid w:val="00930C95"/>
    <w:rsid w:val="0093266A"/>
    <w:rsid w:val="009348CD"/>
    <w:rsid w:val="0093575C"/>
    <w:rsid w:val="00935B10"/>
    <w:rsid w:val="00936136"/>
    <w:rsid w:val="00937034"/>
    <w:rsid w:val="0094353B"/>
    <w:rsid w:val="00946D94"/>
    <w:rsid w:val="00946E83"/>
    <w:rsid w:val="00950C3C"/>
    <w:rsid w:val="009514DA"/>
    <w:rsid w:val="00952928"/>
    <w:rsid w:val="00953E6D"/>
    <w:rsid w:val="00953FBC"/>
    <w:rsid w:val="00955396"/>
    <w:rsid w:val="00955412"/>
    <w:rsid w:val="00961D9F"/>
    <w:rsid w:val="00961E4D"/>
    <w:rsid w:val="00964377"/>
    <w:rsid w:val="0096648C"/>
    <w:rsid w:val="009671C0"/>
    <w:rsid w:val="00970221"/>
    <w:rsid w:val="00972393"/>
    <w:rsid w:val="009733FA"/>
    <w:rsid w:val="009753D3"/>
    <w:rsid w:val="009756BC"/>
    <w:rsid w:val="009768B7"/>
    <w:rsid w:val="00983E2D"/>
    <w:rsid w:val="00985B3A"/>
    <w:rsid w:val="009869E4"/>
    <w:rsid w:val="009903BB"/>
    <w:rsid w:val="00993994"/>
    <w:rsid w:val="0099426D"/>
    <w:rsid w:val="00994B0B"/>
    <w:rsid w:val="009A1295"/>
    <w:rsid w:val="009A204F"/>
    <w:rsid w:val="009A3004"/>
    <w:rsid w:val="009B13C4"/>
    <w:rsid w:val="009B380A"/>
    <w:rsid w:val="009B3FF9"/>
    <w:rsid w:val="009B453C"/>
    <w:rsid w:val="009B730E"/>
    <w:rsid w:val="009C4B9A"/>
    <w:rsid w:val="009C4E0F"/>
    <w:rsid w:val="009C4EF7"/>
    <w:rsid w:val="009C5784"/>
    <w:rsid w:val="009D1F21"/>
    <w:rsid w:val="009D22A7"/>
    <w:rsid w:val="009D2780"/>
    <w:rsid w:val="009D3DEB"/>
    <w:rsid w:val="009D66F6"/>
    <w:rsid w:val="009D6ECB"/>
    <w:rsid w:val="009D7938"/>
    <w:rsid w:val="009E10A7"/>
    <w:rsid w:val="009E1300"/>
    <w:rsid w:val="009E159D"/>
    <w:rsid w:val="009E2499"/>
    <w:rsid w:val="009E6665"/>
    <w:rsid w:val="009F0080"/>
    <w:rsid w:val="009F1295"/>
    <w:rsid w:val="009F3FF9"/>
    <w:rsid w:val="009F5C78"/>
    <w:rsid w:val="009F6ECC"/>
    <w:rsid w:val="00A00E4A"/>
    <w:rsid w:val="00A05AAB"/>
    <w:rsid w:val="00A05D6D"/>
    <w:rsid w:val="00A07D10"/>
    <w:rsid w:val="00A113CF"/>
    <w:rsid w:val="00A12DFD"/>
    <w:rsid w:val="00A202BF"/>
    <w:rsid w:val="00A20DD6"/>
    <w:rsid w:val="00A22C90"/>
    <w:rsid w:val="00A239E9"/>
    <w:rsid w:val="00A24F95"/>
    <w:rsid w:val="00A30617"/>
    <w:rsid w:val="00A321D9"/>
    <w:rsid w:val="00A370DF"/>
    <w:rsid w:val="00A44E77"/>
    <w:rsid w:val="00A4678B"/>
    <w:rsid w:val="00A509D7"/>
    <w:rsid w:val="00A544AB"/>
    <w:rsid w:val="00A54890"/>
    <w:rsid w:val="00A60F98"/>
    <w:rsid w:val="00A6143C"/>
    <w:rsid w:val="00A61832"/>
    <w:rsid w:val="00A63ABA"/>
    <w:rsid w:val="00A63CF6"/>
    <w:rsid w:val="00A716A2"/>
    <w:rsid w:val="00A71F40"/>
    <w:rsid w:val="00A739F2"/>
    <w:rsid w:val="00A76789"/>
    <w:rsid w:val="00A76C7A"/>
    <w:rsid w:val="00A83005"/>
    <w:rsid w:val="00A8511B"/>
    <w:rsid w:val="00A85453"/>
    <w:rsid w:val="00A861CA"/>
    <w:rsid w:val="00A90F7A"/>
    <w:rsid w:val="00A93A6A"/>
    <w:rsid w:val="00A93BCE"/>
    <w:rsid w:val="00A94F49"/>
    <w:rsid w:val="00A95075"/>
    <w:rsid w:val="00AA1E5C"/>
    <w:rsid w:val="00AA26EC"/>
    <w:rsid w:val="00AA2807"/>
    <w:rsid w:val="00AA3AD7"/>
    <w:rsid w:val="00AA5DD8"/>
    <w:rsid w:val="00AA61A5"/>
    <w:rsid w:val="00AA6303"/>
    <w:rsid w:val="00AB0CD1"/>
    <w:rsid w:val="00AB2F4D"/>
    <w:rsid w:val="00AB67B3"/>
    <w:rsid w:val="00AC227F"/>
    <w:rsid w:val="00AC3851"/>
    <w:rsid w:val="00AC4A53"/>
    <w:rsid w:val="00AC4C6C"/>
    <w:rsid w:val="00AC502C"/>
    <w:rsid w:val="00AC69F3"/>
    <w:rsid w:val="00AD033E"/>
    <w:rsid w:val="00AD2BF4"/>
    <w:rsid w:val="00AD6041"/>
    <w:rsid w:val="00AD6CD5"/>
    <w:rsid w:val="00AD7879"/>
    <w:rsid w:val="00AD7F3C"/>
    <w:rsid w:val="00AE2949"/>
    <w:rsid w:val="00AE2E6C"/>
    <w:rsid w:val="00AF0082"/>
    <w:rsid w:val="00AF0F03"/>
    <w:rsid w:val="00AF3E32"/>
    <w:rsid w:val="00AF6BD3"/>
    <w:rsid w:val="00B001D4"/>
    <w:rsid w:val="00B0124D"/>
    <w:rsid w:val="00B04A94"/>
    <w:rsid w:val="00B06781"/>
    <w:rsid w:val="00B11789"/>
    <w:rsid w:val="00B13F32"/>
    <w:rsid w:val="00B1482B"/>
    <w:rsid w:val="00B14D14"/>
    <w:rsid w:val="00B159B7"/>
    <w:rsid w:val="00B212CD"/>
    <w:rsid w:val="00B2186F"/>
    <w:rsid w:val="00B22780"/>
    <w:rsid w:val="00B26EBD"/>
    <w:rsid w:val="00B275BE"/>
    <w:rsid w:val="00B37065"/>
    <w:rsid w:val="00B374F7"/>
    <w:rsid w:val="00B37E1E"/>
    <w:rsid w:val="00B4224C"/>
    <w:rsid w:val="00B42697"/>
    <w:rsid w:val="00B42DD8"/>
    <w:rsid w:val="00B4359B"/>
    <w:rsid w:val="00B4398C"/>
    <w:rsid w:val="00B45E7D"/>
    <w:rsid w:val="00B46664"/>
    <w:rsid w:val="00B50671"/>
    <w:rsid w:val="00B52CD4"/>
    <w:rsid w:val="00B537C3"/>
    <w:rsid w:val="00B541A9"/>
    <w:rsid w:val="00B54910"/>
    <w:rsid w:val="00B554A4"/>
    <w:rsid w:val="00B66EE3"/>
    <w:rsid w:val="00B73B78"/>
    <w:rsid w:val="00B8015C"/>
    <w:rsid w:val="00B863C4"/>
    <w:rsid w:val="00B9180C"/>
    <w:rsid w:val="00B92C06"/>
    <w:rsid w:val="00B947DD"/>
    <w:rsid w:val="00B94F6D"/>
    <w:rsid w:val="00BA382F"/>
    <w:rsid w:val="00BA53FA"/>
    <w:rsid w:val="00BA7B78"/>
    <w:rsid w:val="00BB4FD1"/>
    <w:rsid w:val="00BB5F96"/>
    <w:rsid w:val="00BB7E14"/>
    <w:rsid w:val="00BC0BA6"/>
    <w:rsid w:val="00BC0EBD"/>
    <w:rsid w:val="00BC0F57"/>
    <w:rsid w:val="00BC27F9"/>
    <w:rsid w:val="00BC48D1"/>
    <w:rsid w:val="00BC5FD5"/>
    <w:rsid w:val="00BC60A1"/>
    <w:rsid w:val="00BC617E"/>
    <w:rsid w:val="00BC7CE3"/>
    <w:rsid w:val="00BD3EA8"/>
    <w:rsid w:val="00BD4873"/>
    <w:rsid w:val="00BD5BCF"/>
    <w:rsid w:val="00BE1809"/>
    <w:rsid w:val="00BE26C8"/>
    <w:rsid w:val="00BE36FB"/>
    <w:rsid w:val="00BE3B38"/>
    <w:rsid w:val="00BE4232"/>
    <w:rsid w:val="00BE467F"/>
    <w:rsid w:val="00BE786F"/>
    <w:rsid w:val="00BE7915"/>
    <w:rsid w:val="00BF247B"/>
    <w:rsid w:val="00BF40AA"/>
    <w:rsid w:val="00C00926"/>
    <w:rsid w:val="00C01D8C"/>
    <w:rsid w:val="00C01F97"/>
    <w:rsid w:val="00C0232B"/>
    <w:rsid w:val="00C02B0D"/>
    <w:rsid w:val="00C03746"/>
    <w:rsid w:val="00C04D41"/>
    <w:rsid w:val="00C05599"/>
    <w:rsid w:val="00C056F7"/>
    <w:rsid w:val="00C06073"/>
    <w:rsid w:val="00C11207"/>
    <w:rsid w:val="00C1520B"/>
    <w:rsid w:val="00C1674F"/>
    <w:rsid w:val="00C1693B"/>
    <w:rsid w:val="00C20254"/>
    <w:rsid w:val="00C20264"/>
    <w:rsid w:val="00C21E2D"/>
    <w:rsid w:val="00C21EDE"/>
    <w:rsid w:val="00C22026"/>
    <w:rsid w:val="00C223EB"/>
    <w:rsid w:val="00C243B5"/>
    <w:rsid w:val="00C2704E"/>
    <w:rsid w:val="00C27274"/>
    <w:rsid w:val="00C30CCA"/>
    <w:rsid w:val="00C347F4"/>
    <w:rsid w:val="00C363CE"/>
    <w:rsid w:val="00C36612"/>
    <w:rsid w:val="00C36CE4"/>
    <w:rsid w:val="00C37972"/>
    <w:rsid w:val="00C4034E"/>
    <w:rsid w:val="00C43557"/>
    <w:rsid w:val="00C44684"/>
    <w:rsid w:val="00C4766D"/>
    <w:rsid w:val="00C51BC6"/>
    <w:rsid w:val="00C53CA6"/>
    <w:rsid w:val="00C556CD"/>
    <w:rsid w:val="00C6110B"/>
    <w:rsid w:val="00C61A30"/>
    <w:rsid w:val="00C6441F"/>
    <w:rsid w:val="00C65B92"/>
    <w:rsid w:val="00C669CA"/>
    <w:rsid w:val="00C66B38"/>
    <w:rsid w:val="00C67BE2"/>
    <w:rsid w:val="00C7286E"/>
    <w:rsid w:val="00C73546"/>
    <w:rsid w:val="00C73C41"/>
    <w:rsid w:val="00C73F5D"/>
    <w:rsid w:val="00C75A19"/>
    <w:rsid w:val="00C77A65"/>
    <w:rsid w:val="00C82D34"/>
    <w:rsid w:val="00C82EEF"/>
    <w:rsid w:val="00C86247"/>
    <w:rsid w:val="00C86A46"/>
    <w:rsid w:val="00C8768E"/>
    <w:rsid w:val="00C87AF1"/>
    <w:rsid w:val="00C91495"/>
    <w:rsid w:val="00C9565C"/>
    <w:rsid w:val="00C961CD"/>
    <w:rsid w:val="00C96FFA"/>
    <w:rsid w:val="00CA1016"/>
    <w:rsid w:val="00CA29CB"/>
    <w:rsid w:val="00CA3D2E"/>
    <w:rsid w:val="00CA45BC"/>
    <w:rsid w:val="00CA7507"/>
    <w:rsid w:val="00CB16CF"/>
    <w:rsid w:val="00CB2A30"/>
    <w:rsid w:val="00CB66BC"/>
    <w:rsid w:val="00CB6E4D"/>
    <w:rsid w:val="00CB70D5"/>
    <w:rsid w:val="00CC04DA"/>
    <w:rsid w:val="00CC1B6B"/>
    <w:rsid w:val="00CC2915"/>
    <w:rsid w:val="00CC308D"/>
    <w:rsid w:val="00CC31ED"/>
    <w:rsid w:val="00CC38EA"/>
    <w:rsid w:val="00CC5A7D"/>
    <w:rsid w:val="00CD0510"/>
    <w:rsid w:val="00CD1985"/>
    <w:rsid w:val="00CD3778"/>
    <w:rsid w:val="00CD5351"/>
    <w:rsid w:val="00CD7AF1"/>
    <w:rsid w:val="00CD7B79"/>
    <w:rsid w:val="00CE0E00"/>
    <w:rsid w:val="00CE1CB6"/>
    <w:rsid w:val="00CE3A3F"/>
    <w:rsid w:val="00CE4CA5"/>
    <w:rsid w:val="00CE4EB9"/>
    <w:rsid w:val="00CE60BD"/>
    <w:rsid w:val="00CE6DBB"/>
    <w:rsid w:val="00CE74B3"/>
    <w:rsid w:val="00CF06FA"/>
    <w:rsid w:val="00CF0D44"/>
    <w:rsid w:val="00CF1374"/>
    <w:rsid w:val="00CF1F57"/>
    <w:rsid w:val="00CF6D91"/>
    <w:rsid w:val="00D04BBD"/>
    <w:rsid w:val="00D1106B"/>
    <w:rsid w:val="00D15CD6"/>
    <w:rsid w:val="00D21731"/>
    <w:rsid w:val="00D21E01"/>
    <w:rsid w:val="00D2440D"/>
    <w:rsid w:val="00D249EB"/>
    <w:rsid w:val="00D274B8"/>
    <w:rsid w:val="00D30534"/>
    <w:rsid w:val="00D3113C"/>
    <w:rsid w:val="00D31939"/>
    <w:rsid w:val="00D33EF9"/>
    <w:rsid w:val="00D3664D"/>
    <w:rsid w:val="00D36B3E"/>
    <w:rsid w:val="00D3725B"/>
    <w:rsid w:val="00D4189B"/>
    <w:rsid w:val="00D46E03"/>
    <w:rsid w:val="00D47AC2"/>
    <w:rsid w:val="00D51698"/>
    <w:rsid w:val="00D5287C"/>
    <w:rsid w:val="00D52913"/>
    <w:rsid w:val="00D53602"/>
    <w:rsid w:val="00D54565"/>
    <w:rsid w:val="00D55A3C"/>
    <w:rsid w:val="00D5766C"/>
    <w:rsid w:val="00D6017C"/>
    <w:rsid w:val="00D63C44"/>
    <w:rsid w:val="00D71078"/>
    <w:rsid w:val="00D72AA6"/>
    <w:rsid w:val="00D74A2F"/>
    <w:rsid w:val="00D76EF1"/>
    <w:rsid w:val="00D80ABE"/>
    <w:rsid w:val="00D83740"/>
    <w:rsid w:val="00D84D4D"/>
    <w:rsid w:val="00D84EB1"/>
    <w:rsid w:val="00D87867"/>
    <w:rsid w:val="00D907ED"/>
    <w:rsid w:val="00D93398"/>
    <w:rsid w:val="00D94418"/>
    <w:rsid w:val="00DA5F9A"/>
    <w:rsid w:val="00DA6ADA"/>
    <w:rsid w:val="00DA778F"/>
    <w:rsid w:val="00DB2818"/>
    <w:rsid w:val="00DB4EC8"/>
    <w:rsid w:val="00DB62BC"/>
    <w:rsid w:val="00DB6DDD"/>
    <w:rsid w:val="00DB7D3A"/>
    <w:rsid w:val="00DC1BE6"/>
    <w:rsid w:val="00DC303C"/>
    <w:rsid w:val="00DC3E96"/>
    <w:rsid w:val="00DC4630"/>
    <w:rsid w:val="00DC5CFE"/>
    <w:rsid w:val="00DC7EF5"/>
    <w:rsid w:val="00DD2408"/>
    <w:rsid w:val="00DD26C9"/>
    <w:rsid w:val="00DD32F7"/>
    <w:rsid w:val="00DD39AA"/>
    <w:rsid w:val="00DD6855"/>
    <w:rsid w:val="00DE0C86"/>
    <w:rsid w:val="00DE1C9F"/>
    <w:rsid w:val="00DE2398"/>
    <w:rsid w:val="00DE3C22"/>
    <w:rsid w:val="00DE3CBF"/>
    <w:rsid w:val="00DF1539"/>
    <w:rsid w:val="00DF23ED"/>
    <w:rsid w:val="00DF4268"/>
    <w:rsid w:val="00DF6716"/>
    <w:rsid w:val="00E01411"/>
    <w:rsid w:val="00E06E86"/>
    <w:rsid w:val="00E071B3"/>
    <w:rsid w:val="00E12200"/>
    <w:rsid w:val="00E13CFC"/>
    <w:rsid w:val="00E15AC0"/>
    <w:rsid w:val="00E21403"/>
    <w:rsid w:val="00E2266F"/>
    <w:rsid w:val="00E2546D"/>
    <w:rsid w:val="00E26563"/>
    <w:rsid w:val="00E31138"/>
    <w:rsid w:val="00E37214"/>
    <w:rsid w:val="00E40074"/>
    <w:rsid w:val="00E418DB"/>
    <w:rsid w:val="00E43FF1"/>
    <w:rsid w:val="00E47A3F"/>
    <w:rsid w:val="00E5012B"/>
    <w:rsid w:val="00E503D3"/>
    <w:rsid w:val="00E5413D"/>
    <w:rsid w:val="00E54823"/>
    <w:rsid w:val="00E5531E"/>
    <w:rsid w:val="00E5744A"/>
    <w:rsid w:val="00E57BEA"/>
    <w:rsid w:val="00E663D8"/>
    <w:rsid w:val="00E71867"/>
    <w:rsid w:val="00E727BB"/>
    <w:rsid w:val="00E73DB7"/>
    <w:rsid w:val="00E75E33"/>
    <w:rsid w:val="00E775E4"/>
    <w:rsid w:val="00E8299E"/>
    <w:rsid w:val="00E86525"/>
    <w:rsid w:val="00E86565"/>
    <w:rsid w:val="00E93E20"/>
    <w:rsid w:val="00E946C2"/>
    <w:rsid w:val="00EA2E15"/>
    <w:rsid w:val="00EA2F5F"/>
    <w:rsid w:val="00EB006B"/>
    <w:rsid w:val="00EB0491"/>
    <w:rsid w:val="00EB04D6"/>
    <w:rsid w:val="00EB0E2C"/>
    <w:rsid w:val="00EB11ED"/>
    <w:rsid w:val="00EB1E1A"/>
    <w:rsid w:val="00EB22F7"/>
    <w:rsid w:val="00EB3C75"/>
    <w:rsid w:val="00EC13B4"/>
    <w:rsid w:val="00EC24C8"/>
    <w:rsid w:val="00EC56A8"/>
    <w:rsid w:val="00ED0645"/>
    <w:rsid w:val="00ED18A5"/>
    <w:rsid w:val="00ED2038"/>
    <w:rsid w:val="00ED2A39"/>
    <w:rsid w:val="00ED4099"/>
    <w:rsid w:val="00ED7D67"/>
    <w:rsid w:val="00EE354B"/>
    <w:rsid w:val="00EE72C0"/>
    <w:rsid w:val="00EE754D"/>
    <w:rsid w:val="00EE75F1"/>
    <w:rsid w:val="00EF3B96"/>
    <w:rsid w:val="00EF43F3"/>
    <w:rsid w:val="00F00107"/>
    <w:rsid w:val="00F00E02"/>
    <w:rsid w:val="00F017DC"/>
    <w:rsid w:val="00F02110"/>
    <w:rsid w:val="00F06E09"/>
    <w:rsid w:val="00F10004"/>
    <w:rsid w:val="00F10108"/>
    <w:rsid w:val="00F10363"/>
    <w:rsid w:val="00F139A7"/>
    <w:rsid w:val="00F146D7"/>
    <w:rsid w:val="00F2472B"/>
    <w:rsid w:val="00F24BCE"/>
    <w:rsid w:val="00F25B7E"/>
    <w:rsid w:val="00F262C7"/>
    <w:rsid w:val="00F27DC8"/>
    <w:rsid w:val="00F3097A"/>
    <w:rsid w:val="00F32A0A"/>
    <w:rsid w:val="00F32B66"/>
    <w:rsid w:val="00F359EF"/>
    <w:rsid w:val="00F40258"/>
    <w:rsid w:val="00F42193"/>
    <w:rsid w:val="00F422F5"/>
    <w:rsid w:val="00F42DD2"/>
    <w:rsid w:val="00F42FF9"/>
    <w:rsid w:val="00F45779"/>
    <w:rsid w:val="00F46C57"/>
    <w:rsid w:val="00F47A22"/>
    <w:rsid w:val="00F50E73"/>
    <w:rsid w:val="00F515CF"/>
    <w:rsid w:val="00F52398"/>
    <w:rsid w:val="00F53F6F"/>
    <w:rsid w:val="00F61AA1"/>
    <w:rsid w:val="00F63D3E"/>
    <w:rsid w:val="00F707D2"/>
    <w:rsid w:val="00F7179F"/>
    <w:rsid w:val="00F73E92"/>
    <w:rsid w:val="00F74866"/>
    <w:rsid w:val="00F76253"/>
    <w:rsid w:val="00F76B01"/>
    <w:rsid w:val="00F85105"/>
    <w:rsid w:val="00F86437"/>
    <w:rsid w:val="00F91F01"/>
    <w:rsid w:val="00F93AF7"/>
    <w:rsid w:val="00F95154"/>
    <w:rsid w:val="00F952EC"/>
    <w:rsid w:val="00F9562D"/>
    <w:rsid w:val="00F97BB1"/>
    <w:rsid w:val="00FA31FC"/>
    <w:rsid w:val="00FA3674"/>
    <w:rsid w:val="00FA3E4F"/>
    <w:rsid w:val="00FA52B4"/>
    <w:rsid w:val="00FA5394"/>
    <w:rsid w:val="00FA6904"/>
    <w:rsid w:val="00FA7DD6"/>
    <w:rsid w:val="00FB1CD0"/>
    <w:rsid w:val="00FB4F59"/>
    <w:rsid w:val="00FB4F78"/>
    <w:rsid w:val="00FB68F4"/>
    <w:rsid w:val="00FC1AB6"/>
    <w:rsid w:val="00FC3EAF"/>
    <w:rsid w:val="00FC6251"/>
    <w:rsid w:val="00FD04C9"/>
    <w:rsid w:val="00FD4011"/>
    <w:rsid w:val="00FD59F1"/>
    <w:rsid w:val="00FD5CC6"/>
    <w:rsid w:val="00FD5F5F"/>
    <w:rsid w:val="00FD6D26"/>
    <w:rsid w:val="00FD7D10"/>
    <w:rsid w:val="00FE2040"/>
    <w:rsid w:val="00FE2549"/>
    <w:rsid w:val="00FE2A1C"/>
    <w:rsid w:val="00FE2B98"/>
    <w:rsid w:val="00FE2E45"/>
    <w:rsid w:val="00FE3D73"/>
    <w:rsid w:val="00FE44F8"/>
    <w:rsid w:val="00FE6955"/>
    <w:rsid w:val="00FE7C44"/>
    <w:rsid w:val="00FF4C14"/>
    <w:rsid w:val="00FF67AD"/>
    <w:rsid w:val="00FF7A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F83F37"/>
  <w15:docId w15:val="{0CDB50B3-A46C-4068-868D-97AD8CC57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E0F"/>
    <w:rPr>
      <w:rFonts w:ascii="Times New Roman" w:eastAsia="Times New Roman" w:hAnsi="Times New Roman"/>
      <w:lang w:val="es-ES"/>
    </w:rPr>
  </w:style>
  <w:style w:type="paragraph" w:styleId="Ttulo1">
    <w:name w:val="heading 1"/>
    <w:basedOn w:val="Normal"/>
    <w:next w:val="Normal"/>
    <w:link w:val="Ttulo1Car"/>
    <w:uiPriority w:val="9"/>
    <w:qFormat/>
    <w:rsid w:val="002538C6"/>
    <w:pPr>
      <w:keepNext/>
      <w:keepLines/>
      <w:spacing w:before="480"/>
      <w:outlineLvl w:val="0"/>
    </w:pPr>
    <w:rPr>
      <w:rFonts w:ascii="Cambria" w:hAnsi="Cambria"/>
      <w:b/>
      <w:bCs/>
      <w:color w:val="365F91"/>
      <w:sz w:val="28"/>
      <w:szCs w:val="2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4fondo">
    <w:name w:val="corte4 fondo"/>
    <w:basedOn w:val="Normal"/>
    <w:link w:val="corte4fondoCar"/>
    <w:qFormat/>
    <w:rsid w:val="009C4E0F"/>
    <w:pPr>
      <w:spacing w:line="360" w:lineRule="auto"/>
      <w:ind w:firstLine="709"/>
      <w:jc w:val="both"/>
    </w:pPr>
    <w:rPr>
      <w:rFonts w:ascii="Arial" w:hAnsi="Arial"/>
      <w:sz w:val="30"/>
      <w:lang w:val="es-ES_tradnl"/>
    </w:rPr>
  </w:style>
  <w:style w:type="paragraph" w:styleId="Textoindependiente">
    <w:name w:val="Body Text"/>
    <w:basedOn w:val="Normal"/>
    <w:link w:val="TextoindependienteCar"/>
    <w:rsid w:val="009C4E0F"/>
    <w:pPr>
      <w:pBdr>
        <w:top w:val="double" w:sz="6" w:space="3" w:color="auto"/>
        <w:left w:val="double" w:sz="6" w:space="3" w:color="auto"/>
        <w:bottom w:val="double" w:sz="6" w:space="3" w:color="auto"/>
        <w:right w:val="double" w:sz="6" w:space="3" w:color="auto"/>
      </w:pBdr>
      <w:jc w:val="both"/>
    </w:pPr>
    <w:rPr>
      <w:rFonts w:ascii="Albertus Medium" w:hAnsi="Albertus Medium"/>
      <w:b/>
      <w:sz w:val="28"/>
      <w:lang w:eastAsia="x-none"/>
    </w:rPr>
  </w:style>
  <w:style w:type="character" w:customStyle="1" w:styleId="TextoindependienteCar">
    <w:name w:val="Texto independiente Car"/>
    <w:link w:val="Textoindependiente"/>
    <w:rsid w:val="009C4E0F"/>
    <w:rPr>
      <w:rFonts w:ascii="Albertus Medium" w:eastAsia="Times New Roman" w:hAnsi="Albertus Medium" w:cs="Times New Roman"/>
      <w:b/>
      <w:sz w:val="28"/>
      <w:szCs w:val="20"/>
      <w:lang w:val="es-ES" w:eastAsia="x-none"/>
    </w:rPr>
  </w:style>
  <w:style w:type="paragraph" w:customStyle="1" w:styleId="corte2ponente">
    <w:name w:val="corte2 ponente"/>
    <w:basedOn w:val="Normal"/>
    <w:link w:val="corte2ponenteCar"/>
    <w:rsid w:val="009C4E0F"/>
    <w:rPr>
      <w:rFonts w:ascii="Arial" w:hAnsi="Arial"/>
      <w:b/>
      <w:caps/>
      <w:sz w:val="30"/>
      <w:lang w:val="es-ES_tradnl" w:eastAsia="x-none"/>
    </w:rPr>
  </w:style>
  <w:style w:type="character" w:customStyle="1" w:styleId="corte4fondoCar">
    <w:name w:val="corte4 fondo Car"/>
    <w:link w:val="corte4fondo"/>
    <w:rsid w:val="009C4E0F"/>
    <w:rPr>
      <w:rFonts w:ascii="Arial" w:eastAsia="Times New Roman" w:hAnsi="Arial" w:cs="Times New Roman"/>
      <w:sz w:val="30"/>
      <w:szCs w:val="20"/>
      <w:lang w:val="es-ES_tradnl" w:eastAsia="es-MX"/>
    </w:rPr>
  </w:style>
  <w:style w:type="paragraph" w:customStyle="1" w:styleId="corte1datos">
    <w:name w:val="corte1 datos"/>
    <w:basedOn w:val="Normal"/>
    <w:link w:val="corte1datosCar"/>
    <w:rsid w:val="009C4E0F"/>
    <w:pPr>
      <w:ind w:left="2552"/>
    </w:pPr>
    <w:rPr>
      <w:rFonts w:ascii="Arial" w:hAnsi="Arial"/>
      <w:b/>
      <w:caps/>
      <w:sz w:val="30"/>
      <w:lang w:val="es-ES_tradnl" w:eastAsia="x-none"/>
    </w:rPr>
  </w:style>
  <w:style w:type="character" w:customStyle="1" w:styleId="corte2ponenteCar">
    <w:name w:val="corte2 ponente Car"/>
    <w:link w:val="corte2ponente"/>
    <w:locked/>
    <w:rsid w:val="009C4E0F"/>
    <w:rPr>
      <w:rFonts w:ascii="Arial" w:eastAsia="Times New Roman" w:hAnsi="Arial" w:cs="Times New Roman"/>
      <w:b/>
      <w:caps/>
      <w:sz w:val="30"/>
      <w:szCs w:val="20"/>
      <w:lang w:val="es-ES_tradnl" w:eastAsia="x-none"/>
    </w:rPr>
  </w:style>
  <w:style w:type="paragraph" w:styleId="Textonotapie">
    <w:name w:val="footnote text"/>
    <w:aliases w:val="Footnote Text Char Char Char Char Char,Footnote Text Char Char Char Char,Footnote reference,FA Fu,Car,Footnote Text Char Char Char,Footnote Text Cha,FA Fußnotentext,FA Fuﬂnotentext,Footnote Text Char Char,Car Car Car,FA Fu?notentext,Ca, C"/>
    <w:basedOn w:val="Normal"/>
    <w:link w:val="TextonotapieCar1"/>
    <w:qFormat/>
    <w:rsid w:val="009C4E0F"/>
    <w:rPr>
      <w:lang w:val="es-ES_tradnl" w:eastAsia="x-none"/>
    </w:rPr>
  </w:style>
  <w:style w:type="character" w:customStyle="1" w:styleId="TextonotapieCar">
    <w:name w:val="Texto nota pie Car"/>
    <w:aliases w:val="Ca Car,C Car,FA Fu?notentext Car, Car Car"/>
    <w:rsid w:val="009C4E0F"/>
    <w:rPr>
      <w:rFonts w:ascii="Times New Roman" w:eastAsia="Times New Roman" w:hAnsi="Times New Roman" w:cs="Times New Roman"/>
      <w:sz w:val="20"/>
      <w:szCs w:val="20"/>
      <w:lang w:val="es-ES" w:eastAsia="es-MX"/>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Ref,de nota al pie,ftre"/>
    <w:qFormat/>
    <w:rsid w:val="009C4E0F"/>
    <w:rPr>
      <w:vertAlign w:val="superscript"/>
    </w:rPr>
  </w:style>
  <w:style w:type="character" w:customStyle="1" w:styleId="TextonotapieCar1">
    <w:name w:val="Texto nota pie Car1"/>
    <w:aliases w:val="Footnote Text Char Char Char Char Char Car,Footnote Text Char Char Char Char Car,Footnote reference Car,FA Fu Car,Car Car,Footnote Text Char Char Char Car,Footnote Text Cha Car,FA Fußnotentext Car,FA Fuﬂnotentext Car,Car Car Car Car"/>
    <w:link w:val="Textonotapie"/>
    <w:uiPriority w:val="99"/>
    <w:locked/>
    <w:rsid w:val="009C4E0F"/>
    <w:rPr>
      <w:rFonts w:ascii="Times New Roman" w:eastAsia="Times New Roman" w:hAnsi="Times New Roman" w:cs="Times New Roman"/>
      <w:sz w:val="20"/>
      <w:szCs w:val="20"/>
      <w:lang w:val="es-ES_tradnl" w:eastAsia="x-none"/>
    </w:rPr>
  </w:style>
  <w:style w:type="character" w:customStyle="1" w:styleId="corte1datosCar">
    <w:name w:val="corte1 datos Car"/>
    <w:link w:val="corte1datos"/>
    <w:rsid w:val="009C4E0F"/>
    <w:rPr>
      <w:rFonts w:ascii="Arial" w:eastAsia="Times New Roman" w:hAnsi="Arial" w:cs="Times New Roman"/>
      <w:b/>
      <w:caps/>
      <w:sz w:val="30"/>
      <w:szCs w:val="20"/>
      <w:lang w:val="es-ES_tradnl" w:eastAsia="x-none"/>
    </w:rPr>
  </w:style>
  <w:style w:type="paragraph" w:styleId="Encabezado">
    <w:name w:val="header"/>
    <w:basedOn w:val="Normal"/>
    <w:link w:val="EncabezadoCar"/>
    <w:uiPriority w:val="99"/>
    <w:unhideWhenUsed/>
    <w:rsid w:val="008D6721"/>
    <w:pPr>
      <w:tabs>
        <w:tab w:val="center" w:pos="4419"/>
        <w:tab w:val="right" w:pos="8838"/>
      </w:tabs>
    </w:pPr>
  </w:style>
  <w:style w:type="character" w:customStyle="1" w:styleId="EncabezadoCar">
    <w:name w:val="Encabezado Car"/>
    <w:link w:val="Encabezado"/>
    <w:uiPriority w:val="99"/>
    <w:rsid w:val="008D6721"/>
    <w:rPr>
      <w:rFonts w:ascii="Times New Roman" w:eastAsia="Times New Roman" w:hAnsi="Times New Roman" w:cs="Times New Roman"/>
      <w:sz w:val="20"/>
      <w:szCs w:val="20"/>
      <w:lang w:val="es-ES" w:eastAsia="es-MX"/>
    </w:rPr>
  </w:style>
  <w:style w:type="paragraph" w:styleId="Piedepgina">
    <w:name w:val="footer"/>
    <w:basedOn w:val="Normal"/>
    <w:link w:val="PiedepginaCar"/>
    <w:uiPriority w:val="99"/>
    <w:unhideWhenUsed/>
    <w:rsid w:val="008D6721"/>
    <w:pPr>
      <w:tabs>
        <w:tab w:val="center" w:pos="4419"/>
        <w:tab w:val="right" w:pos="8838"/>
      </w:tabs>
    </w:pPr>
  </w:style>
  <w:style w:type="character" w:customStyle="1" w:styleId="PiedepginaCar">
    <w:name w:val="Pie de página Car"/>
    <w:link w:val="Piedepgina"/>
    <w:uiPriority w:val="99"/>
    <w:rsid w:val="008D6721"/>
    <w:rPr>
      <w:rFonts w:ascii="Times New Roman" w:eastAsia="Times New Roman" w:hAnsi="Times New Roman" w:cs="Times New Roman"/>
      <w:sz w:val="20"/>
      <w:szCs w:val="20"/>
      <w:lang w:val="es-ES" w:eastAsia="es-MX"/>
    </w:rPr>
  </w:style>
  <w:style w:type="paragraph" w:styleId="Textodeglobo">
    <w:name w:val="Balloon Text"/>
    <w:basedOn w:val="Normal"/>
    <w:link w:val="TextodegloboCar"/>
    <w:uiPriority w:val="99"/>
    <w:semiHidden/>
    <w:unhideWhenUsed/>
    <w:rsid w:val="008D6721"/>
    <w:rPr>
      <w:rFonts w:ascii="Tahoma" w:hAnsi="Tahoma" w:cs="Tahoma"/>
      <w:sz w:val="16"/>
      <w:szCs w:val="16"/>
    </w:rPr>
  </w:style>
  <w:style w:type="character" w:customStyle="1" w:styleId="TextodegloboCar">
    <w:name w:val="Texto de globo Car"/>
    <w:link w:val="Textodeglobo"/>
    <w:uiPriority w:val="99"/>
    <w:semiHidden/>
    <w:rsid w:val="008D6721"/>
    <w:rPr>
      <w:rFonts w:ascii="Tahoma" w:eastAsia="Times New Roman" w:hAnsi="Tahoma" w:cs="Tahoma"/>
      <w:sz w:val="16"/>
      <w:szCs w:val="16"/>
      <w:lang w:val="es-ES" w:eastAsia="es-MX"/>
    </w:rPr>
  </w:style>
  <w:style w:type="paragraph" w:styleId="Prrafodelista">
    <w:name w:val="List Paragraph"/>
    <w:aliases w:val="Cita texto"/>
    <w:basedOn w:val="Normal"/>
    <w:uiPriority w:val="34"/>
    <w:qFormat/>
    <w:rsid w:val="00AC227F"/>
    <w:pPr>
      <w:ind w:left="708"/>
    </w:pPr>
  </w:style>
  <w:style w:type="character" w:customStyle="1" w:styleId="articulojustificado1">
    <w:name w:val="articulojustificado1"/>
    <w:rsid w:val="00120B3A"/>
    <w:rPr>
      <w:rFonts w:ascii="Arial" w:hAnsi="Arial" w:cs="Arial" w:hint="default"/>
      <w:b w:val="0"/>
      <w:bCs w:val="0"/>
      <w:color w:val="000000"/>
      <w:sz w:val="18"/>
      <w:szCs w:val="18"/>
    </w:rPr>
  </w:style>
  <w:style w:type="table" w:styleId="Tablaconcuadrcula">
    <w:name w:val="Table Grid"/>
    <w:basedOn w:val="Tablanormal"/>
    <w:uiPriority w:val="59"/>
    <w:rsid w:val="009F3FF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ticulojustificado2">
    <w:name w:val="articulojustificado2"/>
    <w:rsid w:val="009F3FF9"/>
    <w:rPr>
      <w:rFonts w:ascii="Arial" w:hAnsi="Arial" w:cs="Arial" w:hint="default"/>
      <w:b w:val="0"/>
      <w:bCs w:val="0"/>
      <w:color w:val="000000"/>
      <w:sz w:val="18"/>
      <w:szCs w:val="18"/>
    </w:rPr>
  </w:style>
  <w:style w:type="character" w:customStyle="1" w:styleId="corte4fondoCar3">
    <w:name w:val="corte4 fondo Car3"/>
    <w:locked/>
    <w:rsid w:val="008B2889"/>
    <w:rPr>
      <w:rFonts w:ascii="Arial" w:hAnsi="Arial" w:cs="Arial"/>
      <w:sz w:val="30"/>
      <w:szCs w:val="30"/>
      <w:lang w:val="es-MX"/>
    </w:rPr>
  </w:style>
  <w:style w:type="character" w:customStyle="1" w:styleId="corte4fondoCar1">
    <w:name w:val="corte4 fondo Car1"/>
    <w:rsid w:val="00FE2B98"/>
    <w:rPr>
      <w:rFonts w:ascii="Arial" w:hAnsi="Arial"/>
      <w:sz w:val="30"/>
      <w:lang w:val="es-ES_tradnl" w:eastAsia="es-ES"/>
    </w:rPr>
  </w:style>
  <w:style w:type="paragraph" w:customStyle="1" w:styleId="Estilo">
    <w:name w:val="Estilo"/>
    <w:basedOn w:val="Sinespaciado"/>
    <w:link w:val="EstiloCar"/>
    <w:qFormat/>
    <w:rsid w:val="00492AEC"/>
    <w:pPr>
      <w:jc w:val="both"/>
    </w:pPr>
    <w:rPr>
      <w:rFonts w:ascii="Arial" w:eastAsia="Calibri" w:hAnsi="Arial"/>
      <w:sz w:val="24"/>
      <w:szCs w:val="22"/>
      <w:lang w:val="es-MX" w:eastAsia="en-US"/>
    </w:rPr>
  </w:style>
  <w:style w:type="character" w:customStyle="1" w:styleId="EstiloCar">
    <w:name w:val="Estilo Car"/>
    <w:link w:val="Estilo"/>
    <w:rsid w:val="00492AEC"/>
    <w:rPr>
      <w:rFonts w:ascii="Arial" w:hAnsi="Arial"/>
      <w:sz w:val="24"/>
      <w:szCs w:val="22"/>
      <w:lang w:eastAsia="en-US"/>
    </w:rPr>
  </w:style>
  <w:style w:type="paragraph" w:styleId="Sinespaciado">
    <w:name w:val="No Spacing"/>
    <w:uiPriority w:val="1"/>
    <w:qFormat/>
    <w:rsid w:val="00492AEC"/>
    <w:rPr>
      <w:rFonts w:ascii="Times New Roman" w:eastAsia="Times New Roman" w:hAnsi="Times New Roman"/>
      <w:lang w:val="es-ES"/>
    </w:rPr>
  </w:style>
  <w:style w:type="paragraph" w:customStyle="1" w:styleId="corte5transcripcion">
    <w:name w:val="corte5 transcripcion"/>
    <w:basedOn w:val="Normal"/>
    <w:link w:val="corte5transcripcionCar"/>
    <w:qFormat/>
    <w:rsid w:val="0087201D"/>
    <w:pPr>
      <w:spacing w:after="160" w:line="360" w:lineRule="auto"/>
      <w:ind w:left="709" w:right="709"/>
      <w:jc w:val="both"/>
    </w:pPr>
    <w:rPr>
      <w:rFonts w:ascii="Arial" w:eastAsia="Calibri" w:hAnsi="Arial"/>
      <w:b/>
      <w:i/>
      <w:sz w:val="30"/>
      <w:szCs w:val="22"/>
      <w:lang w:val="es-MX" w:eastAsia="en-US"/>
    </w:rPr>
  </w:style>
  <w:style w:type="character" w:customStyle="1" w:styleId="corte5transcripcionCar">
    <w:name w:val="corte5 transcripcion Car"/>
    <w:link w:val="corte5transcripcion"/>
    <w:locked/>
    <w:rsid w:val="0087201D"/>
    <w:rPr>
      <w:rFonts w:ascii="Arial" w:hAnsi="Arial"/>
      <w:b/>
      <w:i/>
      <w:sz w:val="30"/>
      <w:szCs w:val="22"/>
      <w:lang w:eastAsia="en-US"/>
    </w:rPr>
  </w:style>
  <w:style w:type="character" w:styleId="Hipervnculo">
    <w:name w:val="Hyperlink"/>
    <w:uiPriority w:val="99"/>
    <w:rsid w:val="00EE754D"/>
    <w:rPr>
      <w:color w:val="0000FF"/>
      <w:u w:val="single"/>
    </w:rPr>
  </w:style>
  <w:style w:type="paragraph" w:customStyle="1" w:styleId="CORTE4NORMAL">
    <w:name w:val="CORTE 4 NORMAL"/>
    <w:basedOn w:val="Normal"/>
    <w:qFormat/>
    <w:rsid w:val="00EE754D"/>
    <w:pPr>
      <w:spacing w:line="360" w:lineRule="auto"/>
      <w:ind w:firstLine="851"/>
      <w:jc w:val="both"/>
    </w:pPr>
    <w:rPr>
      <w:rFonts w:ascii="Arial" w:eastAsia="Calibri" w:hAnsi="Arial" w:cs="Arial"/>
      <w:sz w:val="28"/>
      <w:szCs w:val="22"/>
      <w:lang w:val="es-MX" w:eastAsia="en-US"/>
    </w:rPr>
  </w:style>
  <w:style w:type="paragraph" w:customStyle="1" w:styleId="Normal0">
    <w:name w:val="[Normal]"/>
    <w:rsid w:val="00C7286E"/>
    <w:pPr>
      <w:widowControl w:val="0"/>
      <w:autoSpaceDE w:val="0"/>
      <w:autoSpaceDN w:val="0"/>
      <w:adjustRightInd w:val="0"/>
    </w:pPr>
    <w:rPr>
      <w:rFonts w:ascii="Arial" w:eastAsia="Times New Roman" w:hAnsi="Arial" w:cs="Arial"/>
      <w:sz w:val="24"/>
      <w:szCs w:val="24"/>
    </w:rPr>
  </w:style>
  <w:style w:type="character" w:styleId="Textoennegrita">
    <w:name w:val="Strong"/>
    <w:uiPriority w:val="22"/>
    <w:qFormat/>
    <w:rsid w:val="00C7286E"/>
    <w:rPr>
      <w:b/>
      <w:bCs/>
    </w:rPr>
  </w:style>
  <w:style w:type="character" w:customStyle="1" w:styleId="Ttulo1Car">
    <w:name w:val="Título 1 Car"/>
    <w:link w:val="Ttulo1"/>
    <w:uiPriority w:val="9"/>
    <w:rsid w:val="002538C6"/>
    <w:rPr>
      <w:rFonts w:ascii="Cambria" w:eastAsia="Times New Roman" w:hAnsi="Cambria"/>
      <w:b/>
      <w:bCs/>
      <w:color w:val="365F91"/>
      <w:sz w:val="28"/>
      <w:szCs w:val="28"/>
    </w:rPr>
  </w:style>
  <w:style w:type="paragraph" w:customStyle="1" w:styleId="BodyText21">
    <w:name w:val="Body Text 21"/>
    <w:basedOn w:val="Normal"/>
    <w:rsid w:val="00291156"/>
    <w:pPr>
      <w:overflowPunct w:val="0"/>
      <w:autoSpaceDE w:val="0"/>
      <w:autoSpaceDN w:val="0"/>
      <w:adjustRightInd w:val="0"/>
      <w:spacing w:after="200" w:line="276" w:lineRule="auto"/>
      <w:jc w:val="both"/>
      <w:textAlignment w:val="baseline"/>
    </w:pPr>
    <w:rPr>
      <w:rFonts w:ascii="Arial" w:hAnsi="Arial" w:cstheme="minorBidi"/>
      <w:sz w:val="24"/>
      <w:szCs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687856">
      <w:bodyDiv w:val="1"/>
      <w:marLeft w:val="0"/>
      <w:marRight w:val="0"/>
      <w:marTop w:val="0"/>
      <w:marBottom w:val="0"/>
      <w:divBdr>
        <w:top w:val="none" w:sz="0" w:space="0" w:color="auto"/>
        <w:left w:val="none" w:sz="0" w:space="0" w:color="auto"/>
        <w:bottom w:val="none" w:sz="0" w:space="0" w:color="auto"/>
        <w:right w:val="none" w:sz="0" w:space="0" w:color="auto"/>
      </w:divBdr>
      <w:divsChild>
        <w:div w:id="881479790">
          <w:marLeft w:val="0"/>
          <w:marRight w:val="0"/>
          <w:marTop w:val="0"/>
          <w:marBottom w:val="0"/>
          <w:divBdr>
            <w:top w:val="none" w:sz="0" w:space="0" w:color="auto"/>
            <w:left w:val="none" w:sz="0" w:space="0" w:color="auto"/>
            <w:bottom w:val="none" w:sz="0" w:space="0" w:color="auto"/>
            <w:right w:val="none" w:sz="0" w:space="0" w:color="auto"/>
          </w:divBdr>
          <w:divsChild>
            <w:div w:id="227424228">
              <w:marLeft w:val="0"/>
              <w:marRight w:val="0"/>
              <w:marTop w:val="0"/>
              <w:marBottom w:val="0"/>
              <w:divBdr>
                <w:top w:val="none" w:sz="0" w:space="0" w:color="auto"/>
                <w:left w:val="single" w:sz="48" w:space="0" w:color="172935"/>
                <w:bottom w:val="none" w:sz="0" w:space="0" w:color="auto"/>
                <w:right w:val="none" w:sz="0" w:space="0" w:color="auto"/>
              </w:divBdr>
              <w:divsChild>
                <w:div w:id="23096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34BBEEFFC828EC4BB65D615379EDFB68" ma:contentTypeVersion="0" ma:contentTypeDescription="Crear nuevo documento." ma:contentTypeScope="" ma:versionID="6769c8e860e5b653ecf9352dc67c5bfb">
  <xsd:schema xmlns:xsd="http://www.w3.org/2001/XMLSchema" xmlns:xs="http://www.w3.org/2001/XMLSchema" xmlns:p="http://schemas.microsoft.com/office/2006/metadata/properties" targetNamespace="http://schemas.microsoft.com/office/2006/metadata/properties" ma:root="true" ma:fieldsID="ebba8a198e9bb40c3eeca6d0bd4125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2DA541-C3D3-4869-A435-A0827A090803}">
  <ds:schemaRefs>
    <ds:schemaRef ds:uri="http://schemas.microsoft.com/sharepoint/v3/contenttype/forms"/>
  </ds:schemaRefs>
</ds:datastoreItem>
</file>

<file path=customXml/itemProps2.xml><?xml version="1.0" encoding="utf-8"?>
<ds:datastoreItem xmlns:ds="http://schemas.openxmlformats.org/officeDocument/2006/customXml" ds:itemID="{312F82F2-7D93-4DB7-9E6A-FA41011C82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4C45A48-526F-477A-95AF-C73299A54830}">
  <ds:schemaRefs>
    <ds:schemaRef ds:uri="http://schemas.openxmlformats.org/officeDocument/2006/bibliography"/>
  </ds:schemaRefs>
</ds:datastoreItem>
</file>

<file path=customXml/itemProps4.xml><?xml version="1.0" encoding="utf-8"?>
<ds:datastoreItem xmlns:ds="http://schemas.openxmlformats.org/officeDocument/2006/customXml" ds:itemID="{7D12690C-61FE-45DD-98E6-E0B4812042E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1633</Words>
  <Characters>8983</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Alonso Caso Jacobs</dc:creator>
  <cp:lastModifiedBy>MIGUEL ANGEL ANDRADE SOLANA</cp:lastModifiedBy>
  <cp:revision>3</cp:revision>
  <cp:lastPrinted>2018-12-10T17:19:00Z</cp:lastPrinted>
  <dcterms:created xsi:type="dcterms:W3CDTF">2021-09-01T02:41:00Z</dcterms:created>
  <dcterms:modified xsi:type="dcterms:W3CDTF">2021-09-01T02:42:00Z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0x01010034BBEEFFC828EC4BB65D615379EDFB68</vt:lpwstr>
  </property>
</Properties>
</file>