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AEC3" w14:textId="77777777" w:rsidR="001E4656" w:rsidRPr="009B6965" w:rsidRDefault="001E4656" w:rsidP="00FA0A34">
      <w:pPr>
        <w:pStyle w:val="NormalWeb"/>
        <w:spacing w:before="0" w:beforeAutospacing="0" w:after="0" w:afterAutospacing="0" w:line="360" w:lineRule="auto"/>
        <w:jc w:val="both"/>
        <w:rPr>
          <w:rFonts w:ascii="Arial" w:hAnsi="Arial" w:cs="Arial"/>
          <w:b/>
          <w:bCs/>
          <w:color w:val="000000" w:themeColor="text1"/>
          <w:sz w:val="28"/>
          <w:szCs w:val="28"/>
        </w:rPr>
      </w:pPr>
    </w:p>
    <w:p w14:paraId="729F64E1" w14:textId="77777777" w:rsidR="001E4656" w:rsidRPr="009B6965" w:rsidRDefault="001E4656" w:rsidP="00FA0A34">
      <w:pPr>
        <w:pStyle w:val="NormalWeb"/>
        <w:spacing w:before="0" w:beforeAutospacing="0" w:after="0" w:afterAutospacing="0" w:line="360" w:lineRule="auto"/>
        <w:jc w:val="both"/>
        <w:rPr>
          <w:rFonts w:ascii="Arial" w:hAnsi="Arial" w:cs="Arial"/>
          <w:b/>
          <w:bCs/>
          <w:color w:val="000000" w:themeColor="text1"/>
          <w:sz w:val="28"/>
          <w:szCs w:val="28"/>
        </w:rPr>
      </w:pPr>
    </w:p>
    <w:p w14:paraId="2F6FEF34" w14:textId="77777777" w:rsidR="001E4656" w:rsidRPr="009B6965" w:rsidRDefault="001E4656" w:rsidP="00FA0A34">
      <w:pPr>
        <w:pStyle w:val="NormalWeb"/>
        <w:spacing w:before="0" w:beforeAutospacing="0" w:after="0" w:afterAutospacing="0" w:line="360" w:lineRule="auto"/>
        <w:jc w:val="both"/>
        <w:rPr>
          <w:rFonts w:ascii="Arial" w:hAnsi="Arial" w:cs="Arial"/>
          <w:b/>
          <w:bCs/>
          <w:color w:val="000000" w:themeColor="text1"/>
          <w:sz w:val="28"/>
          <w:szCs w:val="28"/>
        </w:rPr>
      </w:pPr>
    </w:p>
    <w:p w14:paraId="31C6DB9A" w14:textId="77777777" w:rsidR="001E4656" w:rsidRPr="009B6965" w:rsidRDefault="001E4656" w:rsidP="00FA0A34">
      <w:pPr>
        <w:pStyle w:val="NormalWeb"/>
        <w:spacing w:before="0" w:beforeAutospacing="0" w:after="0" w:afterAutospacing="0" w:line="360" w:lineRule="auto"/>
        <w:jc w:val="both"/>
        <w:rPr>
          <w:rFonts w:ascii="Arial" w:hAnsi="Arial" w:cs="Arial"/>
          <w:b/>
          <w:bCs/>
          <w:color w:val="000000" w:themeColor="text1"/>
          <w:sz w:val="28"/>
          <w:szCs w:val="28"/>
        </w:rPr>
      </w:pPr>
    </w:p>
    <w:p w14:paraId="2EF70B15" w14:textId="7BE4B6B7" w:rsidR="001E4656" w:rsidRPr="009B6965" w:rsidRDefault="001E4656" w:rsidP="00FA0A34">
      <w:pPr>
        <w:pStyle w:val="NormalWeb"/>
        <w:spacing w:before="0" w:beforeAutospacing="0" w:after="0" w:afterAutospacing="0" w:line="360" w:lineRule="auto"/>
        <w:jc w:val="both"/>
        <w:rPr>
          <w:rFonts w:ascii="Arial" w:hAnsi="Arial" w:cs="Arial"/>
          <w:color w:val="000000" w:themeColor="text1"/>
          <w:sz w:val="28"/>
          <w:szCs w:val="28"/>
          <w:lang w:eastAsia="en-US"/>
        </w:rPr>
      </w:pPr>
      <w:r w:rsidRPr="009B6965">
        <w:rPr>
          <w:rFonts w:ascii="Arial" w:hAnsi="Arial" w:cs="Arial"/>
          <w:b/>
          <w:bCs/>
          <w:color w:val="000000" w:themeColor="text1"/>
          <w:sz w:val="28"/>
          <w:szCs w:val="28"/>
        </w:rPr>
        <w:t xml:space="preserve">VOTO CONCURRENTE QUE FORMULA EL MINISTRO PRESIDENTE ARTURO ZALDÍVAR LELO DE LARREA EN LA ACCIÓN DE INCONSTITUCIONALIDAD </w:t>
      </w:r>
      <w:r w:rsidR="00574B3A" w:rsidRPr="009B6965">
        <w:rPr>
          <w:rFonts w:ascii="Arial" w:hAnsi="Arial" w:cs="Arial"/>
          <w:b/>
          <w:bCs/>
          <w:color w:val="000000" w:themeColor="text1"/>
          <w:sz w:val="28"/>
          <w:szCs w:val="28"/>
        </w:rPr>
        <w:t>193</w:t>
      </w:r>
      <w:r w:rsidRPr="009B6965">
        <w:rPr>
          <w:rFonts w:ascii="Arial" w:hAnsi="Arial" w:cs="Arial"/>
          <w:b/>
          <w:bCs/>
          <w:color w:val="000000" w:themeColor="text1"/>
          <w:sz w:val="28"/>
          <w:szCs w:val="28"/>
        </w:rPr>
        <w:t>/2020, PROMOVIDA POR LA COMISIÓN NACIONAL DE LOS DERECHOS HUMANOS</w:t>
      </w:r>
      <w:r w:rsidR="009B6965" w:rsidRPr="009B6965">
        <w:rPr>
          <w:rFonts w:ascii="Arial" w:hAnsi="Arial" w:cs="Arial"/>
          <w:b/>
          <w:bCs/>
          <w:color w:val="000000" w:themeColor="text1"/>
          <w:sz w:val="28"/>
          <w:szCs w:val="28"/>
          <w:lang w:eastAsia="en-US"/>
        </w:rPr>
        <w:t>.</w:t>
      </w:r>
    </w:p>
    <w:p w14:paraId="5670E9B6" w14:textId="77777777" w:rsidR="001E4656" w:rsidRPr="009B6965" w:rsidRDefault="001E4656" w:rsidP="00FA0A34">
      <w:pPr>
        <w:pStyle w:val="NormalWeb"/>
        <w:spacing w:before="0" w:beforeAutospacing="0" w:after="0" w:afterAutospacing="0" w:line="360" w:lineRule="auto"/>
        <w:jc w:val="both"/>
        <w:rPr>
          <w:rFonts w:ascii="Arial" w:hAnsi="Arial" w:cs="Arial"/>
          <w:color w:val="000000" w:themeColor="text1"/>
          <w:sz w:val="28"/>
          <w:szCs w:val="28"/>
        </w:rPr>
      </w:pPr>
    </w:p>
    <w:p w14:paraId="3FDF9899" w14:textId="3D760B44" w:rsidR="00FA0A34" w:rsidRPr="009B6965" w:rsidRDefault="001E4656" w:rsidP="00FA0A34">
      <w:pPr>
        <w:pStyle w:val="NormalWeb"/>
        <w:spacing w:before="0" w:beforeAutospacing="0" w:after="0" w:afterAutospacing="0" w:line="360" w:lineRule="auto"/>
        <w:jc w:val="both"/>
        <w:rPr>
          <w:rFonts w:ascii="Arial" w:hAnsi="Arial" w:cs="Arial"/>
          <w:color w:val="000000" w:themeColor="text1"/>
          <w:sz w:val="28"/>
          <w:szCs w:val="28"/>
        </w:rPr>
      </w:pPr>
      <w:r w:rsidRPr="009B6965">
        <w:rPr>
          <w:rFonts w:ascii="Arial" w:hAnsi="Arial" w:cs="Arial"/>
          <w:color w:val="000000" w:themeColor="text1"/>
          <w:sz w:val="28"/>
          <w:szCs w:val="28"/>
        </w:rPr>
        <w:t xml:space="preserve">En sesión de </w:t>
      </w:r>
      <w:r w:rsidR="00F86042" w:rsidRPr="009B6965">
        <w:rPr>
          <w:rFonts w:ascii="Arial" w:hAnsi="Arial" w:cs="Arial"/>
          <w:color w:val="000000" w:themeColor="text1"/>
          <w:sz w:val="28"/>
          <w:szCs w:val="28"/>
        </w:rPr>
        <w:t>diecisiete</w:t>
      </w:r>
      <w:r w:rsidR="00385F4C" w:rsidRPr="009B6965">
        <w:rPr>
          <w:rFonts w:ascii="Arial" w:hAnsi="Arial" w:cs="Arial"/>
          <w:color w:val="000000" w:themeColor="text1"/>
          <w:sz w:val="28"/>
          <w:szCs w:val="28"/>
        </w:rPr>
        <w:t xml:space="preserve"> de mayo de dos mil veintiuno</w:t>
      </w:r>
      <w:r w:rsidRPr="009B6965">
        <w:rPr>
          <w:rFonts w:ascii="Arial" w:hAnsi="Arial" w:cs="Arial"/>
          <w:color w:val="000000" w:themeColor="text1"/>
          <w:sz w:val="28"/>
          <w:szCs w:val="28"/>
        </w:rPr>
        <w:t xml:space="preserve">, el Tribunal Pleno de la Suprema Corte de Justicia de la Nación resolvió la acción de inconstitucionalidad </w:t>
      </w:r>
      <w:r w:rsidR="00F86042" w:rsidRPr="009B6965">
        <w:rPr>
          <w:rFonts w:ascii="Arial" w:hAnsi="Arial" w:cs="Arial"/>
          <w:color w:val="000000" w:themeColor="text1"/>
          <w:sz w:val="28"/>
          <w:szCs w:val="28"/>
        </w:rPr>
        <w:t>193</w:t>
      </w:r>
      <w:r w:rsidRPr="009B6965">
        <w:rPr>
          <w:rFonts w:ascii="Arial" w:hAnsi="Arial" w:cs="Arial"/>
          <w:color w:val="000000" w:themeColor="text1"/>
          <w:sz w:val="28"/>
          <w:szCs w:val="28"/>
        </w:rPr>
        <w:t>/2020, promovida por la Comisión Nacional de los Derechos Humanos, en la que se declaró la invalidez de</w:t>
      </w:r>
      <w:r w:rsidR="003E6039" w:rsidRPr="009B6965">
        <w:rPr>
          <w:rFonts w:ascii="Arial" w:hAnsi="Arial" w:cs="Arial"/>
          <w:color w:val="000000" w:themeColor="text1"/>
          <w:sz w:val="28"/>
          <w:szCs w:val="28"/>
        </w:rPr>
        <w:t xml:space="preserve"> </w:t>
      </w:r>
      <w:r w:rsidR="00F86042" w:rsidRPr="009B6965">
        <w:rPr>
          <w:rFonts w:ascii="Arial" w:hAnsi="Arial" w:cs="Arial"/>
          <w:color w:val="000000" w:themeColor="text1"/>
          <w:sz w:val="28"/>
          <w:szCs w:val="28"/>
        </w:rPr>
        <w:t>los artículos 39 a 41, del Capítulo VI “Educación Indígena”, y de los artículos 44 a 48, del Capítulo VIII “Educación Inclusiva”, contenidos en la Ley de Educación del Estado de Zacatecas, publicada en el Periódico Oficial del Gobierno de dicha entidad el diecisiete de junio de dos mil veinte</w:t>
      </w:r>
      <w:r w:rsidRPr="009B6965">
        <w:rPr>
          <w:rFonts w:ascii="Arial" w:hAnsi="Arial" w:cs="Arial"/>
          <w:color w:val="000000" w:themeColor="text1"/>
          <w:sz w:val="28"/>
          <w:szCs w:val="28"/>
        </w:rPr>
        <w:t xml:space="preserve">, toda vez que se violaron los derechos a la consulta previa de los pueblos y comunidades </w:t>
      </w:r>
      <w:r w:rsidR="003E6039" w:rsidRPr="009B6965">
        <w:rPr>
          <w:rFonts w:ascii="Arial" w:hAnsi="Arial" w:cs="Arial"/>
          <w:color w:val="000000" w:themeColor="text1"/>
          <w:sz w:val="28"/>
          <w:szCs w:val="28"/>
        </w:rPr>
        <w:t>indígenas</w:t>
      </w:r>
      <w:r w:rsidRPr="009B6965">
        <w:rPr>
          <w:rFonts w:ascii="Arial" w:hAnsi="Arial" w:cs="Arial"/>
          <w:color w:val="000000" w:themeColor="text1"/>
          <w:sz w:val="28"/>
          <w:szCs w:val="28"/>
        </w:rPr>
        <w:t xml:space="preserve"> y afromexicanas, así como de las personas con discapacidad, previstos en </w:t>
      </w:r>
      <w:r w:rsidR="008E4BD0">
        <w:rPr>
          <w:rFonts w:ascii="Arial" w:hAnsi="Arial" w:cs="Arial"/>
          <w:color w:val="000000" w:themeColor="text1"/>
          <w:sz w:val="28"/>
          <w:szCs w:val="28"/>
        </w:rPr>
        <w:t>los</w:t>
      </w:r>
      <w:r w:rsidRPr="009B6965">
        <w:rPr>
          <w:rFonts w:ascii="Arial" w:hAnsi="Arial" w:cs="Arial"/>
          <w:color w:val="000000" w:themeColor="text1"/>
          <w:sz w:val="28"/>
          <w:szCs w:val="28"/>
        </w:rPr>
        <w:t xml:space="preserve"> </w:t>
      </w:r>
      <w:r w:rsidR="003E6039" w:rsidRPr="009B6965">
        <w:rPr>
          <w:rFonts w:ascii="Arial" w:hAnsi="Arial" w:cs="Arial"/>
          <w:color w:val="000000" w:themeColor="text1"/>
          <w:sz w:val="28"/>
          <w:szCs w:val="28"/>
        </w:rPr>
        <w:t>artículo</w:t>
      </w:r>
      <w:r w:rsidR="008E4BD0">
        <w:rPr>
          <w:rFonts w:ascii="Arial" w:hAnsi="Arial" w:cs="Arial"/>
          <w:color w:val="000000" w:themeColor="text1"/>
          <w:sz w:val="28"/>
          <w:szCs w:val="28"/>
        </w:rPr>
        <w:t>s</w:t>
      </w:r>
      <w:r w:rsidRPr="009B6965">
        <w:rPr>
          <w:rFonts w:ascii="Arial" w:hAnsi="Arial" w:cs="Arial"/>
          <w:color w:val="000000" w:themeColor="text1"/>
          <w:sz w:val="28"/>
          <w:szCs w:val="28"/>
        </w:rPr>
        <w:t xml:space="preserve"> 2º de la </w:t>
      </w:r>
      <w:r w:rsidR="003E6039" w:rsidRPr="009B6965">
        <w:rPr>
          <w:rFonts w:ascii="Arial" w:hAnsi="Arial" w:cs="Arial"/>
          <w:color w:val="000000" w:themeColor="text1"/>
          <w:sz w:val="28"/>
          <w:szCs w:val="28"/>
        </w:rPr>
        <w:t>Constitución</w:t>
      </w:r>
      <w:r w:rsidRPr="009B6965">
        <w:rPr>
          <w:rFonts w:ascii="Arial" w:hAnsi="Arial" w:cs="Arial"/>
          <w:color w:val="000000" w:themeColor="text1"/>
          <w:sz w:val="28"/>
          <w:szCs w:val="28"/>
        </w:rPr>
        <w:t xml:space="preserve"> </w:t>
      </w:r>
      <w:r w:rsidR="003E6039" w:rsidRPr="009B6965">
        <w:rPr>
          <w:rFonts w:ascii="Arial" w:hAnsi="Arial" w:cs="Arial"/>
          <w:color w:val="000000" w:themeColor="text1"/>
          <w:sz w:val="28"/>
          <w:szCs w:val="28"/>
        </w:rPr>
        <w:t>Política</w:t>
      </w:r>
      <w:r w:rsidRPr="009B6965">
        <w:rPr>
          <w:rFonts w:ascii="Arial" w:hAnsi="Arial" w:cs="Arial"/>
          <w:color w:val="000000" w:themeColor="text1"/>
          <w:sz w:val="28"/>
          <w:szCs w:val="28"/>
        </w:rPr>
        <w:t xml:space="preserve"> de los Estados Unidos Mexicanos; 6 del Convenio 169 de la </w:t>
      </w:r>
      <w:r w:rsidR="003E6039" w:rsidRPr="009B6965">
        <w:rPr>
          <w:rFonts w:ascii="Arial" w:hAnsi="Arial" w:cs="Arial"/>
          <w:color w:val="000000" w:themeColor="text1"/>
          <w:sz w:val="28"/>
          <w:szCs w:val="28"/>
        </w:rPr>
        <w:t>Organización</w:t>
      </w:r>
      <w:r w:rsidRPr="009B6965">
        <w:rPr>
          <w:rFonts w:ascii="Arial" w:hAnsi="Arial" w:cs="Arial"/>
          <w:color w:val="000000" w:themeColor="text1"/>
          <w:sz w:val="28"/>
          <w:szCs w:val="28"/>
        </w:rPr>
        <w:t xml:space="preserve"> Internacional del Trabajo sobre Pueblos </w:t>
      </w:r>
      <w:r w:rsidR="003E6039" w:rsidRPr="009B6965">
        <w:rPr>
          <w:rFonts w:ascii="Arial" w:hAnsi="Arial" w:cs="Arial"/>
          <w:color w:val="000000" w:themeColor="text1"/>
          <w:sz w:val="28"/>
          <w:szCs w:val="28"/>
        </w:rPr>
        <w:t>Indígenas</w:t>
      </w:r>
      <w:r w:rsidRPr="009B6965">
        <w:rPr>
          <w:rFonts w:ascii="Arial" w:hAnsi="Arial" w:cs="Arial"/>
          <w:color w:val="000000" w:themeColor="text1"/>
          <w:sz w:val="28"/>
          <w:szCs w:val="28"/>
        </w:rPr>
        <w:t xml:space="preserve"> y Tribales; y, 4.3 de la </w:t>
      </w:r>
      <w:r w:rsidR="003E6039" w:rsidRPr="009B6965">
        <w:rPr>
          <w:rFonts w:ascii="Arial" w:hAnsi="Arial" w:cs="Arial"/>
          <w:color w:val="000000" w:themeColor="text1"/>
          <w:sz w:val="28"/>
          <w:szCs w:val="28"/>
        </w:rPr>
        <w:t>Convención</w:t>
      </w:r>
      <w:r w:rsidRPr="009B6965">
        <w:rPr>
          <w:rFonts w:ascii="Arial" w:hAnsi="Arial" w:cs="Arial"/>
          <w:color w:val="000000" w:themeColor="text1"/>
          <w:sz w:val="28"/>
          <w:szCs w:val="28"/>
        </w:rPr>
        <w:t xml:space="preserve"> sobre los Derechos de las Personas con Discapacidad.</w:t>
      </w:r>
    </w:p>
    <w:p w14:paraId="0B67B302" w14:textId="77777777" w:rsidR="00FA0A34" w:rsidRPr="009B6965" w:rsidRDefault="00FA0A34" w:rsidP="00FA0A34">
      <w:pPr>
        <w:pStyle w:val="NormalWeb"/>
        <w:spacing w:before="0" w:beforeAutospacing="0" w:after="0" w:afterAutospacing="0" w:line="360" w:lineRule="auto"/>
        <w:jc w:val="both"/>
        <w:rPr>
          <w:rFonts w:ascii="Arial" w:hAnsi="Arial" w:cs="Arial"/>
          <w:color w:val="000000" w:themeColor="text1"/>
          <w:sz w:val="28"/>
          <w:szCs w:val="28"/>
        </w:rPr>
      </w:pPr>
    </w:p>
    <w:p w14:paraId="5E504FC0" w14:textId="337E3298" w:rsidR="00FA0A34" w:rsidRPr="009B6965" w:rsidRDefault="003E6039" w:rsidP="00FA0A34">
      <w:pPr>
        <w:pStyle w:val="NormalWeb"/>
        <w:spacing w:before="0" w:beforeAutospacing="0" w:after="0" w:afterAutospacing="0" w:line="360" w:lineRule="auto"/>
        <w:ind w:firstLine="708"/>
        <w:jc w:val="both"/>
        <w:rPr>
          <w:rFonts w:ascii="Arial" w:hAnsi="Arial" w:cs="Arial"/>
          <w:color w:val="000000" w:themeColor="text1"/>
          <w:sz w:val="28"/>
          <w:szCs w:val="28"/>
        </w:rPr>
      </w:pPr>
      <w:r w:rsidRPr="009B6965">
        <w:rPr>
          <w:rFonts w:ascii="Arial" w:hAnsi="Arial" w:cs="Arial"/>
          <w:color w:val="000000" w:themeColor="text1"/>
          <w:sz w:val="28"/>
          <w:szCs w:val="28"/>
        </w:rPr>
        <w:t xml:space="preserve">Al igual que el precedente sentado en la sentencia de la acción de inconstitucionalidad 212/2020, resuelta en sesión </w:t>
      </w:r>
      <w:r w:rsidR="00883B18" w:rsidRPr="009B6965">
        <w:rPr>
          <w:rFonts w:ascii="Arial" w:hAnsi="Arial" w:cs="Arial"/>
          <w:color w:val="000000" w:themeColor="text1"/>
          <w:sz w:val="28"/>
          <w:szCs w:val="28"/>
        </w:rPr>
        <w:t>del Tribunal Pleno</w:t>
      </w:r>
      <w:r w:rsidRPr="009B6965">
        <w:rPr>
          <w:rFonts w:ascii="Arial" w:hAnsi="Arial" w:cs="Arial"/>
          <w:color w:val="000000" w:themeColor="text1"/>
          <w:sz w:val="28"/>
          <w:szCs w:val="28"/>
        </w:rPr>
        <w:t xml:space="preserve"> de uno de marzo de dos mil veintiuno,</w:t>
      </w:r>
      <w:r w:rsidR="007571CE" w:rsidRPr="009B6965">
        <w:rPr>
          <w:rFonts w:ascii="Arial" w:hAnsi="Arial" w:cs="Arial"/>
          <w:color w:val="000000" w:themeColor="text1"/>
          <w:sz w:val="28"/>
          <w:szCs w:val="28"/>
        </w:rPr>
        <w:t xml:space="preserve"> este fallo </w:t>
      </w:r>
      <w:r w:rsidR="00883B18" w:rsidRPr="009B6965">
        <w:rPr>
          <w:rFonts w:ascii="Arial" w:hAnsi="Arial" w:cs="Arial"/>
          <w:color w:val="000000" w:themeColor="text1"/>
          <w:sz w:val="28"/>
          <w:szCs w:val="28"/>
        </w:rPr>
        <w:t>resulta relevante en razón de que</w:t>
      </w:r>
      <w:r w:rsidR="007571CE" w:rsidRPr="009B6965">
        <w:rPr>
          <w:rFonts w:ascii="Arial" w:hAnsi="Arial" w:cs="Arial"/>
          <w:color w:val="000000" w:themeColor="text1"/>
          <w:sz w:val="28"/>
          <w:szCs w:val="28"/>
        </w:rPr>
        <w:t xml:space="preserve"> constituye una evolución en el criterio de la Suprema Corte de Justicia de la Nación, pues a pesar de que para la mayoría de los integrantes del Pleno, la falta de consulta no había implicado la </w:t>
      </w:r>
      <w:r w:rsidR="007571CE" w:rsidRPr="009B6965">
        <w:rPr>
          <w:rFonts w:ascii="Arial" w:hAnsi="Arial" w:cs="Arial"/>
          <w:color w:val="000000" w:themeColor="text1"/>
          <w:sz w:val="28"/>
          <w:szCs w:val="28"/>
        </w:rPr>
        <w:lastRenderedPageBreak/>
        <w:t>invalidez de la norma cuando se impugnaban leyes que no regulaban de manera específica los intereses y/o derechos de personas con discapacidad o de pueblos y comunidades indígenas,</w:t>
      </w:r>
      <w:r w:rsidR="007571CE" w:rsidRPr="009B6965">
        <w:rPr>
          <w:rStyle w:val="Refdenotaalpie"/>
          <w:rFonts w:ascii="Arial" w:hAnsi="Arial" w:cs="Arial"/>
          <w:color w:val="000000" w:themeColor="text1"/>
          <w:sz w:val="28"/>
          <w:szCs w:val="28"/>
        </w:rPr>
        <w:footnoteReference w:id="1"/>
      </w:r>
      <w:r w:rsidR="007571CE" w:rsidRPr="009B6965">
        <w:rPr>
          <w:rFonts w:ascii="Arial" w:hAnsi="Arial" w:cs="Arial"/>
          <w:color w:val="000000" w:themeColor="text1"/>
          <w:sz w:val="28"/>
          <w:szCs w:val="28"/>
        </w:rPr>
        <w:t xml:space="preserve"> se avanza en una “</w:t>
      </w:r>
      <w:r w:rsidR="007571CE" w:rsidRPr="009B6965">
        <w:rPr>
          <w:rFonts w:ascii="Arial" w:hAnsi="Arial" w:cs="Arial"/>
          <w:i/>
          <w:iCs/>
          <w:color w:val="000000" w:themeColor="text1"/>
          <w:sz w:val="28"/>
          <w:szCs w:val="28"/>
        </w:rPr>
        <w:t>decisión de Corte</w:t>
      </w:r>
      <w:r w:rsidR="007571CE" w:rsidRPr="009B6965">
        <w:rPr>
          <w:rFonts w:ascii="Arial" w:hAnsi="Arial" w:cs="Arial"/>
          <w:color w:val="000000" w:themeColor="text1"/>
          <w:sz w:val="28"/>
          <w:szCs w:val="28"/>
        </w:rPr>
        <w:t>” para precisar que cuando una ley no esté específicamente relacionada con tales grupos vulnerables, las normas por invalidar sean precisamente las que les afecten, sin que ello alcance a invalidar todo el ordenamiento. Por el contrario, cuando las normas se dirijan específicamente a estos grupos vulnerables, la falta de consulta invalida todo ese ordenamiento.</w:t>
      </w:r>
    </w:p>
    <w:p w14:paraId="4693CAAF" w14:textId="77777777" w:rsidR="00FA0A34" w:rsidRPr="009B6965" w:rsidRDefault="00FA0A34" w:rsidP="00FA0A34">
      <w:pPr>
        <w:pStyle w:val="NormalWeb"/>
        <w:spacing w:before="0" w:beforeAutospacing="0" w:after="0" w:afterAutospacing="0" w:line="360" w:lineRule="auto"/>
        <w:ind w:firstLine="709"/>
        <w:jc w:val="both"/>
        <w:rPr>
          <w:rFonts w:ascii="Arial" w:hAnsi="Arial" w:cs="Arial"/>
          <w:color w:val="000000" w:themeColor="text1"/>
          <w:sz w:val="28"/>
          <w:szCs w:val="28"/>
        </w:rPr>
      </w:pPr>
    </w:p>
    <w:p w14:paraId="75C15C04" w14:textId="35D85078" w:rsidR="001E4656" w:rsidRPr="009B6965" w:rsidRDefault="001E4656" w:rsidP="00FA0A34">
      <w:pPr>
        <w:pStyle w:val="NormalWeb"/>
        <w:spacing w:before="0" w:beforeAutospacing="0" w:after="0" w:afterAutospacing="0" w:line="360" w:lineRule="auto"/>
        <w:ind w:firstLine="709"/>
        <w:jc w:val="both"/>
        <w:rPr>
          <w:rFonts w:ascii="Arial" w:hAnsi="Arial" w:cs="Arial"/>
          <w:color w:val="000000" w:themeColor="text1"/>
          <w:sz w:val="28"/>
          <w:szCs w:val="28"/>
        </w:rPr>
      </w:pPr>
      <w:r w:rsidRPr="009B6965">
        <w:rPr>
          <w:rFonts w:ascii="Arial" w:hAnsi="Arial" w:cs="Arial"/>
          <w:color w:val="000000" w:themeColor="text1"/>
          <w:sz w:val="28"/>
          <w:szCs w:val="28"/>
        </w:rPr>
        <w:t xml:space="preserve">Coincido plenamente con el sentido de la </w:t>
      </w:r>
      <w:r w:rsidR="00883B18" w:rsidRPr="009B6965">
        <w:rPr>
          <w:rFonts w:ascii="Arial" w:hAnsi="Arial" w:cs="Arial"/>
          <w:color w:val="000000" w:themeColor="text1"/>
          <w:sz w:val="28"/>
          <w:szCs w:val="28"/>
        </w:rPr>
        <w:t>resolución</w:t>
      </w:r>
      <w:r w:rsidR="00FA0A34" w:rsidRPr="009B6965">
        <w:rPr>
          <w:rFonts w:ascii="Arial" w:hAnsi="Arial" w:cs="Arial"/>
          <w:color w:val="000000" w:themeColor="text1"/>
          <w:sz w:val="28"/>
          <w:szCs w:val="28"/>
        </w:rPr>
        <w:t xml:space="preserve"> y comparto gran </w:t>
      </w:r>
      <w:r w:rsidRPr="009B6965">
        <w:rPr>
          <w:rFonts w:ascii="Arial" w:hAnsi="Arial" w:cs="Arial"/>
          <w:color w:val="000000" w:themeColor="text1"/>
          <w:sz w:val="28"/>
          <w:szCs w:val="28"/>
        </w:rPr>
        <w:t xml:space="preserve">parte de las consideraciones de la sentencia. No obstante, estimo que es necesario fortalecer el contenido y alcance del derecho a la consulta indígena, así como </w:t>
      </w:r>
      <w:r w:rsidRPr="009B6965">
        <w:rPr>
          <w:rFonts w:ascii="Arial" w:hAnsi="Arial" w:cs="Arial"/>
          <w:color w:val="000000" w:themeColor="text1"/>
          <w:sz w:val="28"/>
          <w:szCs w:val="28"/>
          <w:lang w:val="es-ES"/>
        </w:rPr>
        <w:t>el estándar de análisis respecto de la consulta a las personas con discapacidad, con la inclusión expresa del principio de igualdad entre el hombre y la mujer</w:t>
      </w:r>
      <w:r w:rsidRPr="009B6965">
        <w:rPr>
          <w:rFonts w:ascii="Arial" w:hAnsi="Arial" w:cs="Arial"/>
          <w:color w:val="000000" w:themeColor="text1"/>
          <w:sz w:val="28"/>
          <w:szCs w:val="28"/>
        </w:rPr>
        <w:t xml:space="preserve">. </w:t>
      </w:r>
    </w:p>
    <w:p w14:paraId="15F3EF7B" w14:textId="77777777" w:rsidR="001E4656" w:rsidRPr="009B6965" w:rsidRDefault="001E4656" w:rsidP="00FA0A34">
      <w:pPr>
        <w:pStyle w:val="NormalWeb"/>
        <w:spacing w:before="0" w:beforeAutospacing="0" w:after="0" w:afterAutospacing="0" w:line="360" w:lineRule="auto"/>
        <w:jc w:val="both"/>
        <w:rPr>
          <w:rFonts w:ascii="Arial" w:hAnsi="Arial" w:cs="Arial"/>
          <w:color w:val="000000" w:themeColor="text1"/>
          <w:sz w:val="28"/>
          <w:szCs w:val="28"/>
        </w:rPr>
      </w:pPr>
    </w:p>
    <w:p w14:paraId="398A7604" w14:textId="14E45754" w:rsidR="001E4656" w:rsidRPr="009B6965" w:rsidRDefault="001E4656" w:rsidP="00440A06">
      <w:pPr>
        <w:pStyle w:val="NormalWeb"/>
        <w:spacing w:before="0" w:beforeAutospacing="0" w:after="0" w:afterAutospacing="0" w:line="360" w:lineRule="auto"/>
        <w:ind w:firstLine="360"/>
        <w:jc w:val="both"/>
        <w:rPr>
          <w:rFonts w:ascii="Arial" w:hAnsi="Arial" w:cs="Arial"/>
          <w:color w:val="000000" w:themeColor="text1"/>
          <w:sz w:val="28"/>
          <w:szCs w:val="28"/>
        </w:rPr>
      </w:pPr>
      <w:r w:rsidRPr="009B6965">
        <w:rPr>
          <w:rFonts w:ascii="Arial" w:hAnsi="Arial" w:cs="Arial"/>
          <w:color w:val="000000" w:themeColor="text1"/>
          <w:sz w:val="28"/>
          <w:szCs w:val="28"/>
        </w:rPr>
        <w:t>En función de lo anterior, me referiré a cada uno de estos temas por separado.</w:t>
      </w:r>
    </w:p>
    <w:p w14:paraId="16F6E824" w14:textId="77777777" w:rsidR="00440A06" w:rsidRPr="009B6965" w:rsidRDefault="00440A06" w:rsidP="00440A06">
      <w:pPr>
        <w:pStyle w:val="NormalWeb"/>
        <w:spacing w:before="0" w:beforeAutospacing="0" w:after="0" w:afterAutospacing="0" w:line="360" w:lineRule="auto"/>
        <w:ind w:firstLine="360"/>
        <w:jc w:val="both"/>
        <w:rPr>
          <w:rFonts w:ascii="Arial" w:hAnsi="Arial" w:cs="Arial"/>
          <w:color w:val="000000" w:themeColor="text1"/>
          <w:sz w:val="28"/>
          <w:szCs w:val="28"/>
        </w:rPr>
      </w:pPr>
    </w:p>
    <w:p w14:paraId="0FDE45C2" w14:textId="4BF7F9D7" w:rsidR="001E4656" w:rsidRPr="009B6965" w:rsidRDefault="001E4656" w:rsidP="00FA0A34">
      <w:pPr>
        <w:pStyle w:val="Prrafodelista"/>
        <w:numPr>
          <w:ilvl w:val="0"/>
          <w:numId w:val="3"/>
        </w:numPr>
        <w:spacing w:after="0" w:line="360" w:lineRule="auto"/>
        <w:jc w:val="both"/>
        <w:rPr>
          <w:rFonts w:ascii="Arial" w:eastAsia="Times New Roman" w:hAnsi="Arial" w:cs="Arial"/>
          <w:b/>
          <w:bCs/>
          <w:color w:val="000000" w:themeColor="text1"/>
          <w:sz w:val="28"/>
          <w:szCs w:val="28"/>
          <w:lang w:eastAsia="es-MX"/>
        </w:rPr>
      </w:pPr>
      <w:r w:rsidRPr="009B6965">
        <w:rPr>
          <w:rFonts w:ascii="Arial" w:eastAsia="Times New Roman" w:hAnsi="Arial" w:cs="Arial"/>
          <w:b/>
          <w:bCs/>
          <w:color w:val="000000" w:themeColor="text1"/>
          <w:sz w:val="28"/>
          <w:szCs w:val="28"/>
          <w:lang w:eastAsia="es-MX"/>
        </w:rPr>
        <w:lastRenderedPageBreak/>
        <w:t xml:space="preserve">Contenido y alcance del derecho de los pueblos y comunidades </w:t>
      </w:r>
      <w:r w:rsidR="00883B18" w:rsidRPr="009B6965">
        <w:rPr>
          <w:rFonts w:ascii="Arial" w:eastAsia="Times New Roman" w:hAnsi="Arial" w:cs="Arial"/>
          <w:b/>
          <w:bCs/>
          <w:color w:val="000000" w:themeColor="text1"/>
          <w:sz w:val="28"/>
          <w:szCs w:val="28"/>
          <w:lang w:eastAsia="es-MX"/>
        </w:rPr>
        <w:t>indígenas</w:t>
      </w:r>
      <w:r w:rsidRPr="009B6965">
        <w:rPr>
          <w:rFonts w:ascii="Arial" w:eastAsia="Times New Roman" w:hAnsi="Arial" w:cs="Arial"/>
          <w:b/>
          <w:bCs/>
          <w:color w:val="000000" w:themeColor="text1"/>
          <w:sz w:val="28"/>
          <w:szCs w:val="28"/>
          <w:lang w:eastAsia="es-MX"/>
        </w:rPr>
        <w:t xml:space="preserve"> y afromexicanas a la consulta previa, libre e informada. </w:t>
      </w:r>
    </w:p>
    <w:p w14:paraId="5D26CFD5" w14:textId="77777777" w:rsidR="001E4656" w:rsidRPr="009B6965" w:rsidRDefault="001E4656" w:rsidP="00FA0A34">
      <w:pPr>
        <w:pStyle w:val="NormalWeb"/>
        <w:spacing w:before="0" w:beforeAutospacing="0" w:after="0" w:afterAutospacing="0" w:line="360" w:lineRule="auto"/>
        <w:ind w:firstLine="709"/>
        <w:jc w:val="both"/>
        <w:rPr>
          <w:rFonts w:ascii="Arial" w:hAnsi="Arial" w:cs="Arial"/>
          <w:color w:val="000000" w:themeColor="text1"/>
          <w:sz w:val="28"/>
          <w:szCs w:val="28"/>
        </w:rPr>
      </w:pPr>
    </w:p>
    <w:p w14:paraId="47919013" w14:textId="21952890" w:rsidR="001E4656" w:rsidRPr="009B6965" w:rsidRDefault="001E4656" w:rsidP="00FA0A34">
      <w:pPr>
        <w:pStyle w:val="NormalWeb"/>
        <w:spacing w:before="0" w:beforeAutospacing="0" w:after="0" w:afterAutospacing="0" w:line="360" w:lineRule="auto"/>
        <w:jc w:val="both"/>
        <w:rPr>
          <w:rFonts w:ascii="Arial" w:eastAsiaTheme="minorHAnsi" w:hAnsi="Arial" w:cs="Arial"/>
          <w:color w:val="000000" w:themeColor="text1"/>
          <w:sz w:val="28"/>
          <w:szCs w:val="28"/>
          <w:lang w:eastAsia="en-US"/>
        </w:rPr>
      </w:pPr>
      <w:r w:rsidRPr="009B6965">
        <w:rPr>
          <w:rFonts w:ascii="Arial" w:eastAsiaTheme="minorHAnsi" w:hAnsi="Arial" w:cs="Arial"/>
          <w:color w:val="000000" w:themeColor="text1"/>
          <w:sz w:val="28"/>
          <w:szCs w:val="28"/>
          <w:lang w:eastAsia="en-US"/>
        </w:rPr>
        <w:t xml:space="preserve">La sentencia retoma los criterios internacionales que deben seguir las consultas a los pueblos y comunidades </w:t>
      </w:r>
      <w:r w:rsidR="007571CE" w:rsidRPr="009B6965">
        <w:rPr>
          <w:rFonts w:ascii="Arial" w:eastAsiaTheme="minorHAnsi" w:hAnsi="Arial" w:cs="Arial"/>
          <w:color w:val="000000" w:themeColor="text1"/>
          <w:sz w:val="28"/>
          <w:szCs w:val="28"/>
          <w:lang w:eastAsia="en-US"/>
        </w:rPr>
        <w:t>indígenas</w:t>
      </w:r>
      <w:r w:rsidRPr="009B6965">
        <w:rPr>
          <w:rFonts w:ascii="Arial" w:eastAsiaTheme="minorHAnsi" w:hAnsi="Arial" w:cs="Arial"/>
          <w:color w:val="000000" w:themeColor="text1"/>
          <w:sz w:val="28"/>
          <w:szCs w:val="28"/>
          <w:lang w:eastAsia="en-US"/>
        </w:rPr>
        <w:t xml:space="preserve"> y afromexicanos</w:t>
      </w:r>
      <w:r w:rsidRPr="009B6965">
        <w:rPr>
          <w:rStyle w:val="Refdenotaalpie"/>
          <w:rFonts w:ascii="Arial" w:hAnsi="Arial" w:cs="Arial"/>
          <w:color w:val="000000" w:themeColor="text1"/>
          <w:sz w:val="28"/>
          <w:szCs w:val="28"/>
          <w:lang w:val="es-ES_tradnl"/>
        </w:rPr>
        <w:footnoteReference w:id="2"/>
      </w:r>
      <w:r w:rsidRPr="009B6965">
        <w:rPr>
          <w:rFonts w:ascii="Arial" w:eastAsiaTheme="minorHAnsi" w:hAnsi="Arial" w:cs="Arial"/>
          <w:color w:val="000000" w:themeColor="text1"/>
          <w:sz w:val="28"/>
          <w:szCs w:val="28"/>
          <w:lang w:eastAsia="en-US"/>
        </w:rPr>
        <w:t>.</w:t>
      </w:r>
      <w:r w:rsidRPr="009B6965">
        <w:rPr>
          <w:rFonts w:ascii="Arial" w:hAnsi="Arial" w:cs="Arial"/>
          <w:color w:val="000000" w:themeColor="text1"/>
          <w:sz w:val="28"/>
          <w:szCs w:val="28"/>
          <w:lang w:val="es-ES_tradnl"/>
        </w:rPr>
        <w:t xml:space="preserve"> </w:t>
      </w:r>
      <w:r w:rsidRPr="009B6965">
        <w:rPr>
          <w:rFonts w:ascii="Arial" w:eastAsiaTheme="minorHAnsi" w:hAnsi="Arial" w:cs="Arial"/>
          <w:color w:val="000000" w:themeColor="text1"/>
          <w:sz w:val="28"/>
          <w:szCs w:val="28"/>
          <w:lang w:eastAsia="en-US"/>
        </w:rPr>
        <w:t xml:space="preserve">Sin embargo, considero que </w:t>
      </w:r>
      <w:r w:rsidR="007571CE" w:rsidRPr="009B6965">
        <w:rPr>
          <w:rFonts w:ascii="Arial" w:eastAsiaTheme="minorHAnsi" w:hAnsi="Arial" w:cs="Arial"/>
          <w:color w:val="000000" w:themeColor="text1"/>
          <w:sz w:val="28"/>
          <w:szCs w:val="28"/>
          <w:lang w:eastAsia="en-US"/>
        </w:rPr>
        <w:t>también</w:t>
      </w:r>
      <w:r w:rsidRPr="009B6965">
        <w:rPr>
          <w:rFonts w:ascii="Arial" w:eastAsiaTheme="minorHAnsi" w:hAnsi="Arial" w:cs="Arial"/>
          <w:color w:val="000000" w:themeColor="text1"/>
          <w:sz w:val="28"/>
          <w:szCs w:val="28"/>
          <w:lang w:eastAsia="en-US"/>
        </w:rPr>
        <w:t xml:space="preserve"> deben retomarse las consideraciones, tanto de esta Corte como de diversos organismos internacionales, que sustentan la necesidad de dichos criterios. </w:t>
      </w:r>
    </w:p>
    <w:p w14:paraId="5E8C718E" w14:textId="77777777" w:rsidR="001E4656" w:rsidRPr="009B6965" w:rsidRDefault="001E4656" w:rsidP="00FA0A34">
      <w:pPr>
        <w:pStyle w:val="NormalWeb"/>
        <w:spacing w:before="0" w:beforeAutospacing="0" w:after="0" w:afterAutospacing="0" w:line="360" w:lineRule="auto"/>
        <w:jc w:val="both"/>
        <w:rPr>
          <w:rFonts w:ascii="Arial" w:eastAsiaTheme="minorHAnsi" w:hAnsi="Arial" w:cs="Arial"/>
          <w:color w:val="000000" w:themeColor="text1"/>
          <w:sz w:val="28"/>
          <w:szCs w:val="28"/>
          <w:lang w:eastAsia="en-US"/>
        </w:rPr>
      </w:pPr>
    </w:p>
    <w:p w14:paraId="48ABC3CF" w14:textId="736F7BF0" w:rsidR="001E4656" w:rsidRPr="009B6965" w:rsidRDefault="001E4656" w:rsidP="00FA0A34">
      <w:pPr>
        <w:pStyle w:val="NormalWeb"/>
        <w:spacing w:before="0" w:beforeAutospacing="0" w:after="0" w:afterAutospacing="0" w:line="360" w:lineRule="auto"/>
        <w:ind w:firstLine="708"/>
        <w:jc w:val="both"/>
        <w:rPr>
          <w:rFonts w:ascii="Arial" w:eastAsiaTheme="minorHAnsi" w:hAnsi="Arial" w:cs="Arial"/>
          <w:color w:val="000000" w:themeColor="text1"/>
          <w:sz w:val="28"/>
          <w:szCs w:val="28"/>
          <w:lang w:eastAsia="en-US"/>
        </w:rPr>
      </w:pPr>
      <w:r w:rsidRPr="009B6965">
        <w:rPr>
          <w:rFonts w:ascii="Arial" w:eastAsiaTheme="minorHAnsi" w:hAnsi="Arial" w:cs="Arial"/>
          <w:color w:val="000000" w:themeColor="text1"/>
          <w:sz w:val="28"/>
          <w:szCs w:val="28"/>
          <w:lang w:eastAsia="en-US"/>
        </w:rPr>
        <w:t xml:space="preserve">En este sentido, es pertinente definir cuáles son las condiciones para que una consulta pueda considerarse </w:t>
      </w:r>
      <w:r w:rsidR="00525DAF" w:rsidRPr="009B6965">
        <w:rPr>
          <w:rFonts w:ascii="Arial" w:eastAsiaTheme="minorHAnsi" w:hAnsi="Arial" w:cs="Arial"/>
          <w:color w:val="000000" w:themeColor="text1"/>
          <w:sz w:val="28"/>
          <w:szCs w:val="28"/>
          <w:lang w:eastAsia="en-US"/>
        </w:rPr>
        <w:t>efectiva, –</w:t>
      </w:r>
      <w:r w:rsidRPr="009B6965">
        <w:rPr>
          <w:rFonts w:ascii="Arial" w:eastAsiaTheme="minorHAnsi" w:hAnsi="Arial" w:cs="Arial"/>
          <w:color w:val="000000" w:themeColor="text1"/>
          <w:sz w:val="28"/>
          <w:szCs w:val="28"/>
          <w:lang w:eastAsia="en-US"/>
        </w:rPr>
        <w:t>lo cual debe ser determinado a la luz de la jurisprudencia de la Corte Interamericana de Derechos Humanos y diversos precedentes de esta Suprema Corte–.</w:t>
      </w:r>
    </w:p>
    <w:p w14:paraId="74F4A6EF" w14:textId="77777777" w:rsidR="00525DAF" w:rsidRPr="009B6965" w:rsidRDefault="00525DAF" w:rsidP="00FA0A34">
      <w:pPr>
        <w:pStyle w:val="NormalWeb"/>
        <w:spacing w:before="0" w:beforeAutospacing="0" w:after="0" w:afterAutospacing="0" w:line="360" w:lineRule="auto"/>
        <w:ind w:firstLine="708"/>
        <w:jc w:val="both"/>
        <w:rPr>
          <w:rFonts w:ascii="Arial" w:hAnsi="Arial" w:cs="Arial"/>
          <w:color w:val="000000" w:themeColor="text1"/>
          <w:sz w:val="28"/>
          <w:szCs w:val="28"/>
        </w:rPr>
      </w:pPr>
    </w:p>
    <w:p w14:paraId="501150C8" w14:textId="16F2A019" w:rsidR="001E4656" w:rsidRPr="009B6965" w:rsidRDefault="001E4656" w:rsidP="00FA0A34">
      <w:pPr>
        <w:pStyle w:val="NormalWeb"/>
        <w:spacing w:before="0" w:beforeAutospacing="0" w:after="0" w:afterAutospacing="0" w:line="360" w:lineRule="auto"/>
        <w:ind w:firstLine="708"/>
        <w:jc w:val="both"/>
        <w:rPr>
          <w:rFonts w:ascii="Arial" w:eastAsiaTheme="minorHAnsi" w:hAnsi="Arial" w:cs="Arial"/>
          <w:color w:val="000000" w:themeColor="text1"/>
          <w:sz w:val="28"/>
          <w:szCs w:val="28"/>
          <w:lang w:eastAsia="en-US"/>
        </w:rPr>
      </w:pPr>
      <w:r w:rsidRPr="009B6965">
        <w:rPr>
          <w:rFonts w:ascii="Arial" w:hAnsi="Arial" w:cs="Arial"/>
          <w:color w:val="000000" w:themeColor="text1"/>
          <w:sz w:val="28"/>
          <w:szCs w:val="28"/>
        </w:rPr>
        <w:t>El alcance y sentido del derecho a la consulta previa debe ser leído a la luz de</w:t>
      </w:r>
      <w:r w:rsidRPr="009B6965">
        <w:rPr>
          <w:rFonts w:ascii="Arial" w:hAnsi="Arial" w:cs="Arial"/>
          <w:b/>
          <w:color w:val="000000" w:themeColor="text1"/>
          <w:sz w:val="28"/>
          <w:szCs w:val="28"/>
        </w:rPr>
        <w:t xml:space="preserve"> </w:t>
      </w:r>
      <w:r w:rsidRPr="009B6965">
        <w:rPr>
          <w:rFonts w:ascii="Arial" w:hAnsi="Arial" w:cs="Arial"/>
          <w:color w:val="000000" w:themeColor="text1"/>
          <w:sz w:val="28"/>
          <w:szCs w:val="28"/>
        </w:rPr>
        <w:t>los</w:t>
      </w:r>
      <w:r w:rsidRPr="009B6965">
        <w:rPr>
          <w:rFonts w:ascii="Arial" w:hAnsi="Arial" w:cs="Arial"/>
          <w:b/>
          <w:color w:val="000000" w:themeColor="text1"/>
          <w:sz w:val="28"/>
          <w:szCs w:val="28"/>
        </w:rPr>
        <w:t xml:space="preserve"> </w:t>
      </w:r>
      <w:r w:rsidRPr="009B6965">
        <w:rPr>
          <w:rFonts w:ascii="Arial" w:hAnsi="Arial" w:cs="Arial"/>
          <w:color w:val="000000" w:themeColor="text1"/>
          <w:sz w:val="28"/>
          <w:szCs w:val="28"/>
        </w:rPr>
        <w:t>criterios derivados de los casos de “Pueblo de Saramaka vs Surinam” de 28 de noviembre de 2007, y “Yatama vs Nicaragua”, de 23 de junio de 2005, ya que conforme a lo resuelto por este Tribunal Pleno en la Contradicción de Tesis 293/2011, los criterios jurisprudenciales de la Corte Interamericana de Derechos Humanos son vinculantes</w:t>
      </w:r>
      <w:r w:rsidRPr="009B6965">
        <w:rPr>
          <w:rFonts w:ascii="Arial" w:hAnsi="Arial" w:cs="Arial"/>
          <w:b/>
          <w:color w:val="000000" w:themeColor="text1"/>
          <w:sz w:val="28"/>
          <w:szCs w:val="28"/>
        </w:rPr>
        <w:t xml:space="preserve"> </w:t>
      </w:r>
      <w:r w:rsidRPr="009B6965">
        <w:rPr>
          <w:rFonts w:ascii="Arial" w:hAnsi="Arial" w:cs="Arial"/>
          <w:color w:val="000000" w:themeColor="text1"/>
          <w:sz w:val="28"/>
          <w:szCs w:val="28"/>
        </w:rPr>
        <w:t>con independencia de que el Estado Mexicano haya sido parte en el litigio ante dicho tribunal</w:t>
      </w:r>
      <w:r w:rsidRPr="009B6965">
        <w:rPr>
          <w:rStyle w:val="Refdenotaalpie"/>
          <w:rFonts w:ascii="Arial" w:hAnsi="Arial" w:cs="Arial"/>
          <w:color w:val="000000" w:themeColor="text1"/>
          <w:sz w:val="28"/>
          <w:szCs w:val="28"/>
        </w:rPr>
        <w:footnoteReference w:id="3"/>
      </w:r>
      <w:r w:rsidRPr="009B6965">
        <w:rPr>
          <w:rFonts w:ascii="Arial" w:hAnsi="Arial" w:cs="Arial"/>
          <w:color w:val="000000" w:themeColor="text1"/>
          <w:sz w:val="28"/>
          <w:szCs w:val="28"/>
        </w:rPr>
        <w:t>.</w:t>
      </w:r>
    </w:p>
    <w:p w14:paraId="4354F766" w14:textId="77777777" w:rsidR="001E4656" w:rsidRPr="009B6965" w:rsidRDefault="001E4656" w:rsidP="00FA0A34">
      <w:pPr>
        <w:spacing w:after="0" w:line="360" w:lineRule="auto"/>
        <w:jc w:val="both"/>
        <w:rPr>
          <w:rFonts w:ascii="Arial" w:hAnsi="Arial" w:cs="Arial"/>
          <w:color w:val="000000" w:themeColor="text1"/>
          <w:sz w:val="28"/>
          <w:szCs w:val="28"/>
        </w:rPr>
      </w:pPr>
    </w:p>
    <w:p w14:paraId="2DA3EFBA" w14:textId="77777777" w:rsidR="001E4656" w:rsidRPr="009B6965" w:rsidRDefault="001E4656" w:rsidP="00FA0A34">
      <w:pPr>
        <w:spacing w:after="0" w:line="360" w:lineRule="auto"/>
        <w:ind w:firstLine="709"/>
        <w:jc w:val="both"/>
        <w:rPr>
          <w:rFonts w:ascii="Arial" w:hAnsi="Arial" w:cs="Arial"/>
          <w:color w:val="000000" w:themeColor="text1"/>
          <w:sz w:val="28"/>
          <w:szCs w:val="28"/>
        </w:rPr>
      </w:pPr>
      <w:r w:rsidRPr="009B6965">
        <w:rPr>
          <w:rFonts w:ascii="Arial" w:hAnsi="Arial" w:cs="Arial"/>
          <w:color w:val="000000" w:themeColor="text1"/>
          <w:sz w:val="28"/>
          <w:szCs w:val="28"/>
        </w:rPr>
        <w:t>Además, son de particular relevancia los informes del Relator Especial de las Naciones Unidas sobre la situación de los derechos humanos y las libertades fundamentales de los pueblos y comunidades indígenas, en los cuales se han desarrollado los principios internacionales que rigen la comprensión del derecho a la consulta previa</w:t>
      </w:r>
      <w:r w:rsidRPr="009B6965">
        <w:rPr>
          <w:rStyle w:val="Refdenotaalpie"/>
          <w:rFonts w:ascii="Arial" w:hAnsi="Arial" w:cs="Arial"/>
          <w:color w:val="000000" w:themeColor="text1"/>
          <w:sz w:val="28"/>
          <w:szCs w:val="28"/>
        </w:rPr>
        <w:footnoteReference w:id="4"/>
      </w:r>
      <w:r w:rsidRPr="009B6965">
        <w:rPr>
          <w:rFonts w:ascii="Arial" w:hAnsi="Arial" w:cs="Arial"/>
          <w:color w:val="000000" w:themeColor="text1"/>
          <w:sz w:val="28"/>
          <w:szCs w:val="28"/>
        </w:rPr>
        <w:t xml:space="preserve">. </w:t>
      </w:r>
    </w:p>
    <w:p w14:paraId="05308D16" w14:textId="77777777" w:rsidR="001E4656" w:rsidRPr="009B6965" w:rsidRDefault="001E4656" w:rsidP="00FA0A34">
      <w:pPr>
        <w:spacing w:after="0"/>
        <w:jc w:val="both"/>
        <w:rPr>
          <w:rFonts w:ascii="Arial" w:hAnsi="Arial" w:cs="Arial"/>
          <w:color w:val="000000" w:themeColor="text1"/>
          <w:sz w:val="28"/>
          <w:szCs w:val="28"/>
        </w:rPr>
      </w:pPr>
    </w:p>
    <w:p w14:paraId="32A148A7" w14:textId="77777777" w:rsidR="001E4656" w:rsidRPr="009B6965" w:rsidRDefault="001E4656" w:rsidP="00FA0A34">
      <w:pPr>
        <w:pStyle w:val="Sinespaciado"/>
        <w:numPr>
          <w:ilvl w:val="0"/>
          <w:numId w:val="5"/>
        </w:numPr>
        <w:spacing w:line="360" w:lineRule="auto"/>
        <w:jc w:val="both"/>
        <w:rPr>
          <w:rFonts w:ascii="Arial" w:hAnsi="Arial" w:cs="Arial"/>
          <w:b/>
          <w:color w:val="000000" w:themeColor="text1"/>
          <w:sz w:val="28"/>
          <w:szCs w:val="28"/>
        </w:rPr>
      </w:pPr>
      <w:r w:rsidRPr="009B6965">
        <w:rPr>
          <w:rFonts w:ascii="Arial" w:hAnsi="Arial" w:cs="Arial"/>
          <w:b/>
          <w:color w:val="000000" w:themeColor="text1"/>
          <w:sz w:val="28"/>
          <w:szCs w:val="28"/>
        </w:rPr>
        <w:t>En qué consiste el derecho a la consulta previa, libre e informada de los pueblos indígenas y afromexicanos.</w:t>
      </w:r>
    </w:p>
    <w:p w14:paraId="706D0954" w14:textId="77777777" w:rsidR="001E4656" w:rsidRPr="009B6965" w:rsidRDefault="001E4656" w:rsidP="00FA0A34">
      <w:pPr>
        <w:spacing w:after="0"/>
        <w:jc w:val="both"/>
        <w:rPr>
          <w:rFonts w:ascii="Arial" w:hAnsi="Arial" w:cs="Arial"/>
          <w:color w:val="000000" w:themeColor="text1"/>
          <w:sz w:val="28"/>
          <w:szCs w:val="28"/>
        </w:rPr>
      </w:pPr>
    </w:p>
    <w:p w14:paraId="220BD37A" w14:textId="0890B491" w:rsidR="001E4656" w:rsidRPr="009B6965" w:rsidRDefault="001E4656" w:rsidP="00FA0A34">
      <w:pPr>
        <w:pStyle w:val="Sinespaciado"/>
        <w:spacing w:line="360" w:lineRule="auto"/>
        <w:jc w:val="both"/>
        <w:rPr>
          <w:rFonts w:ascii="Arial" w:hAnsi="Arial" w:cs="Arial"/>
          <w:color w:val="000000" w:themeColor="text1"/>
          <w:sz w:val="28"/>
          <w:szCs w:val="28"/>
        </w:rPr>
      </w:pPr>
      <w:r w:rsidRPr="009B6965">
        <w:rPr>
          <w:rFonts w:ascii="Arial" w:hAnsi="Arial" w:cs="Arial"/>
          <w:color w:val="000000" w:themeColor="text1"/>
          <w:sz w:val="28"/>
          <w:szCs w:val="28"/>
        </w:rPr>
        <w:t>El derecho a la consulta previa, libre e informada es un derecho de participación de los pueblos indígenas en los asuntos que afectan sus derechos e intereses</w:t>
      </w:r>
      <w:r w:rsidRPr="009B6965">
        <w:rPr>
          <w:rStyle w:val="Refdenotaalpie"/>
          <w:rFonts w:ascii="Arial" w:hAnsi="Arial" w:cs="Arial"/>
          <w:color w:val="000000" w:themeColor="text1"/>
          <w:sz w:val="28"/>
          <w:szCs w:val="28"/>
        </w:rPr>
        <w:footnoteReference w:id="5"/>
      </w:r>
      <w:r w:rsidRPr="009B6965">
        <w:rPr>
          <w:rFonts w:ascii="Arial" w:hAnsi="Arial" w:cs="Arial"/>
          <w:color w:val="000000" w:themeColor="text1"/>
          <w:sz w:val="28"/>
          <w:szCs w:val="28"/>
        </w:rPr>
        <w:t xml:space="preserve">. Se concibe como un derecho que salvaguarda los derechos que de manera especial les corresponden a </w:t>
      </w:r>
      <w:r w:rsidR="00525DAF" w:rsidRPr="009B6965">
        <w:rPr>
          <w:rFonts w:ascii="Arial" w:hAnsi="Arial" w:cs="Arial"/>
          <w:color w:val="000000" w:themeColor="text1"/>
          <w:sz w:val="28"/>
          <w:szCs w:val="28"/>
        </w:rPr>
        <w:t>estos</w:t>
      </w:r>
      <w:r w:rsidRPr="009B6965">
        <w:rPr>
          <w:rFonts w:ascii="Arial" w:hAnsi="Arial" w:cs="Arial"/>
          <w:color w:val="000000" w:themeColor="text1"/>
          <w:sz w:val="28"/>
          <w:szCs w:val="28"/>
        </w:rPr>
        <w:t xml:space="preserve"> pueblos, de manera fundamental, el derecho a la autodeterminación, pero también los demás derechos protegidos tanto por la Constitución General como por los tratados internacionales</w:t>
      </w:r>
      <w:r w:rsidRPr="009B6965">
        <w:rPr>
          <w:rStyle w:val="Refdenotaalpie"/>
          <w:rFonts w:ascii="Arial" w:hAnsi="Arial" w:cs="Arial"/>
          <w:color w:val="000000" w:themeColor="text1"/>
          <w:sz w:val="28"/>
          <w:szCs w:val="28"/>
        </w:rPr>
        <w:footnoteReference w:id="6"/>
      </w:r>
      <w:r w:rsidRPr="009B6965">
        <w:rPr>
          <w:rFonts w:ascii="Arial" w:hAnsi="Arial" w:cs="Arial"/>
          <w:color w:val="000000" w:themeColor="text1"/>
          <w:sz w:val="28"/>
          <w:szCs w:val="28"/>
        </w:rPr>
        <w:t>.</w:t>
      </w:r>
    </w:p>
    <w:p w14:paraId="3ABCC1D1" w14:textId="77777777" w:rsidR="001E4656" w:rsidRPr="009B6965" w:rsidRDefault="001E4656" w:rsidP="00FA0A34">
      <w:pPr>
        <w:pStyle w:val="Sinespaciado"/>
        <w:spacing w:line="360" w:lineRule="auto"/>
        <w:jc w:val="both"/>
        <w:rPr>
          <w:rFonts w:ascii="Arial" w:hAnsi="Arial" w:cs="Arial"/>
          <w:color w:val="000000" w:themeColor="text1"/>
          <w:sz w:val="28"/>
          <w:szCs w:val="28"/>
        </w:rPr>
      </w:pPr>
    </w:p>
    <w:p w14:paraId="7664483D" w14:textId="6BC92697" w:rsidR="001E4656" w:rsidRPr="009B6965" w:rsidRDefault="007571CE" w:rsidP="00FA0A34">
      <w:pPr>
        <w:pStyle w:val="Sinespaciado"/>
        <w:spacing w:line="360" w:lineRule="auto"/>
        <w:ind w:firstLine="709"/>
        <w:jc w:val="both"/>
        <w:rPr>
          <w:rFonts w:ascii="Arial" w:hAnsi="Arial" w:cs="Arial"/>
          <w:color w:val="000000" w:themeColor="text1"/>
          <w:sz w:val="28"/>
          <w:szCs w:val="28"/>
        </w:rPr>
      </w:pPr>
      <w:r w:rsidRPr="009B6965">
        <w:rPr>
          <w:rFonts w:ascii="Arial" w:hAnsi="Arial" w:cs="Arial"/>
          <w:color w:val="000000" w:themeColor="text1"/>
          <w:sz w:val="28"/>
          <w:szCs w:val="28"/>
        </w:rPr>
        <w:lastRenderedPageBreak/>
        <w:t>De acuerdo con el</w:t>
      </w:r>
      <w:r w:rsidR="001E4656" w:rsidRPr="009B6965">
        <w:rPr>
          <w:rFonts w:ascii="Arial" w:hAnsi="Arial" w:cs="Arial"/>
          <w:color w:val="000000" w:themeColor="text1"/>
          <w:sz w:val="28"/>
          <w:szCs w:val="28"/>
        </w:rPr>
        <w:t xml:space="preserve"> Relator de Naciones Unidas, los procedimientos especiales y diferenciados de consultas, </w:t>
      </w:r>
      <w:r w:rsidR="001E4656" w:rsidRPr="009B6965">
        <w:rPr>
          <w:rFonts w:ascii="Arial" w:hAnsi="Arial" w:cs="Arial"/>
          <w:b/>
          <w:i/>
          <w:color w:val="000000" w:themeColor="text1"/>
          <w:sz w:val="28"/>
          <w:szCs w:val="28"/>
        </w:rPr>
        <w:t>se justifican</w:t>
      </w:r>
      <w:r w:rsidR="001E4656" w:rsidRPr="009B6965">
        <w:rPr>
          <w:rFonts w:ascii="Arial" w:hAnsi="Arial" w:cs="Arial"/>
          <w:b/>
          <w:color w:val="000000" w:themeColor="text1"/>
          <w:sz w:val="28"/>
          <w:szCs w:val="28"/>
        </w:rPr>
        <w:t xml:space="preserve"> por la naturaleza de esos intereses particulares, que derivan del carácter distinto de los modelos e historias culturales de los pueblos indígenas,</w:t>
      </w:r>
      <w:r w:rsidR="001E4656" w:rsidRPr="009B6965">
        <w:rPr>
          <w:rFonts w:ascii="Arial" w:hAnsi="Arial" w:cs="Arial"/>
          <w:color w:val="000000" w:themeColor="text1"/>
          <w:sz w:val="28"/>
          <w:szCs w:val="28"/>
        </w:rPr>
        <w:t xml:space="preserve"> y porque los procesos democráticos y representativos corrientes no suelen bastar para atender a las preocupaciones particulares de los pueblos indígenas, que por lo general están marginados en la esfera política. El deber de los Estados de celebrar consultas con los pueblos </w:t>
      </w:r>
      <w:r w:rsidR="00525DAF" w:rsidRPr="009B6965">
        <w:rPr>
          <w:rFonts w:ascii="Arial" w:hAnsi="Arial" w:cs="Arial"/>
          <w:color w:val="000000" w:themeColor="text1"/>
          <w:sz w:val="28"/>
          <w:szCs w:val="28"/>
        </w:rPr>
        <w:t>indígenas</w:t>
      </w:r>
      <w:r w:rsidR="001E4656" w:rsidRPr="009B6965">
        <w:rPr>
          <w:rFonts w:ascii="Arial" w:hAnsi="Arial" w:cs="Arial"/>
          <w:color w:val="000000" w:themeColor="text1"/>
          <w:sz w:val="28"/>
          <w:szCs w:val="28"/>
        </w:rPr>
        <w:t xml:space="preserve"> se basa en el reconocimiento generalizado de las características distintivas de los pueblos indígenas y de la necesidad de medidas especiales que permitan corregir sus condiciones desfavorecidas</w:t>
      </w:r>
      <w:r w:rsidR="001E4656" w:rsidRPr="009B6965">
        <w:rPr>
          <w:rStyle w:val="Refdenotaalpie"/>
          <w:rFonts w:ascii="Arial" w:hAnsi="Arial" w:cs="Arial"/>
          <w:color w:val="000000" w:themeColor="text1"/>
          <w:sz w:val="28"/>
          <w:szCs w:val="28"/>
        </w:rPr>
        <w:footnoteReference w:id="7"/>
      </w:r>
      <w:r w:rsidR="001E4656" w:rsidRPr="009B6965">
        <w:rPr>
          <w:rFonts w:ascii="Arial" w:hAnsi="Arial" w:cs="Arial"/>
          <w:color w:val="000000" w:themeColor="text1"/>
          <w:sz w:val="28"/>
          <w:szCs w:val="28"/>
        </w:rPr>
        <w:t>.</w:t>
      </w:r>
    </w:p>
    <w:p w14:paraId="003439C9" w14:textId="77777777" w:rsidR="001E4656" w:rsidRPr="009B6965" w:rsidRDefault="001E4656" w:rsidP="00FA0A34">
      <w:pPr>
        <w:pStyle w:val="Sinespaciado"/>
        <w:spacing w:line="360" w:lineRule="auto"/>
        <w:jc w:val="both"/>
        <w:rPr>
          <w:rFonts w:ascii="Arial" w:hAnsi="Arial" w:cs="Arial"/>
          <w:color w:val="000000" w:themeColor="text1"/>
          <w:sz w:val="28"/>
          <w:szCs w:val="28"/>
        </w:rPr>
      </w:pPr>
    </w:p>
    <w:p w14:paraId="6E997D9A" w14:textId="77777777" w:rsidR="001E4656" w:rsidRPr="009B6965" w:rsidRDefault="001E4656" w:rsidP="00FA0A34">
      <w:pPr>
        <w:pStyle w:val="Sinespaciado"/>
        <w:spacing w:line="360" w:lineRule="auto"/>
        <w:ind w:firstLine="709"/>
        <w:jc w:val="both"/>
        <w:rPr>
          <w:rFonts w:ascii="Arial" w:hAnsi="Arial" w:cs="Arial"/>
          <w:color w:val="000000" w:themeColor="text1"/>
          <w:sz w:val="28"/>
          <w:szCs w:val="28"/>
        </w:rPr>
      </w:pPr>
      <w:r w:rsidRPr="009B6965">
        <w:rPr>
          <w:rFonts w:ascii="Arial" w:hAnsi="Arial" w:cs="Arial"/>
          <w:color w:val="000000" w:themeColor="text1"/>
          <w:sz w:val="28"/>
          <w:szCs w:val="28"/>
        </w:rPr>
        <w:t xml:space="preserve">Así, el derecho a la consulta previa, libre e informada puede concebirse como </w:t>
      </w:r>
      <w:r w:rsidRPr="009B6965">
        <w:rPr>
          <w:rFonts w:ascii="Arial" w:hAnsi="Arial" w:cs="Arial"/>
          <w:b/>
          <w:i/>
          <w:color w:val="000000" w:themeColor="text1"/>
          <w:sz w:val="28"/>
          <w:szCs w:val="28"/>
        </w:rPr>
        <w:t>un derecho instrumental o de participación,</w:t>
      </w:r>
      <w:r w:rsidRPr="009B6965">
        <w:rPr>
          <w:rFonts w:ascii="Arial" w:hAnsi="Arial" w:cs="Arial"/>
          <w:color w:val="000000" w:themeColor="text1"/>
          <w:sz w:val="28"/>
          <w:szCs w:val="28"/>
        </w:rPr>
        <w:t xml:space="preserve"> en aquellos asuntos que incidan en sus derechos como pueblos indígenas.  </w:t>
      </w:r>
    </w:p>
    <w:p w14:paraId="117475E2" w14:textId="77777777" w:rsidR="001E4656" w:rsidRPr="009B6965" w:rsidRDefault="001E4656" w:rsidP="00FA0A34">
      <w:pPr>
        <w:pStyle w:val="Sinespaciado"/>
        <w:spacing w:line="360" w:lineRule="auto"/>
        <w:jc w:val="both"/>
        <w:rPr>
          <w:rFonts w:ascii="Arial" w:hAnsi="Arial" w:cs="Arial"/>
          <w:color w:val="000000" w:themeColor="text1"/>
          <w:sz w:val="28"/>
          <w:szCs w:val="28"/>
        </w:rPr>
      </w:pPr>
    </w:p>
    <w:p w14:paraId="3BDB2768" w14:textId="77777777" w:rsidR="001E4656" w:rsidRPr="009B6965" w:rsidRDefault="001E4656" w:rsidP="00FA0A34">
      <w:pPr>
        <w:pStyle w:val="Sinespaciado"/>
        <w:numPr>
          <w:ilvl w:val="0"/>
          <w:numId w:val="5"/>
        </w:numPr>
        <w:spacing w:line="360" w:lineRule="auto"/>
        <w:jc w:val="both"/>
        <w:rPr>
          <w:rFonts w:ascii="Arial" w:hAnsi="Arial" w:cs="Arial"/>
          <w:b/>
          <w:color w:val="000000" w:themeColor="text1"/>
          <w:sz w:val="28"/>
          <w:szCs w:val="28"/>
        </w:rPr>
      </w:pPr>
      <w:r w:rsidRPr="009B6965">
        <w:rPr>
          <w:rFonts w:ascii="Arial" w:hAnsi="Arial" w:cs="Arial"/>
          <w:b/>
          <w:color w:val="000000" w:themeColor="text1"/>
          <w:sz w:val="28"/>
          <w:szCs w:val="28"/>
        </w:rPr>
        <w:t>Alcance del derecho a la consulta previa, libre e informada de los pueblos indígenas y afromexicanos.</w:t>
      </w:r>
    </w:p>
    <w:p w14:paraId="6183A57C" w14:textId="77777777" w:rsidR="001E4656" w:rsidRPr="009B6965" w:rsidRDefault="001E4656" w:rsidP="00FA0A34">
      <w:pPr>
        <w:pStyle w:val="Sinespaciado"/>
        <w:spacing w:line="360" w:lineRule="auto"/>
        <w:jc w:val="both"/>
        <w:rPr>
          <w:rFonts w:ascii="Arial" w:hAnsi="Arial" w:cs="Arial"/>
          <w:color w:val="000000" w:themeColor="text1"/>
          <w:sz w:val="28"/>
          <w:szCs w:val="28"/>
        </w:rPr>
      </w:pPr>
    </w:p>
    <w:p w14:paraId="7CD350DB" w14:textId="66AFC42B" w:rsidR="001E4656" w:rsidRPr="009B6965" w:rsidRDefault="001E4656" w:rsidP="00FA0A34">
      <w:pPr>
        <w:spacing w:after="0" w:line="360" w:lineRule="auto"/>
        <w:jc w:val="both"/>
        <w:rPr>
          <w:rFonts w:ascii="Arial" w:hAnsi="Arial" w:cs="Arial"/>
          <w:color w:val="000000" w:themeColor="text1"/>
          <w:sz w:val="28"/>
          <w:szCs w:val="28"/>
        </w:rPr>
      </w:pPr>
      <w:r w:rsidRPr="009B6965">
        <w:rPr>
          <w:rFonts w:ascii="Arial" w:hAnsi="Arial" w:cs="Arial"/>
          <w:color w:val="000000" w:themeColor="text1"/>
          <w:sz w:val="28"/>
          <w:szCs w:val="28"/>
        </w:rPr>
        <w:t xml:space="preserve">El derecho a la consulta previa </w:t>
      </w:r>
      <w:r w:rsidRPr="009B6965">
        <w:rPr>
          <w:rFonts w:ascii="Arial" w:hAnsi="Arial" w:cs="Arial"/>
          <w:b/>
          <w:i/>
          <w:color w:val="000000" w:themeColor="text1"/>
          <w:sz w:val="28"/>
          <w:szCs w:val="28"/>
        </w:rPr>
        <w:t>merece una protección diferenciada dependiendo de la medida que se pretenda instaurar</w:t>
      </w:r>
      <w:r w:rsidRPr="009B6965">
        <w:rPr>
          <w:rFonts w:ascii="Arial" w:hAnsi="Arial" w:cs="Arial"/>
          <w:color w:val="000000" w:themeColor="text1"/>
          <w:sz w:val="28"/>
          <w:szCs w:val="28"/>
        </w:rPr>
        <w:t xml:space="preserve">; esto es, si trata de medidas legislativas, o bien, de políticas que afecten directamente el uso y goce de sus recursos. Su alcance también se determina </w:t>
      </w:r>
      <w:r w:rsidRPr="009B6965">
        <w:rPr>
          <w:rFonts w:ascii="Arial" w:hAnsi="Arial" w:cs="Arial"/>
          <w:b/>
          <w:i/>
          <w:color w:val="000000" w:themeColor="text1"/>
          <w:sz w:val="28"/>
          <w:szCs w:val="28"/>
        </w:rPr>
        <w:t>dependiendo de los derechos indígenas que se pudieran afectar</w:t>
      </w:r>
      <w:r w:rsidRPr="009B6965">
        <w:rPr>
          <w:rFonts w:ascii="Arial" w:hAnsi="Arial" w:cs="Arial"/>
          <w:color w:val="000000" w:themeColor="text1"/>
          <w:sz w:val="28"/>
          <w:szCs w:val="28"/>
        </w:rPr>
        <w:t>.</w:t>
      </w:r>
    </w:p>
    <w:p w14:paraId="6BC14881" w14:textId="77777777" w:rsidR="007A45BE" w:rsidRPr="009B6965" w:rsidRDefault="007A45BE" w:rsidP="00FA0A34">
      <w:pPr>
        <w:spacing w:after="0" w:line="360" w:lineRule="auto"/>
        <w:ind w:firstLine="709"/>
        <w:jc w:val="both"/>
        <w:rPr>
          <w:rFonts w:ascii="Arial" w:hAnsi="Arial" w:cs="Arial"/>
          <w:color w:val="000000" w:themeColor="text1"/>
          <w:sz w:val="28"/>
          <w:szCs w:val="28"/>
        </w:rPr>
      </w:pPr>
    </w:p>
    <w:p w14:paraId="51D1E61B" w14:textId="002D7A81" w:rsidR="001E4656" w:rsidRPr="009B6965" w:rsidRDefault="001E4656" w:rsidP="00FA0A34">
      <w:pPr>
        <w:spacing w:after="0" w:line="360" w:lineRule="auto"/>
        <w:ind w:firstLine="709"/>
        <w:jc w:val="both"/>
        <w:rPr>
          <w:rFonts w:ascii="Arial" w:hAnsi="Arial" w:cs="Arial"/>
          <w:color w:val="000000" w:themeColor="text1"/>
          <w:sz w:val="28"/>
          <w:szCs w:val="28"/>
        </w:rPr>
      </w:pPr>
      <w:r w:rsidRPr="009B6965">
        <w:rPr>
          <w:rFonts w:ascii="Arial" w:hAnsi="Arial" w:cs="Arial"/>
          <w:color w:val="000000" w:themeColor="text1"/>
          <w:sz w:val="28"/>
          <w:szCs w:val="28"/>
        </w:rPr>
        <w:lastRenderedPageBreak/>
        <w:t>Así, se ha señalado que: “</w:t>
      </w:r>
      <w:r w:rsidRPr="009B6965">
        <w:rPr>
          <w:rFonts w:ascii="Arial" w:hAnsi="Arial" w:cs="Arial"/>
          <w:i/>
          <w:iCs/>
          <w:color w:val="000000" w:themeColor="text1"/>
          <w:sz w:val="28"/>
          <w:szCs w:val="28"/>
        </w:rPr>
        <w:t xml:space="preserve">Las características específicas del proceso de consultas requerido por el deber de celebrar consultas variará necesariamente en función de la naturaleza de la medida propuesta y del alcance de su impacto sobre los pueblos indígenas. Las </w:t>
      </w:r>
      <w:r w:rsidRPr="009B6965">
        <w:rPr>
          <w:rFonts w:ascii="Arial" w:hAnsi="Arial" w:cs="Arial"/>
          <w:b/>
          <w:i/>
          <w:iCs/>
          <w:color w:val="000000" w:themeColor="text1"/>
          <w:sz w:val="28"/>
          <w:szCs w:val="28"/>
        </w:rPr>
        <w:t>medidas de reforma constitucional o legislativa</w:t>
      </w:r>
      <w:r w:rsidRPr="009B6965">
        <w:rPr>
          <w:rFonts w:ascii="Arial" w:hAnsi="Arial" w:cs="Arial"/>
          <w:i/>
          <w:iCs/>
          <w:color w:val="000000" w:themeColor="text1"/>
          <w:sz w:val="28"/>
          <w:szCs w:val="28"/>
        </w:rPr>
        <w:t xml:space="preserve"> que interesan o afectan a todos los pueblos indígenas de un país requerirán mecanismos consultivos y representativos apropiados que estén de alguna manera abiertos a todos ellos y a su alcance. En cambio, las </w:t>
      </w:r>
      <w:r w:rsidRPr="009B6965">
        <w:rPr>
          <w:rFonts w:ascii="Arial" w:hAnsi="Arial" w:cs="Arial"/>
          <w:b/>
          <w:i/>
          <w:iCs/>
          <w:color w:val="000000" w:themeColor="text1"/>
          <w:sz w:val="28"/>
          <w:szCs w:val="28"/>
        </w:rPr>
        <w:t>medidas que afecten a pueblos o comunidades indígenas particulares</w:t>
      </w:r>
      <w:r w:rsidRPr="009B6965">
        <w:rPr>
          <w:rFonts w:ascii="Arial" w:hAnsi="Arial" w:cs="Arial"/>
          <w:i/>
          <w:iCs/>
          <w:color w:val="000000" w:themeColor="text1"/>
          <w:sz w:val="28"/>
          <w:szCs w:val="28"/>
        </w:rPr>
        <w:t>, como las iniciativas para la actividad de extracción de recursos naturales en sus territorios, requerirán procesos de consulta que garanticen la participación activa de los grupos particularmente afectados y presten atención especial a sus intereses</w:t>
      </w:r>
      <w:r w:rsidRPr="009B6965">
        <w:rPr>
          <w:rFonts w:ascii="Arial" w:hAnsi="Arial" w:cs="Arial"/>
          <w:color w:val="000000" w:themeColor="text1"/>
          <w:sz w:val="28"/>
          <w:szCs w:val="28"/>
        </w:rPr>
        <w:t xml:space="preserve"> (énfasis añadido)”</w:t>
      </w:r>
      <w:r w:rsidRPr="009B6965">
        <w:rPr>
          <w:rStyle w:val="Refdenotaalpie"/>
          <w:rFonts w:ascii="Arial" w:hAnsi="Arial" w:cs="Arial"/>
          <w:color w:val="000000" w:themeColor="text1"/>
          <w:sz w:val="28"/>
          <w:szCs w:val="28"/>
        </w:rPr>
        <w:footnoteReference w:id="8"/>
      </w:r>
      <w:r w:rsidRPr="009B6965">
        <w:rPr>
          <w:rFonts w:ascii="Arial" w:hAnsi="Arial" w:cs="Arial"/>
          <w:color w:val="000000" w:themeColor="text1"/>
          <w:sz w:val="28"/>
          <w:szCs w:val="28"/>
        </w:rPr>
        <w:t>.</w:t>
      </w:r>
    </w:p>
    <w:p w14:paraId="7C758015" w14:textId="77777777" w:rsidR="001E4656" w:rsidRPr="009B6965" w:rsidRDefault="001E4656" w:rsidP="00FA0A34">
      <w:pPr>
        <w:spacing w:after="0" w:line="360" w:lineRule="auto"/>
        <w:jc w:val="both"/>
        <w:rPr>
          <w:rFonts w:ascii="Arial" w:hAnsi="Arial" w:cs="Arial"/>
          <w:color w:val="000000" w:themeColor="text1"/>
          <w:sz w:val="28"/>
          <w:szCs w:val="28"/>
        </w:rPr>
      </w:pPr>
    </w:p>
    <w:p w14:paraId="2101D9A0" w14:textId="6B2E9508" w:rsidR="007571CE" w:rsidRPr="009B6965" w:rsidRDefault="001E4656" w:rsidP="00FA0A34">
      <w:pPr>
        <w:spacing w:after="0" w:line="360" w:lineRule="auto"/>
        <w:ind w:firstLine="709"/>
        <w:jc w:val="both"/>
        <w:rPr>
          <w:rFonts w:ascii="Arial" w:hAnsi="Arial" w:cs="Arial"/>
          <w:color w:val="000000" w:themeColor="text1"/>
          <w:sz w:val="28"/>
          <w:szCs w:val="28"/>
        </w:rPr>
      </w:pPr>
      <w:r w:rsidRPr="009B6965">
        <w:rPr>
          <w:rFonts w:ascii="Arial" w:hAnsi="Arial" w:cs="Arial"/>
          <w:color w:val="000000" w:themeColor="text1"/>
          <w:sz w:val="28"/>
          <w:szCs w:val="28"/>
        </w:rPr>
        <w:t xml:space="preserve">Incluso, la Corte Interamericana de Derechos Humanos ha considerado </w:t>
      </w:r>
      <w:r w:rsidR="00525DAF" w:rsidRPr="009B6965">
        <w:rPr>
          <w:rFonts w:ascii="Arial" w:hAnsi="Arial" w:cs="Arial"/>
          <w:color w:val="000000" w:themeColor="text1"/>
          <w:sz w:val="28"/>
          <w:szCs w:val="28"/>
        </w:rPr>
        <w:t>que,</w:t>
      </w:r>
      <w:r w:rsidRPr="009B6965">
        <w:rPr>
          <w:rFonts w:ascii="Arial" w:hAnsi="Arial" w:cs="Arial"/>
          <w:color w:val="000000" w:themeColor="text1"/>
          <w:sz w:val="28"/>
          <w:szCs w:val="28"/>
        </w:rPr>
        <w:t xml:space="preserve"> en determinadas circunstancias, </w:t>
      </w:r>
      <w:r w:rsidRPr="009B6965">
        <w:rPr>
          <w:rFonts w:ascii="Arial" w:hAnsi="Arial" w:cs="Arial"/>
          <w:b/>
          <w:color w:val="000000" w:themeColor="text1"/>
          <w:sz w:val="28"/>
          <w:szCs w:val="28"/>
        </w:rPr>
        <w:t>los Estados deben obtener el consentimiento</w:t>
      </w:r>
      <w:r w:rsidRPr="009B6965">
        <w:rPr>
          <w:rFonts w:ascii="Arial" w:hAnsi="Arial" w:cs="Arial"/>
          <w:color w:val="000000" w:themeColor="text1"/>
          <w:sz w:val="28"/>
          <w:szCs w:val="28"/>
        </w:rPr>
        <w:t xml:space="preserve"> de los pueblos tribales e indígenas. Tal nivel de protección se ha reconocido especialmente tratándose de planes de desarrollo o inversión a grande escala con un impacto significativo en el derecho al uso y goce de sus territorios ancestrales</w:t>
      </w:r>
      <w:r w:rsidRPr="009B6965">
        <w:rPr>
          <w:rStyle w:val="Refdenotaalpie"/>
          <w:rFonts w:ascii="Arial" w:hAnsi="Arial" w:cs="Arial"/>
          <w:color w:val="000000" w:themeColor="text1"/>
          <w:sz w:val="28"/>
          <w:szCs w:val="28"/>
        </w:rPr>
        <w:footnoteReference w:id="9"/>
      </w:r>
      <w:r w:rsidRPr="009B6965">
        <w:rPr>
          <w:rFonts w:ascii="Arial" w:hAnsi="Arial" w:cs="Arial"/>
          <w:color w:val="000000" w:themeColor="text1"/>
          <w:sz w:val="28"/>
          <w:szCs w:val="28"/>
        </w:rPr>
        <w:t>.</w:t>
      </w:r>
    </w:p>
    <w:p w14:paraId="53971274" w14:textId="77777777" w:rsidR="00FA0A34" w:rsidRPr="009B6965" w:rsidRDefault="001E4656" w:rsidP="00FA0A34">
      <w:pPr>
        <w:spacing w:after="0" w:line="360" w:lineRule="auto"/>
        <w:ind w:firstLine="709"/>
        <w:jc w:val="both"/>
        <w:rPr>
          <w:rFonts w:ascii="Arial" w:hAnsi="Arial" w:cs="Arial"/>
          <w:color w:val="000000" w:themeColor="text1"/>
          <w:sz w:val="28"/>
          <w:szCs w:val="28"/>
        </w:rPr>
      </w:pPr>
      <w:r w:rsidRPr="009B6965">
        <w:rPr>
          <w:rFonts w:ascii="Arial" w:hAnsi="Arial" w:cs="Arial"/>
          <w:color w:val="000000" w:themeColor="text1"/>
          <w:sz w:val="28"/>
          <w:szCs w:val="28"/>
        </w:rPr>
        <w:t xml:space="preserve"> </w:t>
      </w:r>
    </w:p>
    <w:p w14:paraId="46590F84" w14:textId="76219A94" w:rsidR="001E4656" w:rsidRPr="009B6965" w:rsidRDefault="001E4656" w:rsidP="00FA0A34">
      <w:pPr>
        <w:spacing w:after="0" w:line="360" w:lineRule="auto"/>
        <w:ind w:firstLine="709"/>
        <w:jc w:val="both"/>
        <w:rPr>
          <w:rFonts w:ascii="Arial" w:hAnsi="Arial" w:cs="Arial"/>
          <w:color w:val="000000" w:themeColor="text1"/>
          <w:sz w:val="28"/>
          <w:szCs w:val="28"/>
        </w:rPr>
      </w:pPr>
      <w:r w:rsidRPr="009B6965">
        <w:rPr>
          <w:rFonts w:ascii="Arial" w:hAnsi="Arial" w:cs="Arial"/>
          <w:color w:val="000000" w:themeColor="text1"/>
          <w:sz w:val="28"/>
          <w:szCs w:val="28"/>
        </w:rPr>
        <w:t xml:space="preserve">En el presente caso, la medida consiste en la inclusión </w:t>
      </w:r>
      <w:r w:rsidR="00525DAF" w:rsidRPr="009B6965">
        <w:rPr>
          <w:rFonts w:ascii="Arial" w:hAnsi="Arial" w:cs="Arial"/>
          <w:color w:val="000000" w:themeColor="text1"/>
          <w:sz w:val="28"/>
          <w:szCs w:val="28"/>
        </w:rPr>
        <w:t>de los artículos</w:t>
      </w:r>
      <w:r w:rsidR="00525DAF" w:rsidRPr="009B6965">
        <w:rPr>
          <w:rFonts w:ascii="Arial" w:hAnsi="Arial" w:cs="Arial"/>
          <w:color w:val="000000" w:themeColor="text1"/>
          <w:spacing w:val="-6"/>
          <w:sz w:val="28"/>
          <w:szCs w:val="28"/>
        </w:rPr>
        <w:t xml:space="preserve"> </w:t>
      </w:r>
      <w:r w:rsidR="00FA0A34" w:rsidRPr="009B6965">
        <w:rPr>
          <w:rFonts w:ascii="Arial" w:hAnsi="Arial" w:cs="Arial"/>
          <w:color w:val="000000" w:themeColor="text1"/>
          <w:sz w:val="28"/>
          <w:szCs w:val="28"/>
        </w:rPr>
        <w:t>39</w:t>
      </w:r>
      <w:r w:rsidR="00525DAF" w:rsidRPr="009B6965">
        <w:rPr>
          <w:rFonts w:ascii="Arial" w:hAnsi="Arial" w:cs="Arial"/>
          <w:color w:val="000000" w:themeColor="text1"/>
          <w:spacing w:val="-9"/>
          <w:sz w:val="28"/>
          <w:szCs w:val="28"/>
        </w:rPr>
        <w:t xml:space="preserve"> </w:t>
      </w:r>
      <w:r w:rsidR="00525DAF" w:rsidRPr="009B6965">
        <w:rPr>
          <w:rFonts w:ascii="Arial" w:hAnsi="Arial" w:cs="Arial"/>
          <w:color w:val="000000" w:themeColor="text1"/>
          <w:sz w:val="28"/>
          <w:szCs w:val="28"/>
        </w:rPr>
        <w:t>a</w:t>
      </w:r>
      <w:r w:rsidR="00525DAF" w:rsidRPr="009B6965">
        <w:rPr>
          <w:rFonts w:ascii="Arial" w:hAnsi="Arial" w:cs="Arial"/>
          <w:color w:val="000000" w:themeColor="text1"/>
          <w:spacing w:val="-6"/>
          <w:sz w:val="28"/>
          <w:szCs w:val="28"/>
        </w:rPr>
        <w:t xml:space="preserve"> </w:t>
      </w:r>
      <w:r w:rsidR="00FA0A34" w:rsidRPr="009B6965">
        <w:rPr>
          <w:rFonts w:ascii="Arial" w:hAnsi="Arial" w:cs="Arial"/>
          <w:color w:val="000000" w:themeColor="text1"/>
          <w:sz w:val="28"/>
          <w:szCs w:val="28"/>
        </w:rPr>
        <w:t>41</w:t>
      </w:r>
      <w:r w:rsidR="00525DAF" w:rsidRPr="009B6965">
        <w:rPr>
          <w:rFonts w:ascii="Arial" w:hAnsi="Arial" w:cs="Arial"/>
          <w:color w:val="000000" w:themeColor="text1"/>
          <w:sz w:val="28"/>
          <w:szCs w:val="28"/>
        </w:rPr>
        <w:t>,</w:t>
      </w:r>
      <w:r w:rsidR="00525DAF" w:rsidRPr="009B6965">
        <w:rPr>
          <w:rFonts w:ascii="Arial" w:hAnsi="Arial" w:cs="Arial"/>
          <w:color w:val="000000" w:themeColor="text1"/>
          <w:spacing w:val="-9"/>
          <w:sz w:val="28"/>
          <w:szCs w:val="28"/>
        </w:rPr>
        <w:t xml:space="preserve"> </w:t>
      </w:r>
      <w:r w:rsidR="00525DAF" w:rsidRPr="009B6965">
        <w:rPr>
          <w:rFonts w:ascii="Arial" w:hAnsi="Arial" w:cs="Arial"/>
          <w:color w:val="000000" w:themeColor="text1"/>
          <w:sz w:val="28"/>
          <w:szCs w:val="28"/>
        </w:rPr>
        <w:t>del</w:t>
      </w:r>
      <w:r w:rsidR="00525DAF" w:rsidRPr="009B6965">
        <w:rPr>
          <w:rFonts w:ascii="Arial" w:hAnsi="Arial" w:cs="Arial"/>
          <w:color w:val="000000" w:themeColor="text1"/>
          <w:spacing w:val="-6"/>
          <w:sz w:val="28"/>
          <w:szCs w:val="28"/>
        </w:rPr>
        <w:t xml:space="preserve"> </w:t>
      </w:r>
      <w:r w:rsidR="00525DAF" w:rsidRPr="009B6965">
        <w:rPr>
          <w:rFonts w:ascii="Arial" w:hAnsi="Arial" w:cs="Arial"/>
          <w:color w:val="000000" w:themeColor="text1"/>
          <w:sz w:val="28"/>
          <w:szCs w:val="28"/>
        </w:rPr>
        <w:t>Capítulo</w:t>
      </w:r>
      <w:r w:rsidR="00525DAF" w:rsidRPr="009B6965">
        <w:rPr>
          <w:rFonts w:ascii="Arial" w:hAnsi="Arial" w:cs="Arial"/>
          <w:color w:val="000000" w:themeColor="text1"/>
          <w:spacing w:val="-6"/>
          <w:sz w:val="28"/>
          <w:szCs w:val="28"/>
        </w:rPr>
        <w:t xml:space="preserve"> </w:t>
      </w:r>
      <w:r w:rsidR="00525DAF" w:rsidRPr="009B6965">
        <w:rPr>
          <w:rFonts w:ascii="Arial" w:hAnsi="Arial" w:cs="Arial"/>
          <w:color w:val="000000" w:themeColor="text1"/>
          <w:sz w:val="28"/>
          <w:szCs w:val="28"/>
        </w:rPr>
        <w:t>VI</w:t>
      </w:r>
      <w:r w:rsidR="00525DAF" w:rsidRPr="009B6965">
        <w:rPr>
          <w:rFonts w:ascii="Arial" w:hAnsi="Arial" w:cs="Arial"/>
          <w:color w:val="000000" w:themeColor="text1"/>
          <w:spacing w:val="-7"/>
          <w:sz w:val="28"/>
          <w:szCs w:val="28"/>
        </w:rPr>
        <w:t xml:space="preserve"> </w:t>
      </w:r>
      <w:r w:rsidR="00525DAF" w:rsidRPr="009B6965">
        <w:rPr>
          <w:rFonts w:ascii="Arial" w:hAnsi="Arial" w:cs="Arial"/>
          <w:color w:val="000000" w:themeColor="text1"/>
          <w:sz w:val="28"/>
          <w:szCs w:val="28"/>
        </w:rPr>
        <w:t>“Educación</w:t>
      </w:r>
      <w:r w:rsidR="00525DAF" w:rsidRPr="009B6965">
        <w:rPr>
          <w:rFonts w:ascii="Arial" w:hAnsi="Arial" w:cs="Arial"/>
          <w:color w:val="000000" w:themeColor="text1"/>
          <w:spacing w:val="-5"/>
          <w:sz w:val="28"/>
          <w:szCs w:val="28"/>
        </w:rPr>
        <w:t xml:space="preserve"> </w:t>
      </w:r>
      <w:r w:rsidR="00525DAF" w:rsidRPr="009B6965">
        <w:rPr>
          <w:rFonts w:ascii="Arial" w:hAnsi="Arial" w:cs="Arial"/>
          <w:color w:val="000000" w:themeColor="text1"/>
          <w:sz w:val="28"/>
          <w:szCs w:val="28"/>
        </w:rPr>
        <w:t>Indígena”</w:t>
      </w:r>
      <w:r w:rsidR="00E36A18" w:rsidRPr="009B6965">
        <w:rPr>
          <w:rFonts w:ascii="Arial" w:hAnsi="Arial" w:cs="Arial"/>
          <w:color w:val="000000" w:themeColor="text1"/>
          <w:sz w:val="28"/>
          <w:szCs w:val="28"/>
        </w:rPr>
        <w:t>,</w:t>
      </w:r>
      <w:r w:rsidR="00525DAF" w:rsidRPr="009B6965">
        <w:rPr>
          <w:rFonts w:ascii="Arial" w:hAnsi="Arial" w:cs="Arial"/>
          <w:color w:val="000000" w:themeColor="text1"/>
          <w:sz w:val="28"/>
          <w:szCs w:val="28"/>
        </w:rPr>
        <w:t xml:space="preserve"> de la</w:t>
      </w:r>
      <w:r w:rsidR="00525DAF" w:rsidRPr="009B6965">
        <w:rPr>
          <w:rFonts w:ascii="Arial" w:hAnsi="Arial" w:cs="Arial"/>
          <w:color w:val="000000" w:themeColor="text1"/>
          <w:spacing w:val="-4"/>
          <w:sz w:val="28"/>
          <w:szCs w:val="28"/>
        </w:rPr>
        <w:t xml:space="preserve"> </w:t>
      </w:r>
      <w:r w:rsidR="00525DAF" w:rsidRPr="009B6965">
        <w:rPr>
          <w:rFonts w:ascii="Arial" w:hAnsi="Arial" w:cs="Arial"/>
          <w:color w:val="000000" w:themeColor="text1"/>
          <w:sz w:val="28"/>
          <w:szCs w:val="28"/>
        </w:rPr>
        <w:t>Ley</w:t>
      </w:r>
      <w:r w:rsidR="00525DAF" w:rsidRPr="009B6965">
        <w:rPr>
          <w:rFonts w:ascii="Arial" w:hAnsi="Arial" w:cs="Arial"/>
          <w:color w:val="000000" w:themeColor="text1"/>
          <w:spacing w:val="-3"/>
          <w:sz w:val="28"/>
          <w:szCs w:val="28"/>
        </w:rPr>
        <w:t xml:space="preserve"> </w:t>
      </w:r>
      <w:r w:rsidR="00525DAF" w:rsidRPr="009B6965">
        <w:rPr>
          <w:rFonts w:ascii="Arial" w:hAnsi="Arial" w:cs="Arial"/>
          <w:color w:val="000000" w:themeColor="text1"/>
          <w:sz w:val="28"/>
          <w:szCs w:val="28"/>
        </w:rPr>
        <w:t>de</w:t>
      </w:r>
      <w:r w:rsidR="00525DAF" w:rsidRPr="009B6965">
        <w:rPr>
          <w:rFonts w:ascii="Arial" w:hAnsi="Arial" w:cs="Arial"/>
          <w:color w:val="000000" w:themeColor="text1"/>
          <w:spacing w:val="-4"/>
          <w:sz w:val="28"/>
          <w:szCs w:val="28"/>
        </w:rPr>
        <w:t xml:space="preserve"> </w:t>
      </w:r>
      <w:r w:rsidR="00525DAF" w:rsidRPr="009B6965">
        <w:rPr>
          <w:rFonts w:ascii="Arial" w:hAnsi="Arial" w:cs="Arial"/>
          <w:color w:val="000000" w:themeColor="text1"/>
          <w:sz w:val="28"/>
          <w:szCs w:val="28"/>
        </w:rPr>
        <w:t>Educación</w:t>
      </w:r>
      <w:r w:rsidR="00525DAF" w:rsidRPr="009B6965">
        <w:rPr>
          <w:rFonts w:ascii="Arial" w:hAnsi="Arial" w:cs="Arial"/>
          <w:color w:val="000000" w:themeColor="text1"/>
          <w:spacing w:val="-4"/>
          <w:sz w:val="28"/>
          <w:szCs w:val="28"/>
        </w:rPr>
        <w:t xml:space="preserve"> </w:t>
      </w:r>
      <w:r w:rsidR="00525DAF" w:rsidRPr="009B6965">
        <w:rPr>
          <w:rFonts w:ascii="Arial" w:hAnsi="Arial" w:cs="Arial"/>
          <w:color w:val="000000" w:themeColor="text1"/>
          <w:sz w:val="28"/>
          <w:szCs w:val="28"/>
        </w:rPr>
        <w:t>del</w:t>
      </w:r>
      <w:r w:rsidR="00525DAF" w:rsidRPr="009B6965">
        <w:rPr>
          <w:rFonts w:ascii="Arial" w:hAnsi="Arial" w:cs="Arial"/>
          <w:color w:val="000000" w:themeColor="text1"/>
          <w:spacing w:val="-3"/>
          <w:sz w:val="28"/>
          <w:szCs w:val="28"/>
        </w:rPr>
        <w:t xml:space="preserve"> </w:t>
      </w:r>
      <w:r w:rsidR="00525DAF" w:rsidRPr="009B6965">
        <w:rPr>
          <w:rFonts w:ascii="Arial" w:hAnsi="Arial" w:cs="Arial"/>
          <w:color w:val="000000" w:themeColor="text1"/>
          <w:sz w:val="28"/>
          <w:szCs w:val="28"/>
        </w:rPr>
        <w:t>Estado</w:t>
      </w:r>
      <w:r w:rsidR="00525DAF" w:rsidRPr="009B6965">
        <w:rPr>
          <w:rFonts w:ascii="Arial" w:hAnsi="Arial" w:cs="Arial"/>
          <w:color w:val="000000" w:themeColor="text1"/>
          <w:spacing w:val="-6"/>
          <w:sz w:val="28"/>
          <w:szCs w:val="28"/>
        </w:rPr>
        <w:t xml:space="preserve"> </w:t>
      </w:r>
      <w:r w:rsidR="00525DAF" w:rsidRPr="009B6965">
        <w:rPr>
          <w:rFonts w:ascii="Arial" w:hAnsi="Arial" w:cs="Arial"/>
          <w:color w:val="000000" w:themeColor="text1"/>
          <w:sz w:val="28"/>
          <w:szCs w:val="28"/>
        </w:rPr>
        <w:t xml:space="preserve">de </w:t>
      </w:r>
      <w:r w:rsidR="00FA0A34" w:rsidRPr="009B6965">
        <w:rPr>
          <w:rFonts w:ascii="Arial" w:hAnsi="Arial" w:cs="Arial"/>
          <w:color w:val="000000" w:themeColor="text1"/>
          <w:sz w:val="28"/>
          <w:szCs w:val="28"/>
        </w:rPr>
        <w:t>Zacatecas</w:t>
      </w:r>
      <w:r w:rsidR="00525DAF" w:rsidRPr="009B6965">
        <w:rPr>
          <w:rFonts w:ascii="Arial" w:hAnsi="Arial" w:cs="Arial"/>
          <w:color w:val="000000" w:themeColor="text1"/>
          <w:sz w:val="28"/>
          <w:szCs w:val="28"/>
        </w:rPr>
        <w:t xml:space="preserve">, </w:t>
      </w:r>
      <w:r w:rsidRPr="009B6965">
        <w:rPr>
          <w:rFonts w:ascii="Arial" w:hAnsi="Arial" w:cs="Arial"/>
          <w:color w:val="000000" w:themeColor="text1"/>
          <w:sz w:val="28"/>
          <w:szCs w:val="28"/>
        </w:rPr>
        <w:t xml:space="preserve">disposiciones que son susceptibles de afectar directamente los intereses o derechos de dichas comunidades, ya que se relacionan directa y estrechamente con el derecho a la educación de tal sector. </w:t>
      </w:r>
    </w:p>
    <w:p w14:paraId="79649301" w14:textId="77777777" w:rsidR="001E4656" w:rsidRPr="009B6965" w:rsidRDefault="001E4656" w:rsidP="00FA0A34">
      <w:pPr>
        <w:spacing w:after="0" w:line="360" w:lineRule="auto"/>
        <w:ind w:firstLine="709"/>
        <w:jc w:val="both"/>
        <w:rPr>
          <w:rFonts w:ascii="Arial" w:hAnsi="Arial" w:cs="Arial"/>
          <w:color w:val="000000" w:themeColor="text1"/>
          <w:sz w:val="28"/>
          <w:szCs w:val="28"/>
        </w:rPr>
      </w:pPr>
    </w:p>
    <w:p w14:paraId="0A295028" w14:textId="61B50A9A" w:rsidR="001E4656" w:rsidRPr="009B6965" w:rsidRDefault="001E4656" w:rsidP="00FA0A34">
      <w:pPr>
        <w:spacing w:after="0" w:line="360" w:lineRule="auto"/>
        <w:ind w:firstLine="709"/>
        <w:jc w:val="both"/>
        <w:rPr>
          <w:rFonts w:ascii="Arial" w:hAnsi="Arial" w:cs="Arial"/>
          <w:color w:val="000000" w:themeColor="text1"/>
          <w:sz w:val="28"/>
          <w:szCs w:val="28"/>
        </w:rPr>
      </w:pPr>
      <w:r w:rsidRPr="009B6965">
        <w:rPr>
          <w:rFonts w:ascii="Arial" w:eastAsia="Times New Roman" w:hAnsi="Arial" w:cs="Arial"/>
          <w:color w:val="000000" w:themeColor="text1"/>
          <w:sz w:val="28"/>
          <w:szCs w:val="28"/>
          <w:lang w:eastAsia="es-MX"/>
        </w:rPr>
        <w:t xml:space="preserve">Así, los alcances del derecho a la consulta previa deben ser ponderados e instrumentalizados en ese contexto. En este asunto, dicho derecho </w:t>
      </w:r>
      <w:r w:rsidRPr="009B6965">
        <w:rPr>
          <w:rFonts w:ascii="Arial" w:hAnsi="Arial" w:cs="Arial"/>
          <w:color w:val="000000" w:themeColor="text1"/>
          <w:sz w:val="28"/>
          <w:szCs w:val="28"/>
        </w:rPr>
        <w:t>tiene un alcance amplio: pretende atender a las necesidades y características de las comunidades indígenas, busca propiciar un verdadero diálogo entre éstas y los poderes de la entidad que tienen la facultad de emitir normas que les afecten directamente, y tiene como finalidad llegar a un acuerdo acerca de las medidas propuestas</w:t>
      </w:r>
      <w:r w:rsidRPr="009B6965">
        <w:rPr>
          <w:rFonts w:ascii="Arial" w:hAnsi="Arial" w:cs="Arial"/>
          <w:i/>
          <w:color w:val="000000" w:themeColor="text1"/>
          <w:sz w:val="28"/>
          <w:szCs w:val="28"/>
        </w:rPr>
        <w:t xml:space="preserve">. </w:t>
      </w:r>
    </w:p>
    <w:p w14:paraId="6DF4CD18" w14:textId="77777777" w:rsidR="001E4656" w:rsidRPr="009B6965" w:rsidRDefault="001E4656" w:rsidP="00FA0A34">
      <w:pPr>
        <w:pStyle w:val="Sinespaciado"/>
        <w:spacing w:line="360" w:lineRule="auto"/>
        <w:jc w:val="both"/>
        <w:rPr>
          <w:rFonts w:ascii="Arial" w:hAnsi="Arial" w:cs="Arial"/>
          <w:color w:val="000000" w:themeColor="text1"/>
          <w:sz w:val="28"/>
          <w:szCs w:val="28"/>
        </w:rPr>
      </w:pPr>
    </w:p>
    <w:p w14:paraId="636D0542" w14:textId="77777777" w:rsidR="001E4656" w:rsidRPr="009B6965" w:rsidRDefault="001E4656" w:rsidP="00FA0A34">
      <w:pPr>
        <w:pStyle w:val="Sinespaciado"/>
        <w:numPr>
          <w:ilvl w:val="0"/>
          <w:numId w:val="5"/>
        </w:numPr>
        <w:spacing w:line="360" w:lineRule="auto"/>
        <w:jc w:val="both"/>
        <w:rPr>
          <w:rFonts w:ascii="Arial" w:hAnsi="Arial" w:cs="Arial"/>
          <w:b/>
          <w:color w:val="000000" w:themeColor="text1"/>
          <w:sz w:val="28"/>
          <w:szCs w:val="28"/>
        </w:rPr>
      </w:pPr>
      <w:r w:rsidRPr="009B6965">
        <w:rPr>
          <w:rFonts w:ascii="Arial" w:hAnsi="Arial" w:cs="Arial"/>
          <w:b/>
          <w:color w:val="000000" w:themeColor="text1"/>
          <w:sz w:val="28"/>
          <w:szCs w:val="28"/>
        </w:rPr>
        <w:t>Criterios internacionales para que el ejercicio al derecho a la consulta previa pueda considerarse efectivo.</w:t>
      </w:r>
    </w:p>
    <w:p w14:paraId="686F9269" w14:textId="77777777" w:rsidR="001E4656" w:rsidRPr="009B6965" w:rsidRDefault="001E4656" w:rsidP="00FA0A34">
      <w:pPr>
        <w:pStyle w:val="Sinespaciado"/>
        <w:spacing w:line="360" w:lineRule="auto"/>
        <w:jc w:val="both"/>
        <w:rPr>
          <w:rFonts w:ascii="Arial" w:hAnsi="Arial" w:cs="Arial"/>
          <w:color w:val="000000" w:themeColor="text1"/>
          <w:sz w:val="28"/>
          <w:szCs w:val="28"/>
        </w:rPr>
      </w:pPr>
    </w:p>
    <w:p w14:paraId="1B50B364" w14:textId="77777777" w:rsidR="001E4656" w:rsidRPr="009B6965" w:rsidRDefault="001E4656" w:rsidP="00FA0A34">
      <w:pPr>
        <w:autoSpaceDE w:val="0"/>
        <w:autoSpaceDN w:val="0"/>
        <w:adjustRightInd w:val="0"/>
        <w:spacing w:after="0" w:line="360" w:lineRule="auto"/>
        <w:jc w:val="both"/>
        <w:rPr>
          <w:rFonts w:ascii="Arial" w:hAnsi="Arial" w:cs="Arial"/>
          <w:color w:val="000000" w:themeColor="text1"/>
          <w:sz w:val="28"/>
          <w:szCs w:val="28"/>
        </w:rPr>
      </w:pPr>
      <w:r w:rsidRPr="009B6965">
        <w:rPr>
          <w:rFonts w:ascii="Arial" w:hAnsi="Arial" w:cs="Arial"/>
          <w:color w:val="000000" w:themeColor="text1"/>
          <w:sz w:val="28"/>
          <w:szCs w:val="28"/>
        </w:rPr>
        <w:t>Los órganos internacionales de derechos humanos han señalado que el ejercicio del deber de consultar a los pueblos indígenas debe ser interpretado de forma flexible, dependiendo de la medida objeto de la consulta y de las circunstancias específicas de cada país.</w:t>
      </w:r>
    </w:p>
    <w:p w14:paraId="01FED6BA" w14:textId="77777777" w:rsidR="001E4656" w:rsidRPr="009B6965" w:rsidRDefault="001E4656" w:rsidP="00FA0A34">
      <w:pPr>
        <w:autoSpaceDE w:val="0"/>
        <w:autoSpaceDN w:val="0"/>
        <w:adjustRightInd w:val="0"/>
        <w:spacing w:after="0" w:line="360" w:lineRule="auto"/>
        <w:jc w:val="both"/>
        <w:rPr>
          <w:rFonts w:ascii="Arial" w:hAnsi="Arial" w:cs="Arial"/>
          <w:color w:val="000000" w:themeColor="text1"/>
          <w:sz w:val="28"/>
          <w:szCs w:val="28"/>
        </w:rPr>
      </w:pPr>
    </w:p>
    <w:p w14:paraId="2880576B" w14:textId="77777777" w:rsidR="001E4656" w:rsidRPr="009B6965" w:rsidRDefault="001E4656" w:rsidP="00FA0A34">
      <w:pPr>
        <w:autoSpaceDE w:val="0"/>
        <w:autoSpaceDN w:val="0"/>
        <w:adjustRightInd w:val="0"/>
        <w:spacing w:after="0" w:line="360" w:lineRule="auto"/>
        <w:ind w:firstLine="709"/>
        <w:jc w:val="both"/>
        <w:rPr>
          <w:rFonts w:ascii="Arial" w:hAnsi="Arial" w:cs="Arial"/>
          <w:color w:val="000000" w:themeColor="text1"/>
          <w:sz w:val="28"/>
          <w:szCs w:val="28"/>
        </w:rPr>
      </w:pPr>
      <w:r w:rsidRPr="009B6965">
        <w:rPr>
          <w:rFonts w:ascii="Arial" w:hAnsi="Arial" w:cs="Arial"/>
          <w:color w:val="000000" w:themeColor="text1"/>
          <w:sz w:val="28"/>
          <w:szCs w:val="28"/>
        </w:rPr>
        <w:t>Asimismo, el artículo 34 del Convenio 169 de la Organización Internacional del Trabajo establece que “</w:t>
      </w:r>
      <w:r w:rsidRPr="009B6965">
        <w:rPr>
          <w:rFonts w:ascii="Arial" w:hAnsi="Arial" w:cs="Arial"/>
          <w:i/>
          <w:iCs/>
          <w:color w:val="000000" w:themeColor="text1"/>
          <w:sz w:val="28"/>
          <w:szCs w:val="28"/>
        </w:rPr>
        <w:t>La naturaleza y el alcance de las medidas que se adopten para dar efecto al presente Convenio deberán determinarse con flexibilidad, teniendo en cuenta las condiciones propias de cada país</w:t>
      </w:r>
      <w:r w:rsidRPr="009B6965">
        <w:rPr>
          <w:rFonts w:ascii="Arial" w:hAnsi="Arial" w:cs="Arial"/>
          <w:color w:val="000000" w:themeColor="text1"/>
          <w:sz w:val="28"/>
          <w:szCs w:val="28"/>
        </w:rPr>
        <w:t>”.</w:t>
      </w:r>
    </w:p>
    <w:p w14:paraId="5EA6600A" w14:textId="77777777" w:rsidR="001E4656" w:rsidRPr="009B6965" w:rsidRDefault="001E4656" w:rsidP="00FA0A34">
      <w:pPr>
        <w:pStyle w:val="Sinespaciado"/>
        <w:spacing w:line="360" w:lineRule="auto"/>
        <w:jc w:val="both"/>
        <w:rPr>
          <w:rFonts w:ascii="Arial" w:hAnsi="Arial" w:cs="Arial"/>
          <w:color w:val="000000" w:themeColor="text1"/>
          <w:sz w:val="28"/>
          <w:szCs w:val="28"/>
        </w:rPr>
      </w:pPr>
    </w:p>
    <w:p w14:paraId="2FBF4B02" w14:textId="43F6E8EF" w:rsidR="001E4656" w:rsidRPr="009B6965" w:rsidRDefault="001E4656" w:rsidP="00FA0A34">
      <w:pPr>
        <w:spacing w:after="0" w:line="360" w:lineRule="auto"/>
        <w:ind w:firstLine="709"/>
        <w:jc w:val="both"/>
        <w:rPr>
          <w:rFonts w:ascii="Arial" w:hAnsi="Arial" w:cs="Arial"/>
          <w:color w:val="000000" w:themeColor="text1"/>
          <w:sz w:val="28"/>
          <w:szCs w:val="28"/>
        </w:rPr>
      </w:pPr>
      <w:r w:rsidRPr="009B6965">
        <w:rPr>
          <w:rFonts w:ascii="Arial" w:hAnsi="Arial" w:cs="Arial"/>
          <w:color w:val="000000" w:themeColor="text1"/>
          <w:sz w:val="28"/>
          <w:szCs w:val="28"/>
        </w:rPr>
        <w:t xml:space="preserve">No obstante, </w:t>
      </w:r>
      <w:r w:rsidRPr="009B6965">
        <w:rPr>
          <w:rFonts w:ascii="Arial" w:hAnsi="Arial" w:cs="Arial"/>
          <w:b/>
          <w:i/>
          <w:color w:val="000000" w:themeColor="text1"/>
          <w:sz w:val="28"/>
          <w:szCs w:val="28"/>
        </w:rPr>
        <w:t>existen a nivel internacional una serie de criterios mínimos para que el ejercicio al derecho a la consulta previa pueda considerarse efectivo</w:t>
      </w:r>
      <w:r w:rsidRPr="009B6965">
        <w:rPr>
          <w:rFonts w:ascii="Arial" w:hAnsi="Arial" w:cs="Arial"/>
          <w:i/>
          <w:color w:val="000000" w:themeColor="text1"/>
          <w:sz w:val="28"/>
          <w:szCs w:val="28"/>
        </w:rPr>
        <w:t>.</w:t>
      </w:r>
      <w:r w:rsidRPr="009B6965">
        <w:rPr>
          <w:rFonts w:ascii="Arial" w:hAnsi="Arial" w:cs="Arial"/>
          <w:color w:val="000000" w:themeColor="text1"/>
          <w:sz w:val="28"/>
          <w:szCs w:val="28"/>
        </w:rPr>
        <w:t xml:space="preserve"> Los cuales se pueden desprender del propio texto del artículo 6º del Convenio 169 sobre Pueblos Indígenas y Tribales de la Organización Internacional del </w:t>
      </w:r>
      <w:r w:rsidRPr="009B6965">
        <w:rPr>
          <w:rFonts w:ascii="Arial" w:hAnsi="Arial" w:cs="Arial"/>
          <w:color w:val="000000" w:themeColor="text1"/>
          <w:sz w:val="28"/>
          <w:szCs w:val="28"/>
        </w:rPr>
        <w:lastRenderedPageBreak/>
        <w:t xml:space="preserve">Trabajo, y de los </w:t>
      </w:r>
      <w:r w:rsidR="00765809">
        <w:rPr>
          <w:rFonts w:ascii="Arial" w:hAnsi="Arial" w:cs="Arial"/>
          <w:color w:val="000000" w:themeColor="text1"/>
          <w:sz w:val="28"/>
          <w:szCs w:val="28"/>
        </w:rPr>
        <w:t>numerales</w:t>
      </w:r>
      <w:r w:rsidRPr="009B6965">
        <w:rPr>
          <w:rFonts w:ascii="Arial" w:hAnsi="Arial" w:cs="Arial"/>
          <w:color w:val="000000" w:themeColor="text1"/>
          <w:sz w:val="28"/>
          <w:szCs w:val="28"/>
        </w:rPr>
        <w:t xml:space="preserve"> 18 y 19 de la Declaración de las Naciones Unidas sobre los Derechos de los Pueblos Indígenas.</w:t>
      </w:r>
    </w:p>
    <w:p w14:paraId="58AD4A5E" w14:textId="77777777" w:rsidR="001E4656" w:rsidRPr="009B6965" w:rsidRDefault="001E4656" w:rsidP="00FA0A34">
      <w:pPr>
        <w:spacing w:after="0" w:line="360" w:lineRule="auto"/>
        <w:jc w:val="both"/>
        <w:rPr>
          <w:rFonts w:ascii="Arial" w:hAnsi="Arial" w:cs="Arial"/>
          <w:color w:val="000000" w:themeColor="text1"/>
          <w:sz w:val="28"/>
          <w:szCs w:val="28"/>
        </w:rPr>
      </w:pPr>
    </w:p>
    <w:p w14:paraId="0B0ACC4C" w14:textId="77777777" w:rsidR="001E4656" w:rsidRPr="009B6965" w:rsidRDefault="001E4656" w:rsidP="00FA0A34">
      <w:pPr>
        <w:spacing w:after="0" w:line="360" w:lineRule="auto"/>
        <w:ind w:firstLine="709"/>
        <w:jc w:val="both"/>
        <w:rPr>
          <w:rFonts w:ascii="Arial" w:hAnsi="Arial" w:cs="Arial"/>
          <w:color w:val="000000" w:themeColor="text1"/>
          <w:sz w:val="28"/>
          <w:szCs w:val="28"/>
        </w:rPr>
      </w:pPr>
      <w:r w:rsidRPr="009B6965">
        <w:rPr>
          <w:rFonts w:ascii="Arial" w:hAnsi="Arial" w:cs="Arial"/>
          <w:color w:val="000000" w:themeColor="text1"/>
          <w:sz w:val="28"/>
          <w:szCs w:val="28"/>
        </w:rPr>
        <w:t xml:space="preserve">En efecto, tales preceptos señalan que las consultas </w:t>
      </w:r>
      <w:r w:rsidRPr="009B6965">
        <w:rPr>
          <w:rFonts w:ascii="Arial" w:hAnsi="Arial" w:cs="Arial"/>
          <w:b/>
          <w:color w:val="000000" w:themeColor="text1"/>
          <w:sz w:val="28"/>
          <w:szCs w:val="28"/>
        </w:rPr>
        <w:t>deberán efectuarse de manera previa, de buena fe y de una manera apropiada a las circunstancias, con la finalidad de llegar a un acuerdo o lograr el consentimiento</w:t>
      </w:r>
      <w:r w:rsidRPr="009B6965">
        <w:rPr>
          <w:rFonts w:ascii="Arial" w:hAnsi="Arial" w:cs="Arial"/>
          <w:color w:val="000000" w:themeColor="text1"/>
          <w:sz w:val="28"/>
          <w:szCs w:val="28"/>
        </w:rPr>
        <w:t xml:space="preserve"> acerca de las medidas propuestas. </w:t>
      </w:r>
    </w:p>
    <w:p w14:paraId="384C3269" w14:textId="77777777" w:rsidR="001E4656" w:rsidRPr="009B6965" w:rsidRDefault="001E4656" w:rsidP="00FA0A34">
      <w:pPr>
        <w:spacing w:after="0" w:line="360" w:lineRule="auto"/>
        <w:jc w:val="both"/>
        <w:rPr>
          <w:rFonts w:ascii="Arial" w:hAnsi="Arial" w:cs="Arial"/>
          <w:color w:val="000000" w:themeColor="text1"/>
          <w:sz w:val="28"/>
          <w:szCs w:val="28"/>
        </w:rPr>
      </w:pPr>
    </w:p>
    <w:p w14:paraId="5E36C5D4" w14:textId="77777777" w:rsidR="001E4656" w:rsidRPr="009B6965" w:rsidRDefault="001E4656" w:rsidP="00FA0A34">
      <w:pPr>
        <w:spacing w:after="0" w:line="360" w:lineRule="auto"/>
        <w:ind w:firstLine="709"/>
        <w:jc w:val="both"/>
        <w:rPr>
          <w:rFonts w:ascii="Arial" w:hAnsi="Arial" w:cs="Arial"/>
          <w:color w:val="000000" w:themeColor="text1"/>
          <w:sz w:val="28"/>
          <w:szCs w:val="28"/>
          <w:u w:val="single"/>
        </w:rPr>
      </w:pPr>
      <w:r w:rsidRPr="009B6965">
        <w:rPr>
          <w:rFonts w:ascii="Arial" w:hAnsi="Arial" w:cs="Arial"/>
          <w:color w:val="000000" w:themeColor="text1"/>
          <w:sz w:val="28"/>
          <w:szCs w:val="28"/>
        </w:rPr>
        <w:t>La Corte Interamericana de Derechos Humanos reiteradamente ha sostenido que las consultas deben satisfacer el principio de buena fe, ser apropiadas a las costumbres y valores de los pueblos, así como ser efectivas, en el sentido de permitir el ejercicio real de dicho derecho</w:t>
      </w:r>
      <w:r w:rsidRPr="009B6965">
        <w:rPr>
          <w:rStyle w:val="Refdenotaalpie"/>
          <w:rFonts w:ascii="Arial" w:hAnsi="Arial" w:cs="Arial"/>
          <w:color w:val="000000" w:themeColor="text1"/>
          <w:sz w:val="28"/>
          <w:szCs w:val="28"/>
        </w:rPr>
        <w:footnoteReference w:id="10"/>
      </w:r>
      <w:r w:rsidRPr="009B6965">
        <w:rPr>
          <w:rFonts w:ascii="Arial" w:hAnsi="Arial" w:cs="Arial"/>
          <w:color w:val="000000" w:themeColor="text1"/>
          <w:sz w:val="28"/>
          <w:szCs w:val="28"/>
        </w:rPr>
        <w:t xml:space="preserve">. </w:t>
      </w:r>
    </w:p>
    <w:p w14:paraId="76502E21" w14:textId="77777777" w:rsidR="001E4656" w:rsidRPr="009B6965" w:rsidRDefault="001E4656" w:rsidP="00FA0A34">
      <w:pPr>
        <w:spacing w:after="0" w:line="360" w:lineRule="auto"/>
        <w:jc w:val="both"/>
        <w:rPr>
          <w:rFonts w:ascii="Arial" w:hAnsi="Arial" w:cs="Arial"/>
          <w:color w:val="000000" w:themeColor="text1"/>
          <w:sz w:val="28"/>
          <w:szCs w:val="28"/>
          <w:u w:val="single"/>
        </w:rPr>
      </w:pPr>
    </w:p>
    <w:p w14:paraId="7D069934" w14:textId="77777777" w:rsidR="001E4656" w:rsidRPr="009B6965" w:rsidRDefault="001E4656" w:rsidP="00FA0A34">
      <w:pPr>
        <w:spacing w:after="0" w:line="360" w:lineRule="auto"/>
        <w:ind w:firstLine="709"/>
        <w:jc w:val="both"/>
        <w:rPr>
          <w:rFonts w:ascii="Arial" w:hAnsi="Arial" w:cs="Arial"/>
          <w:color w:val="000000" w:themeColor="text1"/>
          <w:sz w:val="28"/>
          <w:szCs w:val="28"/>
        </w:rPr>
      </w:pPr>
      <w:r w:rsidRPr="009B6965">
        <w:rPr>
          <w:rFonts w:ascii="Arial" w:hAnsi="Arial" w:cs="Arial"/>
          <w:color w:val="000000" w:themeColor="text1"/>
          <w:sz w:val="28"/>
          <w:szCs w:val="28"/>
        </w:rPr>
        <w:t>En esa línea, y a propósito de la reforma constitucional en materia indígena en Chile de 2009, el Relator Especial de Naciones Unidas, desarrolló el contenido de los principios internacionales aplicables a la consulta previa, libre e informada</w:t>
      </w:r>
      <w:r w:rsidRPr="009B6965">
        <w:rPr>
          <w:rStyle w:val="Refdenotaalpie"/>
          <w:rFonts w:ascii="Arial" w:hAnsi="Arial" w:cs="Arial"/>
          <w:color w:val="000000" w:themeColor="text1"/>
          <w:sz w:val="28"/>
          <w:szCs w:val="28"/>
        </w:rPr>
        <w:footnoteReference w:id="11"/>
      </w:r>
      <w:r w:rsidRPr="009B6965">
        <w:rPr>
          <w:rFonts w:ascii="Arial" w:hAnsi="Arial" w:cs="Arial"/>
          <w:color w:val="000000" w:themeColor="text1"/>
          <w:sz w:val="28"/>
          <w:szCs w:val="28"/>
        </w:rPr>
        <w:t xml:space="preserve"> los cuales, si bien no pueden trasladarse automáticamente al caso que ahora se analiza sí resultan particularmente orientadores. </w:t>
      </w:r>
    </w:p>
    <w:p w14:paraId="01304B6B" w14:textId="77777777" w:rsidR="001E4656" w:rsidRPr="009B6965" w:rsidRDefault="001E4656" w:rsidP="00FA0A34">
      <w:pPr>
        <w:pStyle w:val="Sinespaciado"/>
        <w:spacing w:line="360" w:lineRule="auto"/>
        <w:jc w:val="both"/>
        <w:rPr>
          <w:rFonts w:ascii="Arial" w:hAnsi="Arial" w:cs="Arial"/>
          <w:color w:val="000000" w:themeColor="text1"/>
          <w:sz w:val="28"/>
          <w:szCs w:val="28"/>
        </w:rPr>
      </w:pPr>
    </w:p>
    <w:p w14:paraId="34C9EE29" w14:textId="77777777" w:rsidR="001E4656" w:rsidRPr="009B6965" w:rsidRDefault="001E4656" w:rsidP="00FA0A34">
      <w:pPr>
        <w:pStyle w:val="Sinespaciado"/>
        <w:numPr>
          <w:ilvl w:val="0"/>
          <w:numId w:val="4"/>
        </w:numPr>
        <w:spacing w:line="360" w:lineRule="auto"/>
        <w:jc w:val="both"/>
        <w:rPr>
          <w:rFonts w:ascii="Arial" w:hAnsi="Arial" w:cs="Arial"/>
          <w:b/>
          <w:bCs/>
          <w:i/>
          <w:iCs/>
          <w:color w:val="000000" w:themeColor="text1"/>
          <w:sz w:val="28"/>
          <w:szCs w:val="28"/>
        </w:rPr>
      </w:pPr>
      <w:r w:rsidRPr="009B6965">
        <w:rPr>
          <w:rFonts w:ascii="Arial" w:hAnsi="Arial" w:cs="Arial"/>
          <w:b/>
          <w:bCs/>
          <w:i/>
          <w:iCs/>
          <w:color w:val="000000" w:themeColor="text1"/>
          <w:sz w:val="28"/>
          <w:szCs w:val="28"/>
        </w:rPr>
        <w:t xml:space="preserve">La consulta debe realizarse con carácter previo. </w:t>
      </w:r>
      <w:r w:rsidRPr="009B6965">
        <w:rPr>
          <w:rFonts w:ascii="Arial" w:hAnsi="Arial" w:cs="Arial"/>
          <w:bCs/>
          <w:iCs/>
          <w:color w:val="000000" w:themeColor="text1"/>
          <w:sz w:val="28"/>
          <w:szCs w:val="28"/>
        </w:rPr>
        <w:t>En el sentido de que dicha consulta se realice “lo antes posible”.</w:t>
      </w:r>
      <w:r w:rsidRPr="009B6965">
        <w:rPr>
          <w:rStyle w:val="Refdenotaalpie"/>
          <w:rFonts w:ascii="Arial" w:hAnsi="Arial" w:cs="Arial"/>
          <w:bCs/>
          <w:iCs/>
          <w:color w:val="000000" w:themeColor="text1"/>
          <w:sz w:val="28"/>
          <w:szCs w:val="28"/>
        </w:rPr>
        <w:footnoteReference w:id="12"/>
      </w:r>
      <w:r w:rsidRPr="009B6965">
        <w:rPr>
          <w:rFonts w:ascii="Arial" w:hAnsi="Arial" w:cs="Arial"/>
          <w:bCs/>
          <w:iCs/>
          <w:color w:val="000000" w:themeColor="text1"/>
          <w:sz w:val="28"/>
          <w:szCs w:val="28"/>
        </w:rPr>
        <w:t xml:space="preserve"> Tratándose de medidas legislativas, los pueblos indígenas deberán ser consultados previamente en todas las fases del proceso de producción normativa</w:t>
      </w:r>
      <w:r w:rsidRPr="009B6965">
        <w:rPr>
          <w:rStyle w:val="Refdenotaalpie"/>
          <w:rFonts w:ascii="Arial" w:hAnsi="Arial" w:cs="Arial"/>
          <w:bCs/>
          <w:iCs/>
          <w:color w:val="000000" w:themeColor="text1"/>
          <w:sz w:val="28"/>
          <w:szCs w:val="28"/>
        </w:rPr>
        <w:footnoteReference w:id="13"/>
      </w:r>
      <w:r w:rsidRPr="009B6965">
        <w:rPr>
          <w:rFonts w:ascii="Arial" w:hAnsi="Arial" w:cs="Arial"/>
          <w:bCs/>
          <w:iCs/>
          <w:color w:val="000000" w:themeColor="text1"/>
          <w:sz w:val="28"/>
          <w:szCs w:val="28"/>
        </w:rPr>
        <w:t>.</w:t>
      </w:r>
    </w:p>
    <w:p w14:paraId="41C26DC4" w14:textId="77777777" w:rsidR="001E4656" w:rsidRPr="009B6965" w:rsidRDefault="001E4656" w:rsidP="00FA0A34">
      <w:pPr>
        <w:pStyle w:val="Sinespaciado"/>
        <w:spacing w:line="360" w:lineRule="auto"/>
        <w:ind w:left="720"/>
        <w:jc w:val="both"/>
        <w:rPr>
          <w:rFonts w:ascii="Arial" w:hAnsi="Arial" w:cs="Arial"/>
          <w:b/>
          <w:bCs/>
          <w:i/>
          <w:iCs/>
          <w:color w:val="000000" w:themeColor="text1"/>
          <w:sz w:val="28"/>
          <w:szCs w:val="28"/>
        </w:rPr>
      </w:pPr>
    </w:p>
    <w:p w14:paraId="5AF9D97F" w14:textId="77777777" w:rsidR="001E4656" w:rsidRPr="009B6965" w:rsidRDefault="001E4656" w:rsidP="00FA0A34">
      <w:pPr>
        <w:pStyle w:val="Sinespaciado"/>
        <w:numPr>
          <w:ilvl w:val="0"/>
          <w:numId w:val="4"/>
        </w:numPr>
        <w:spacing w:line="360" w:lineRule="auto"/>
        <w:jc w:val="both"/>
        <w:rPr>
          <w:rFonts w:ascii="Arial" w:hAnsi="Arial" w:cs="Arial"/>
          <w:b/>
          <w:bCs/>
          <w:i/>
          <w:iCs/>
          <w:color w:val="000000" w:themeColor="text1"/>
          <w:sz w:val="28"/>
          <w:szCs w:val="28"/>
        </w:rPr>
      </w:pPr>
      <w:r w:rsidRPr="009B6965">
        <w:rPr>
          <w:rFonts w:ascii="Arial" w:hAnsi="Arial" w:cs="Arial"/>
          <w:b/>
          <w:bCs/>
          <w:i/>
          <w:iCs/>
          <w:color w:val="000000" w:themeColor="text1"/>
          <w:sz w:val="28"/>
          <w:szCs w:val="28"/>
        </w:rPr>
        <w:t xml:space="preserve">La consulta no se agota con la mera información. </w:t>
      </w:r>
      <w:r w:rsidRPr="009B6965">
        <w:rPr>
          <w:rFonts w:ascii="Arial" w:hAnsi="Arial" w:cs="Arial"/>
          <w:bCs/>
          <w:iCs/>
          <w:color w:val="000000" w:themeColor="text1"/>
          <w:sz w:val="28"/>
          <w:szCs w:val="28"/>
        </w:rPr>
        <w:t>No basta con que se informe a los pueblos indígenas sobre el contenido de la medida propuesta, sino que debe pretender fomentar un verdadero diálogo con ellos</w:t>
      </w:r>
      <w:r w:rsidRPr="009B6965">
        <w:rPr>
          <w:rStyle w:val="Refdenotaalpie"/>
          <w:rFonts w:ascii="Arial" w:hAnsi="Arial" w:cs="Arial"/>
          <w:bCs/>
          <w:iCs/>
          <w:color w:val="000000" w:themeColor="text1"/>
          <w:sz w:val="28"/>
          <w:szCs w:val="28"/>
        </w:rPr>
        <w:footnoteReference w:id="14"/>
      </w:r>
      <w:r w:rsidRPr="009B6965">
        <w:rPr>
          <w:rFonts w:ascii="Arial" w:hAnsi="Arial" w:cs="Arial"/>
          <w:bCs/>
          <w:iCs/>
          <w:color w:val="000000" w:themeColor="text1"/>
          <w:sz w:val="28"/>
          <w:szCs w:val="28"/>
        </w:rPr>
        <w:t>.</w:t>
      </w:r>
      <w:r w:rsidRPr="009B6965">
        <w:rPr>
          <w:rFonts w:ascii="Arial" w:hAnsi="Arial" w:cs="Arial"/>
          <w:b/>
          <w:bCs/>
          <w:i/>
          <w:iCs/>
          <w:color w:val="000000" w:themeColor="text1"/>
          <w:sz w:val="28"/>
          <w:szCs w:val="28"/>
        </w:rPr>
        <w:t xml:space="preserve"> </w:t>
      </w:r>
    </w:p>
    <w:p w14:paraId="3E19C4D7" w14:textId="77777777" w:rsidR="001E4656" w:rsidRPr="009B6965" w:rsidRDefault="001E4656" w:rsidP="00FA0A34">
      <w:pPr>
        <w:pStyle w:val="Sinespaciado"/>
        <w:spacing w:line="360" w:lineRule="auto"/>
        <w:jc w:val="both"/>
        <w:rPr>
          <w:rFonts w:ascii="Arial" w:hAnsi="Arial" w:cs="Arial"/>
          <w:b/>
          <w:bCs/>
          <w:i/>
          <w:iCs/>
          <w:color w:val="000000" w:themeColor="text1"/>
          <w:sz w:val="28"/>
          <w:szCs w:val="28"/>
        </w:rPr>
      </w:pPr>
    </w:p>
    <w:p w14:paraId="7DA12E90" w14:textId="77777777" w:rsidR="001E4656" w:rsidRPr="009B6965" w:rsidRDefault="001E4656" w:rsidP="00FA0A34">
      <w:pPr>
        <w:pStyle w:val="Prrafodelista"/>
        <w:numPr>
          <w:ilvl w:val="0"/>
          <w:numId w:val="4"/>
        </w:numPr>
        <w:autoSpaceDE w:val="0"/>
        <w:autoSpaceDN w:val="0"/>
        <w:adjustRightInd w:val="0"/>
        <w:spacing w:after="0" w:line="360" w:lineRule="auto"/>
        <w:jc w:val="both"/>
        <w:rPr>
          <w:rFonts w:ascii="Arial" w:hAnsi="Arial" w:cs="Arial"/>
          <w:b/>
          <w:bCs/>
          <w:i/>
          <w:iCs/>
          <w:color w:val="000000" w:themeColor="text1"/>
          <w:sz w:val="28"/>
          <w:szCs w:val="28"/>
        </w:rPr>
      </w:pPr>
      <w:r w:rsidRPr="009B6965">
        <w:rPr>
          <w:rFonts w:ascii="Arial" w:hAnsi="Arial" w:cs="Arial"/>
          <w:b/>
          <w:bCs/>
          <w:i/>
          <w:iCs/>
          <w:color w:val="000000" w:themeColor="text1"/>
          <w:sz w:val="28"/>
          <w:szCs w:val="28"/>
        </w:rPr>
        <w:t xml:space="preserve">La consulta debe ser de buena fe, dentro de un procedimiento que genere confianza entre las partes. </w:t>
      </w:r>
      <w:r w:rsidRPr="009B6965">
        <w:rPr>
          <w:rFonts w:ascii="Arial" w:hAnsi="Arial" w:cs="Arial"/>
          <w:bCs/>
          <w:iCs/>
          <w:color w:val="000000" w:themeColor="text1"/>
          <w:sz w:val="28"/>
          <w:szCs w:val="28"/>
        </w:rPr>
        <w:t>Se debe buscar generar consensos, propiciando un clima de confianza y respeto entre comunidades y gobierno</w:t>
      </w:r>
      <w:r w:rsidRPr="009B6965">
        <w:rPr>
          <w:rStyle w:val="Refdenotaalpie"/>
          <w:rFonts w:ascii="Arial" w:hAnsi="Arial" w:cs="Arial"/>
          <w:bCs/>
          <w:iCs/>
          <w:color w:val="000000" w:themeColor="text1"/>
          <w:sz w:val="28"/>
          <w:szCs w:val="28"/>
        </w:rPr>
        <w:footnoteReference w:id="15"/>
      </w:r>
      <w:r w:rsidRPr="009B6965">
        <w:rPr>
          <w:rFonts w:ascii="Arial" w:hAnsi="Arial" w:cs="Arial"/>
          <w:bCs/>
          <w:iCs/>
          <w:color w:val="000000" w:themeColor="text1"/>
          <w:sz w:val="28"/>
          <w:szCs w:val="28"/>
        </w:rPr>
        <w:t>.</w:t>
      </w:r>
    </w:p>
    <w:p w14:paraId="2B844EF0" w14:textId="77777777" w:rsidR="001E4656" w:rsidRPr="009B6965" w:rsidRDefault="001E4656" w:rsidP="00FA0A34">
      <w:pPr>
        <w:pStyle w:val="Prrafodelista"/>
        <w:autoSpaceDE w:val="0"/>
        <w:autoSpaceDN w:val="0"/>
        <w:adjustRightInd w:val="0"/>
        <w:spacing w:after="0"/>
        <w:jc w:val="both"/>
        <w:rPr>
          <w:rFonts w:ascii="Arial" w:hAnsi="Arial" w:cs="Arial"/>
          <w:b/>
          <w:bCs/>
          <w:i/>
          <w:iCs/>
          <w:color w:val="000000" w:themeColor="text1"/>
          <w:sz w:val="28"/>
          <w:szCs w:val="28"/>
        </w:rPr>
      </w:pPr>
    </w:p>
    <w:p w14:paraId="0DD51426" w14:textId="77777777" w:rsidR="001E4656" w:rsidRPr="009B6965" w:rsidRDefault="001E4656" w:rsidP="00FA0A34">
      <w:pPr>
        <w:pStyle w:val="Prrafodelista"/>
        <w:numPr>
          <w:ilvl w:val="0"/>
          <w:numId w:val="4"/>
        </w:numPr>
        <w:autoSpaceDE w:val="0"/>
        <w:autoSpaceDN w:val="0"/>
        <w:adjustRightInd w:val="0"/>
        <w:spacing w:after="0" w:line="360" w:lineRule="auto"/>
        <w:jc w:val="both"/>
        <w:rPr>
          <w:rFonts w:ascii="Arial" w:hAnsi="Arial" w:cs="Arial"/>
          <w:bCs/>
          <w:iCs/>
          <w:color w:val="000000" w:themeColor="text1"/>
          <w:sz w:val="28"/>
          <w:szCs w:val="28"/>
        </w:rPr>
      </w:pPr>
      <w:r w:rsidRPr="009B6965">
        <w:rPr>
          <w:rFonts w:ascii="Arial" w:hAnsi="Arial" w:cs="Arial"/>
          <w:b/>
          <w:bCs/>
          <w:i/>
          <w:iCs/>
          <w:color w:val="000000" w:themeColor="text1"/>
          <w:sz w:val="28"/>
          <w:szCs w:val="28"/>
        </w:rPr>
        <w:t xml:space="preserve">La consulta debe ser adecuada y a través de las instituciones representativas indígenas. </w:t>
      </w:r>
      <w:r w:rsidRPr="009B6965">
        <w:rPr>
          <w:rFonts w:ascii="Arial" w:hAnsi="Arial" w:cs="Arial"/>
          <w:bCs/>
          <w:iCs/>
          <w:color w:val="000000" w:themeColor="text1"/>
          <w:sz w:val="28"/>
          <w:szCs w:val="28"/>
        </w:rPr>
        <w:t xml:space="preserve">Lo anterior significa que se debe dar en el marco del respeto a las formas de decisión internas, a través </w:t>
      </w:r>
      <w:r w:rsidRPr="009B6965">
        <w:rPr>
          <w:rFonts w:ascii="Arial" w:hAnsi="Arial" w:cs="Arial"/>
          <w:bCs/>
          <w:iCs/>
          <w:color w:val="000000" w:themeColor="text1"/>
          <w:sz w:val="28"/>
          <w:szCs w:val="28"/>
        </w:rPr>
        <w:lastRenderedPageBreak/>
        <w:t>de sus instituciones representativas y mediante procedimientos apropiados. Un procedimiento es apropiado dependiendo del ámbito o alcance de la medida específica.</w:t>
      </w:r>
      <w:r w:rsidRPr="009B6965">
        <w:rPr>
          <w:rStyle w:val="Refdenotaalpie"/>
          <w:rFonts w:ascii="Arial" w:hAnsi="Arial" w:cs="Arial"/>
          <w:bCs/>
          <w:iCs/>
          <w:color w:val="000000" w:themeColor="text1"/>
          <w:sz w:val="28"/>
          <w:szCs w:val="28"/>
        </w:rPr>
        <w:footnoteReference w:id="16"/>
      </w:r>
      <w:r w:rsidRPr="009B6965">
        <w:rPr>
          <w:rFonts w:ascii="Arial" w:hAnsi="Arial" w:cs="Arial"/>
          <w:bCs/>
          <w:iCs/>
          <w:color w:val="000000" w:themeColor="text1"/>
          <w:sz w:val="28"/>
          <w:szCs w:val="28"/>
        </w:rPr>
        <w:t xml:space="preserve"> </w:t>
      </w:r>
    </w:p>
    <w:p w14:paraId="4272A9CE" w14:textId="77777777" w:rsidR="001E4656" w:rsidRPr="009B6965" w:rsidRDefault="001E4656" w:rsidP="00FA0A34">
      <w:pPr>
        <w:pStyle w:val="Prrafodelista"/>
        <w:spacing w:after="0"/>
        <w:jc w:val="both"/>
        <w:rPr>
          <w:rFonts w:ascii="Arial" w:hAnsi="Arial" w:cs="Arial"/>
          <w:b/>
          <w:bCs/>
          <w:i/>
          <w:iCs/>
          <w:color w:val="000000" w:themeColor="text1"/>
          <w:sz w:val="28"/>
          <w:szCs w:val="28"/>
        </w:rPr>
      </w:pPr>
    </w:p>
    <w:p w14:paraId="43E91FEC" w14:textId="77777777" w:rsidR="001E4656" w:rsidRPr="009B6965" w:rsidRDefault="001E4656" w:rsidP="00FA0A34">
      <w:pPr>
        <w:pStyle w:val="Prrafodelista"/>
        <w:numPr>
          <w:ilvl w:val="0"/>
          <w:numId w:val="4"/>
        </w:numPr>
        <w:autoSpaceDE w:val="0"/>
        <w:autoSpaceDN w:val="0"/>
        <w:adjustRightInd w:val="0"/>
        <w:spacing w:after="0" w:line="360" w:lineRule="auto"/>
        <w:jc w:val="both"/>
        <w:rPr>
          <w:rFonts w:ascii="Arial" w:hAnsi="Arial" w:cs="Arial"/>
          <w:color w:val="000000" w:themeColor="text1"/>
          <w:sz w:val="28"/>
          <w:szCs w:val="28"/>
        </w:rPr>
      </w:pPr>
      <w:r w:rsidRPr="009B6965">
        <w:rPr>
          <w:rFonts w:ascii="Arial" w:hAnsi="Arial" w:cs="Arial"/>
          <w:b/>
          <w:bCs/>
          <w:i/>
          <w:iCs/>
          <w:color w:val="000000" w:themeColor="text1"/>
          <w:sz w:val="28"/>
          <w:szCs w:val="28"/>
        </w:rPr>
        <w:t xml:space="preserve">La consulta debe ser sistemática y transparente. </w:t>
      </w:r>
      <w:r w:rsidRPr="009B6965">
        <w:rPr>
          <w:rFonts w:ascii="Arial" w:hAnsi="Arial" w:cs="Arial"/>
          <w:bCs/>
          <w:iCs/>
          <w:color w:val="000000" w:themeColor="text1"/>
          <w:sz w:val="28"/>
          <w:szCs w:val="28"/>
        </w:rPr>
        <w:t xml:space="preserve">Esto es, </w:t>
      </w:r>
      <w:r w:rsidRPr="009B6965">
        <w:rPr>
          <w:rFonts w:ascii="Arial" w:hAnsi="Arial" w:cs="Arial"/>
          <w:color w:val="000000" w:themeColor="text1"/>
          <w:sz w:val="28"/>
          <w:szCs w:val="28"/>
        </w:rPr>
        <w:t xml:space="preserve">las consultas deben responder a procedimientos transparentes y previamente definidos, lo anterior, con el objeto de dotar de seguridad jurídica a los pueblos indígenas sobre sus mecanismos de participación. En caso de que estos mecanismos no existan formalmente, deberán adoptarse provisionalmente regímenes transitorios o </w:t>
      </w:r>
      <w:r w:rsidRPr="009B6965">
        <w:rPr>
          <w:rFonts w:ascii="Arial" w:hAnsi="Arial" w:cs="Arial"/>
          <w:i/>
          <w:color w:val="000000" w:themeColor="text1"/>
          <w:sz w:val="28"/>
          <w:szCs w:val="28"/>
        </w:rPr>
        <w:t>ad hoc</w:t>
      </w:r>
      <w:r w:rsidRPr="009B6965">
        <w:rPr>
          <w:rFonts w:ascii="Arial" w:hAnsi="Arial" w:cs="Arial"/>
          <w:color w:val="000000" w:themeColor="text1"/>
          <w:sz w:val="28"/>
          <w:szCs w:val="28"/>
        </w:rPr>
        <w:t xml:space="preserve"> con miras al ejercicio efectivo de las consultas.</w:t>
      </w:r>
      <w:r w:rsidRPr="009B6965">
        <w:rPr>
          <w:rStyle w:val="Refdenotaalpie"/>
          <w:rFonts w:ascii="Arial" w:hAnsi="Arial" w:cs="Arial"/>
          <w:color w:val="000000" w:themeColor="text1"/>
          <w:sz w:val="28"/>
          <w:szCs w:val="28"/>
        </w:rPr>
        <w:footnoteReference w:id="17"/>
      </w:r>
    </w:p>
    <w:p w14:paraId="617A83A3" w14:textId="77777777" w:rsidR="001E4656" w:rsidRPr="009B6965" w:rsidRDefault="001E4656" w:rsidP="00FA0A34">
      <w:pPr>
        <w:spacing w:after="0"/>
        <w:jc w:val="both"/>
        <w:rPr>
          <w:rFonts w:ascii="Arial" w:hAnsi="Arial" w:cs="Arial"/>
          <w:b/>
          <w:bCs/>
          <w:iCs/>
          <w:color w:val="000000" w:themeColor="text1"/>
          <w:sz w:val="28"/>
          <w:szCs w:val="28"/>
        </w:rPr>
      </w:pPr>
    </w:p>
    <w:p w14:paraId="3418FB6D" w14:textId="77777777" w:rsidR="001E4656" w:rsidRPr="009B6965" w:rsidRDefault="001E4656" w:rsidP="00FA0A34">
      <w:pPr>
        <w:spacing w:after="0" w:line="360" w:lineRule="auto"/>
        <w:ind w:firstLine="709"/>
        <w:jc w:val="both"/>
        <w:rPr>
          <w:rFonts w:ascii="Arial" w:hAnsi="Arial" w:cs="Arial"/>
          <w:color w:val="000000" w:themeColor="text1"/>
          <w:sz w:val="28"/>
          <w:szCs w:val="28"/>
        </w:rPr>
      </w:pPr>
      <w:r w:rsidRPr="009B6965">
        <w:rPr>
          <w:rFonts w:ascii="Arial" w:hAnsi="Arial" w:cs="Arial"/>
          <w:color w:val="000000" w:themeColor="text1"/>
          <w:sz w:val="28"/>
          <w:szCs w:val="28"/>
        </w:rPr>
        <w:t xml:space="preserve">Dichos principios también fueron retomados por la Primera Sala en el amparo en revisión 631/2012, los cuales se ven reflejados en la tesis de título y subtítulo: </w:t>
      </w:r>
      <w:r w:rsidRPr="009B6965">
        <w:rPr>
          <w:rFonts w:ascii="Arial" w:hAnsi="Arial" w:cs="Arial"/>
          <w:b/>
          <w:i/>
          <w:color w:val="000000" w:themeColor="text1"/>
          <w:sz w:val="28"/>
          <w:szCs w:val="28"/>
        </w:rPr>
        <w:t>“COMUNIDADES Y PUEBLOS INDÍGENAS. TODAS LAS AUTORIDADES, EN EL ÁMBITO DE SUS ATRIBUCIONES, ESTÁN OBLIGADAS A CONSULTARLOS, ANTES DE ADOPTAR CUALQUIER ACCIÓN O MEDIDA SUSCEPTIBLE DE AFECTAR SUS DERECHOS E INTERESES</w:t>
      </w:r>
      <w:r w:rsidRPr="009B6965">
        <w:rPr>
          <w:rFonts w:ascii="Arial" w:hAnsi="Arial" w:cs="Arial"/>
          <w:color w:val="000000" w:themeColor="text1"/>
          <w:sz w:val="28"/>
          <w:szCs w:val="28"/>
        </w:rPr>
        <w:t>”</w:t>
      </w:r>
      <w:r w:rsidRPr="009B6965">
        <w:rPr>
          <w:rStyle w:val="Refdenotaalpie"/>
          <w:rFonts w:ascii="Arial" w:hAnsi="Arial" w:cs="Arial"/>
          <w:color w:val="000000" w:themeColor="text1"/>
          <w:sz w:val="28"/>
          <w:szCs w:val="28"/>
        </w:rPr>
        <w:footnoteReference w:id="18"/>
      </w:r>
      <w:r w:rsidRPr="009B6965">
        <w:rPr>
          <w:rFonts w:ascii="Arial" w:hAnsi="Arial" w:cs="Arial"/>
          <w:color w:val="000000" w:themeColor="text1"/>
          <w:sz w:val="28"/>
          <w:szCs w:val="28"/>
        </w:rPr>
        <w:t>.</w:t>
      </w:r>
    </w:p>
    <w:p w14:paraId="3D725E10" w14:textId="77777777" w:rsidR="001E4656" w:rsidRPr="009B6965" w:rsidRDefault="001E4656" w:rsidP="00FA0A34">
      <w:pPr>
        <w:spacing w:after="0" w:line="360" w:lineRule="auto"/>
        <w:ind w:firstLine="709"/>
        <w:jc w:val="both"/>
        <w:rPr>
          <w:rFonts w:ascii="Arial" w:hAnsi="Arial" w:cs="Arial"/>
          <w:color w:val="000000" w:themeColor="text1"/>
          <w:sz w:val="28"/>
          <w:szCs w:val="28"/>
        </w:rPr>
      </w:pPr>
    </w:p>
    <w:p w14:paraId="678F6101" w14:textId="1DBBA011" w:rsidR="001E4656" w:rsidRPr="009B6965" w:rsidRDefault="001E4656" w:rsidP="00FA0A34">
      <w:pPr>
        <w:spacing w:after="0" w:line="360" w:lineRule="auto"/>
        <w:ind w:firstLine="709"/>
        <w:jc w:val="both"/>
        <w:rPr>
          <w:rFonts w:ascii="Arial" w:hAnsi="Arial" w:cs="Arial"/>
          <w:color w:val="000000" w:themeColor="text1"/>
          <w:sz w:val="28"/>
          <w:szCs w:val="28"/>
        </w:rPr>
      </w:pPr>
      <w:r w:rsidRPr="009B6965">
        <w:rPr>
          <w:rFonts w:ascii="Arial" w:hAnsi="Arial" w:cs="Arial"/>
          <w:color w:val="000000" w:themeColor="text1"/>
          <w:sz w:val="28"/>
          <w:szCs w:val="28"/>
        </w:rPr>
        <w:t xml:space="preserve">Es además necesario observar, la </w:t>
      </w:r>
      <w:r w:rsidRPr="009B6965">
        <w:rPr>
          <w:rFonts w:ascii="Arial" w:hAnsi="Arial" w:cs="Arial"/>
          <w:b/>
          <w:color w:val="000000" w:themeColor="text1"/>
          <w:sz w:val="28"/>
          <w:szCs w:val="28"/>
        </w:rPr>
        <w:t>opinión que emitió el Comité Tripartita de la Organización Internacional del Trabajo en el caso sobre la reforma constitucional al artículo 2° de nuestra Constitución General,</w:t>
      </w:r>
      <w:r w:rsidRPr="009B6965">
        <w:rPr>
          <w:rStyle w:val="Refdenotaalpie"/>
          <w:rFonts w:ascii="Arial" w:hAnsi="Arial" w:cs="Arial"/>
          <w:color w:val="000000" w:themeColor="text1"/>
          <w:sz w:val="28"/>
          <w:szCs w:val="28"/>
        </w:rPr>
        <w:footnoteReference w:id="19"/>
      </w:r>
      <w:r w:rsidRPr="009B6965">
        <w:rPr>
          <w:rFonts w:ascii="Arial" w:hAnsi="Arial" w:cs="Arial"/>
          <w:color w:val="000000" w:themeColor="text1"/>
          <w:sz w:val="28"/>
          <w:szCs w:val="28"/>
        </w:rPr>
        <w:t xml:space="preserve"> en la que se señaló que el contenido de las consultas a los pueblos indígenas no es jurídicamente vinculante. Sin embargo, dichas </w:t>
      </w:r>
      <w:r w:rsidRPr="009B6965">
        <w:rPr>
          <w:rFonts w:ascii="Arial" w:hAnsi="Arial" w:cs="Arial"/>
          <w:b/>
          <w:i/>
          <w:color w:val="000000" w:themeColor="text1"/>
          <w:sz w:val="28"/>
          <w:szCs w:val="28"/>
        </w:rPr>
        <w:t>consultas deben efectuarse de buena fe y de una manera apropiada a las circunstancias de los pueblos, con la finalidad de llegar a un acuerdo o lograr el consentimiento acerca de las medidas propuestas</w:t>
      </w:r>
      <w:r w:rsidRPr="009B6965">
        <w:rPr>
          <w:rStyle w:val="Refdenotaalpie"/>
          <w:rFonts w:ascii="Arial" w:hAnsi="Arial" w:cs="Arial"/>
          <w:b/>
          <w:color w:val="000000" w:themeColor="text1"/>
          <w:sz w:val="28"/>
          <w:szCs w:val="28"/>
        </w:rPr>
        <w:footnoteReference w:id="20"/>
      </w:r>
      <w:r w:rsidRPr="009B6965">
        <w:rPr>
          <w:rFonts w:ascii="Arial" w:hAnsi="Arial" w:cs="Arial"/>
          <w:b/>
          <w:i/>
          <w:color w:val="000000" w:themeColor="text1"/>
          <w:sz w:val="28"/>
          <w:szCs w:val="28"/>
        </w:rPr>
        <w:t>.</w:t>
      </w:r>
    </w:p>
    <w:p w14:paraId="0289515D" w14:textId="77777777" w:rsidR="001E4656" w:rsidRPr="009B6965" w:rsidRDefault="001E4656" w:rsidP="00FA0A34">
      <w:pPr>
        <w:spacing w:after="0" w:line="360" w:lineRule="auto"/>
        <w:ind w:left="360"/>
        <w:jc w:val="both"/>
        <w:rPr>
          <w:rFonts w:ascii="Arial" w:eastAsia="Times New Roman" w:hAnsi="Arial" w:cs="Arial"/>
          <w:b/>
          <w:bCs/>
          <w:color w:val="000000" w:themeColor="text1"/>
          <w:sz w:val="28"/>
          <w:szCs w:val="28"/>
          <w:lang w:eastAsia="es-MX"/>
        </w:rPr>
      </w:pPr>
    </w:p>
    <w:p w14:paraId="690302C6" w14:textId="77777777" w:rsidR="001E4656" w:rsidRPr="009B6965" w:rsidRDefault="001E4656" w:rsidP="00FA0A34">
      <w:pPr>
        <w:pStyle w:val="Prrafodelista"/>
        <w:numPr>
          <w:ilvl w:val="0"/>
          <w:numId w:val="3"/>
        </w:numPr>
        <w:spacing w:after="0" w:line="360" w:lineRule="auto"/>
        <w:jc w:val="both"/>
        <w:rPr>
          <w:rFonts w:ascii="Arial" w:eastAsia="Times New Roman" w:hAnsi="Arial" w:cs="Arial"/>
          <w:b/>
          <w:bCs/>
          <w:color w:val="000000" w:themeColor="text1"/>
          <w:sz w:val="28"/>
          <w:szCs w:val="28"/>
          <w:lang w:eastAsia="es-MX"/>
        </w:rPr>
      </w:pPr>
      <w:r w:rsidRPr="009B6965">
        <w:rPr>
          <w:rFonts w:ascii="Arial" w:eastAsia="Times New Roman" w:hAnsi="Arial" w:cs="Arial"/>
          <w:b/>
          <w:bCs/>
          <w:color w:val="000000" w:themeColor="text1"/>
          <w:sz w:val="28"/>
          <w:szCs w:val="28"/>
          <w:lang w:eastAsia="es-MX"/>
        </w:rPr>
        <w:t>Derecho a la consulta previa a personas con discapacidad.</w:t>
      </w:r>
    </w:p>
    <w:p w14:paraId="338E434B" w14:textId="77777777" w:rsidR="001E4656" w:rsidRPr="009B6965" w:rsidRDefault="001E4656" w:rsidP="00FA0A34">
      <w:pPr>
        <w:tabs>
          <w:tab w:val="left" w:pos="8931"/>
        </w:tabs>
        <w:spacing w:after="0" w:line="360" w:lineRule="auto"/>
        <w:jc w:val="both"/>
        <w:rPr>
          <w:rFonts w:ascii="Arial" w:hAnsi="Arial" w:cs="Arial"/>
          <w:b/>
          <w:color w:val="000000" w:themeColor="text1"/>
          <w:sz w:val="28"/>
          <w:szCs w:val="28"/>
        </w:rPr>
      </w:pPr>
    </w:p>
    <w:p w14:paraId="73B86B29" w14:textId="77777777" w:rsidR="001E4656" w:rsidRPr="009B6965" w:rsidRDefault="001E4656" w:rsidP="00FA0A34">
      <w:pPr>
        <w:tabs>
          <w:tab w:val="left" w:pos="8931"/>
        </w:tabs>
        <w:spacing w:after="0" w:line="360" w:lineRule="auto"/>
        <w:jc w:val="both"/>
        <w:rPr>
          <w:rFonts w:ascii="Arial" w:hAnsi="Arial" w:cs="Arial"/>
          <w:color w:val="000000" w:themeColor="text1"/>
          <w:sz w:val="28"/>
          <w:szCs w:val="28"/>
        </w:rPr>
      </w:pPr>
      <w:r w:rsidRPr="009B6965">
        <w:rPr>
          <w:rFonts w:ascii="Arial" w:hAnsi="Arial" w:cs="Arial"/>
          <w:color w:val="000000" w:themeColor="text1"/>
          <w:sz w:val="28"/>
          <w:szCs w:val="28"/>
        </w:rPr>
        <w:t xml:space="preserve">El fallo </w:t>
      </w:r>
      <w:r w:rsidRPr="009B6965">
        <w:rPr>
          <w:rFonts w:ascii="Arial" w:hAnsi="Arial" w:cs="Arial"/>
          <w:bCs/>
          <w:color w:val="000000" w:themeColor="text1"/>
          <w:sz w:val="28"/>
          <w:szCs w:val="28"/>
        </w:rPr>
        <w:t>recoge los lineamientos y estándares constitucionales y convencionales que he venido sosteniendo en los votos que he formulado desde el primer asunto en el que se discutió este tema,</w:t>
      </w:r>
      <w:r w:rsidRPr="009B6965">
        <w:rPr>
          <w:rFonts w:ascii="Arial" w:hAnsi="Arial" w:cs="Arial"/>
          <w:b/>
          <w:color w:val="000000" w:themeColor="text1"/>
          <w:sz w:val="28"/>
          <w:szCs w:val="28"/>
        </w:rPr>
        <w:t xml:space="preserve"> </w:t>
      </w:r>
      <w:r w:rsidRPr="009B6965">
        <w:rPr>
          <w:rFonts w:ascii="Arial" w:hAnsi="Arial" w:cs="Arial"/>
          <w:color w:val="000000" w:themeColor="text1"/>
          <w:sz w:val="28"/>
          <w:szCs w:val="28"/>
        </w:rPr>
        <w:t>por lo que no puedo estar más de acuerdo con las consideraciones torales en las que se apoya la determinación del Pleno.</w:t>
      </w:r>
    </w:p>
    <w:p w14:paraId="04F3F8B6" w14:textId="77777777" w:rsidR="001E4656" w:rsidRPr="009B6965" w:rsidRDefault="001E4656" w:rsidP="00FA0A34">
      <w:pPr>
        <w:tabs>
          <w:tab w:val="left" w:pos="8931"/>
        </w:tabs>
        <w:spacing w:after="0" w:line="360" w:lineRule="auto"/>
        <w:ind w:firstLine="708"/>
        <w:jc w:val="both"/>
        <w:rPr>
          <w:rFonts w:ascii="Arial" w:hAnsi="Arial" w:cs="Arial"/>
          <w:color w:val="000000" w:themeColor="text1"/>
          <w:sz w:val="28"/>
          <w:szCs w:val="28"/>
        </w:rPr>
      </w:pPr>
    </w:p>
    <w:p w14:paraId="1E99187D" w14:textId="77777777" w:rsidR="001E4656" w:rsidRPr="009B6965" w:rsidRDefault="001E4656" w:rsidP="00FA0A34">
      <w:pPr>
        <w:tabs>
          <w:tab w:val="left" w:pos="8931"/>
        </w:tabs>
        <w:spacing w:after="0" w:line="360" w:lineRule="auto"/>
        <w:ind w:firstLine="708"/>
        <w:jc w:val="both"/>
        <w:rPr>
          <w:rFonts w:ascii="Arial" w:hAnsi="Arial" w:cs="Arial"/>
          <w:color w:val="000000" w:themeColor="text1"/>
          <w:sz w:val="28"/>
          <w:szCs w:val="28"/>
        </w:rPr>
      </w:pPr>
      <w:r w:rsidRPr="009B6965">
        <w:rPr>
          <w:rFonts w:ascii="Arial" w:hAnsi="Arial" w:cs="Arial"/>
          <w:color w:val="000000" w:themeColor="text1"/>
          <w:sz w:val="28"/>
          <w:szCs w:val="28"/>
        </w:rPr>
        <w:t xml:space="preserve">No obstante, me parece que </w:t>
      </w:r>
      <w:r w:rsidRPr="009B6965">
        <w:rPr>
          <w:rFonts w:ascii="Arial" w:hAnsi="Arial" w:cs="Arial"/>
          <w:b/>
          <w:color w:val="000000" w:themeColor="text1"/>
          <w:sz w:val="28"/>
          <w:szCs w:val="28"/>
        </w:rPr>
        <w:t xml:space="preserve">dicho estándar pudo haberse robustecido aún más </w:t>
      </w:r>
      <w:r w:rsidRPr="009B6965">
        <w:rPr>
          <w:rFonts w:ascii="Arial" w:hAnsi="Arial" w:cs="Arial"/>
          <w:color w:val="000000" w:themeColor="text1"/>
          <w:sz w:val="28"/>
          <w:szCs w:val="28"/>
        </w:rPr>
        <w:t xml:space="preserve">con la inclusión expresa de uno de los principios rectores de la Convención sobre los Derechos de las Personas con Discapacidad a los que me he referido con anterioridad y que son retomados por la sentencia, aunque no como parte del parámetro </w:t>
      </w:r>
      <w:r w:rsidRPr="009B6965">
        <w:rPr>
          <w:rFonts w:ascii="Arial" w:hAnsi="Arial" w:cs="Arial"/>
          <w:color w:val="000000" w:themeColor="text1"/>
          <w:sz w:val="28"/>
          <w:szCs w:val="28"/>
        </w:rPr>
        <w:lastRenderedPageBreak/>
        <w:t xml:space="preserve">mínimo para la consulta previa en materia de discapacidad: </w:t>
      </w:r>
      <w:r w:rsidRPr="009B6965">
        <w:rPr>
          <w:rFonts w:ascii="Arial" w:hAnsi="Arial" w:cs="Arial"/>
          <w:bCs/>
          <w:color w:val="000000" w:themeColor="text1"/>
          <w:sz w:val="28"/>
          <w:szCs w:val="28"/>
        </w:rPr>
        <w:t>me refiero a la</w:t>
      </w:r>
      <w:r w:rsidRPr="009B6965">
        <w:rPr>
          <w:rFonts w:ascii="Arial" w:hAnsi="Arial" w:cs="Arial"/>
          <w:b/>
          <w:color w:val="000000" w:themeColor="text1"/>
          <w:sz w:val="28"/>
          <w:szCs w:val="28"/>
        </w:rPr>
        <w:t xml:space="preserve"> igualdad entre el hombre y la mujer</w:t>
      </w:r>
      <w:r w:rsidRPr="009B6965">
        <w:rPr>
          <w:rFonts w:ascii="Arial" w:hAnsi="Arial" w:cs="Arial"/>
          <w:color w:val="000000" w:themeColor="text1"/>
          <w:sz w:val="28"/>
          <w:szCs w:val="28"/>
        </w:rPr>
        <w:t xml:space="preserve">. </w:t>
      </w:r>
    </w:p>
    <w:p w14:paraId="724D39FD" w14:textId="77777777" w:rsidR="001E4656" w:rsidRPr="009B6965" w:rsidRDefault="001E4656" w:rsidP="00FA0A34">
      <w:pPr>
        <w:tabs>
          <w:tab w:val="left" w:pos="8931"/>
        </w:tabs>
        <w:spacing w:after="0" w:line="360" w:lineRule="auto"/>
        <w:ind w:firstLine="708"/>
        <w:jc w:val="both"/>
        <w:rPr>
          <w:rFonts w:ascii="Arial" w:hAnsi="Arial" w:cs="Arial"/>
          <w:color w:val="000000" w:themeColor="text1"/>
          <w:sz w:val="28"/>
          <w:szCs w:val="28"/>
        </w:rPr>
      </w:pPr>
    </w:p>
    <w:p w14:paraId="549E264C" w14:textId="653DE791" w:rsidR="001E4656" w:rsidRPr="009B6965" w:rsidRDefault="001E4656" w:rsidP="00FA0A34">
      <w:pPr>
        <w:tabs>
          <w:tab w:val="left" w:pos="8931"/>
        </w:tabs>
        <w:spacing w:after="0" w:line="360" w:lineRule="auto"/>
        <w:ind w:firstLine="708"/>
        <w:jc w:val="both"/>
        <w:rPr>
          <w:rFonts w:ascii="Arial" w:hAnsi="Arial" w:cs="Arial"/>
          <w:color w:val="000000" w:themeColor="text1"/>
          <w:sz w:val="28"/>
          <w:szCs w:val="28"/>
          <w:lang w:val="es-ES"/>
        </w:rPr>
      </w:pPr>
      <w:r w:rsidRPr="009B6965">
        <w:rPr>
          <w:rFonts w:ascii="Arial" w:hAnsi="Arial" w:cs="Arial"/>
          <w:color w:val="000000" w:themeColor="text1"/>
          <w:sz w:val="28"/>
          <w:szCs w:val="28"/>
        </w:rPr>
        <w:t xml:space="preserve">En efecto, en el preámbulo de la citada Convención se reconoce que </w:t>
      </w:r>
      <w:r w:rsidRPr="009B6965">
        <w:rPr>
          <w:rFonts w:ascii="Arial" w:hAnsi="Arial" w:cs="Arial"/>
          <w:b/>
          <w:color w:val="000000" w:themeColor="text1"/>
          <w:sz w:val="28"/>
          <w:szCs w:val="28"/>
        </w:rPr>
        <w:t>“las mujeres y las niñas con discapacidad suelen estar expuestas a un riesgo mayor, dentro y fuera del hogar, de violencia, lesiones o abuso, abandono o trato negligente, malos tratos o explotación”</w:t>
      </w:r>
      <w:r w:rsidRPr="009B6965">
        <w:rPr>
          <w:rFonts w:ascii="Arial" w:hAnsi="Arial" w:cs="Arial"/>
          <w:color w:val="000000" w:themeColor="text1"/>
          <w:sz w:val="28"/>
          <w:szCs w:val="28"/>
          <w:lang w:val="es-ES"/>
        </w:rPr>
        <w:t>. Así, dicho instrumento dedica los artículos 3, inciso g), y 6, a la protección de esa minoría en el ámbito de las personas con discapacidad:</w:t>
      </w:r>
    </w:p>
    <w:p w14:paraId="12E98C55" w14:textId="77777777" w:rsidR="00440A06" w:rsidRPr="009B6965" w:rsidRDefault="00440A06" w:rsidP="00FA0A34">
      <w:pPr>
        <w:tabs>
          <w:tab w:val="left" w:pos="8931"/>
        </w:tabs>
        <w:spacing w:after="0" w:line="360" w:lineRule="auto"/>
        <w:ind w:firstLine="708"/>
        <w:jc w:val="both"/>
        <w:rPr>
          <w:rFonts w:ascii="Arial" w:hAnsi="Arial" w:cs="Arial"/>
          <w:color w:val="000000" w:themeColor="text1"/>
          <w:sz w:val="28"/>
          <w:szCs w:val="28"/>
          <w:lang w:val="es-ES"/>
        </w:rPr>
      </w:pPr>
    </w:p>
    <w:p w14:paraId="5230199C" w14:textId="77777777" w:rsidR="001E4656" w:rsidRPr="009B6965" w:rsidRDefault="001E4656" w:rsidP="00FA0A34">
      <w:pPr>
        <w:tabs>
          <w:tab w:val="left" w:pos="8931"/>
        </w:tabs>
        <w:spacing w:after="0" w:line="240" w:lineRule="auto"/>
        <w:ind w:left="709"/>
        <w:jc w:val="center"/>
        <w:rPr>
          <w:rFonts w:ascii="Arial" w:hAnsi="Arial" w:cs="Arial"/>
          <w:b/>
          <w:color w:val="000000" w:themeColor="text1"/>
          <w:sz w:val="28"/>
          <w:szCs w:val="28"/>
        </w:rPr>
      </w:pPr>
      <w:r w:rsidRPr="009B6965">
        <w:rPr>
          <w:rFonts w:ascii="Arial" w:hAnsi="Arial" w:cs="Arial"/>
          <w:b/>
          <w:color w:val="000000" w:themeColor="text1"/>
          <w:sz w:val="28"/>
          <w:szCs w:val="28"/>
        </w:rPr>
        <w:t>Artículo 3</w:t>
      </w:r>
    </w:p>
    <w:p w14:paraId="62B7F713" w14:textId="5A3483E9" w:rsidR="001E4656" w:rsidRPr="009B6965" w:rsidRDefault="001E4656" w:rsidP="00FA0A34">
      <w:pPr>
        <w:tabs>
          <w:tab w:val="left" w:pos="8931"/>
        </w:tabs>
        <w:spacing w:after="0" w:line="240" w:lineRule="auto"/>
        <w:ind w:left="709"/>
        <w:jc w:val="center"/>
        <w:rPr>
          <w:rFonts w:ascii="Arial" w:hAnsi="Arial" w:cs="Arial"/>
          <w:b/>
          <w:color w:val="000000" w:themeColor="text1"/>
          <w:sz w:val="28"/>
          <w:szCs w:val="28"/>
        </w:rPr>
      </w:pPr>
      <w:r w:rsidRPr="009B6965">
        <w:rPr>
          <w:rFonts w:ascii="Arial" w:hAnsi="Arial" w:cs="Arial"/>
          <w:b/>
          <w:color w:val="000000" w:themeColor="text1"/>
          <w:sz w:val="28"/>
          <w:szCs w:val="28"/>
        </w:rPr>
        <w:t>Principios generales</w:t>
      </w:r>
    </w:p>
    <w:p w14:paraId="3D2F832B" w14:textId="511D0E3C" w:rsidR="001E4656" w:rsidRPr="009B6965" w:rsidRDefault="001E4656" w:rsidP="00FA0A34">
      <w:pPr>
        <w:tabs>
          <w:tab w:val="left" w:pos="8931"/>
        </w:tabs>
        <w:spacing w:after="0" w:line="276" w:lineRule="auto"/>
        <w:ind w:left="709"/>
        <w:jc w:val="both"/>
        <w:rPr>
          <w:rFonts w:ascii="Arial" w:hAnsi="Arial" w:cs="Arial"/>
          <w:color w:val="000000" w:themeColor="text1"/>
          <w:sz w:val="28"/>
          <w:szCs w:val="28"/>
          <w:lang w:val="es-ES"/>
        </w:rPr>
      </w:pPr>
      <w:r w:rsidRPr="009B6965">
        <w:rPr>
          <w:rFonts w:ascii="Arial" w:hAnsi="Arial" w:cs="Arial"/>
          <w:color w:val="000000" w:themeColor="text1"/>
          <w:sz w:val="28"/>
          <w:szCs w:val="28"/>
        </w:rPr>
        <w:t>Los principios de la presente Convención serán:</w:t>
      </w:r>
    </w:p>
    <w:p w14:paraId="62C7ED53" w14:textId="77777777" w:rsidR="001E4656" w:rsidRPr="009B6965" w:rsidRDefault="001E4656" w:rsidP="00FA0A34">
      <w:pPr>
        <w:tabs>
          <w:tab w:val="left" w:pos="8931"/>
        </w:tabs>
        <w:spacing w:after="0" w:line="276" w:lineRule="auto"/>
        <w:ind w:left="709"/>
        <w:jc w:val="both"/>
        <w:rPr>
          <w:rFonts w:ascii="Arial" w:hAnsi="Arial" w:cs="Arial"/>
          <w:color w:val="000000" w:themeColor="text1"/>
          <w:sz w:val="28"/>
          <w:szCs w:val="28"/>
          <w:lang w:val="es-ES"/>
        </w:rPr>
      </w:pPr>
      <w:r w:rsidRPr="009B6965">
        <w:rPr>
          <w:rFonts w:ascii="Arial" w:hAnsi="Arial" w:cs="Arial"/>
          <w:color w:val="000000" w:themeColor="text1"/>
          <w:sz w:val="28"/>
          <w:szCs w:val="28"/>
          <w:lang w:val="es-ES"/>
        </w:rPr>
        <w:t>[…]</w:t>
      </w:r>
    </w:p>
    <w:p w14:paraId="2AE867CA" w14:textId="77777777" w:rsidR="001E4656" w:rsidRPr="009B6965" w:rsidRDefault="001E4656" w:rsidP="00FA0A34">
      <w:pPr>
        <w:tabs>
          <w:tab w:val="left" w:pos="8931"/>
        </w:tabs>
        <w:spacing w:after="0" w:line="276" w:lineRule="auto"/>
        <w:ind w:left="709"/>
        <w:jc w:val="both"/>
        <w:rPr>
          <w:rFonts w:ascii="Arial" w:hAnsi="Arial" w:cs="Arial"/>
          <w:color w:val="000000" w:themeColor="text1"/>
          <w:sz w:val="28"/>
          <w:szCs w:val="28"/>
        </w:rPr>
      </w:pPr>
      <w:r w:rsidRPr="009B6965">
        <w:rPr>
          <w:rFonts w:ascii="Arial" w:hAnsi="Arial" w:cs="Arial"/>
          <w:color w:val="000000" w:themeColor="text1"/>
          <w:sz w:val="28"/>
          <w:szCs w:val="28"/>
        </w:rPr>
        <w:t>g) La igualdad entre el hombre y la mujer;</w:t>
      </w:r>
    </w:p>
    <w:p w14:paraId="4E028109" w14:textId="30AA3B38" w:rsidR="001E4656" w:rsidRPr="009B6965" w:rsidRDefault="001E4656" w:rsidP="00440A06">
      <w:pPr>
        <w:tabs>
          <w:tab w:val="left" w:pos="8931"/>
        </w:tabs>
        <w:spacing w:after="0" w:line="276" w:lineRule="auto"/>
        <w:ind w:left="709"/>
        <w:jc w:val="both"/>
        <w:rPr>
          <w:rFonts w:ascii="Arial" w:hAnsi="Arial" w:cs="Arial"/>
          <w:color w:val="000000" w:themeColor="text1"/>
          <w:sz w:val="28"/>
          <w:szCs w:val="28"/>
        </w:rPr>
      </w:pPr>
      <w:r w:rsidRPr="009B6965">
        <w:rPr>
          <w:rFonts w:ascii="Arial" w:hAnsi="Arial" w:cs="Arial"/>
          <w:color w:val="000000" w:themeColor="text1"/>
          <w:sz w:val="28"/>
          <w:szCs w:val="28"/>
        </w:rPr>
        <w:t>[…].</w:t>
      </w:r>
    </w:p>
    <w:p w14:paraId="0DAE9E0D" w14:textId="77777777" w:rsidR="00440A06" w:rsidRPr="009B6965" w:rsidRDefault="00440A06" w:rsidP="00440A06">
      <w:pPr>
        <w:tabs>
          <w:tab w:val="left" w:pos="8931"/>
        </w:tabs>
        <w:spacing w:after="0" w:line="276" w:lineRule="auto"/>
        <w:ind w:left="709"/>
        <w:jc w:val="both"/>
        <w:rPr>
          <w:rFonts w:ascii="Arial" w:hAnsi="Arial" w:cs="Arial"/>
          <w:color w:val="000000" w:themeColor="text1"/>
          <w:sz w:val="28"/>
          <w:szCs w:val="28"/>
        </w:rPr>
      </w:pPr>
    </w:p>
    <w:p w14:paraId="0C7BA78B" w14:textId="77777777" w:rsidR="001E4656" w:rsidRPr="009B6965" w:rsidRDefault="001E4656" w:rsidP="00FA0A34">
      <w:pPr>
        <w:tabs>
          <w:tab w:val="left" w:pos="8931"/>
        </w:tabs>
        <w:spacing w:after="0" w:line="240" w:lineRule="auto"/>
        <w:jc w:val="center"/>
        <w:rPr>
          <w:rFonts w:ascii="Arial" w:hAnsi="Arial" w:cs="Arial"/>
          <w:b/>
          <w:color w:val="000000" w:themeColor="text1"/>
          <w:sz w:val="28"/>
          <w:szCs w:val="28"/>
        </w:rPr>
      </w:pPr>
      <w:r w:rsidRPr="009B6965">
        <w:rPr>
          <w:rFonts w:ascii="Arial" w:hAnsi="Arial" w:cs="Arial"/>
          <w:b/>
          <w:color w:val="000000" w:themeColor="text1"/>
          <w:sz w:val="28"/>
          <w:szCs w:val="28"/>
        </w:rPr>
        <w:t>Artículo 6</w:t>
      </w:r>
    </w:p>
    <w:p w14:paraId="7ED729AD" w14:textId="77777777" w:rsidR="001E4656" w:rsidRPr="009B6965" w:rsidRDefault="001E4656" w:rsidP="00FA0A34">
      <w:pPr>
        <w:tabs>
          <w:tab w:val="left" w:pos="8931"/>
        </w:tabs>
        <w:spacing w:after="0" w:line="240" w:lineRule="auto"/>
        <w:ind w:left="709"/>
        <w:jc w:val="center"/>
        <w:rPr>
          <w:rFonts w:ascii="Arial" w:hAnsi="Arial" w:cs="Arial"/>
          <w:b/>
          <w:color w:val="000000" w:themeColor="text1"/>
          <w:sz w:val="28"/>
          <w:szCs w:val="28"/>
        </w:rPr>
      </w:pPr>
      <w:r w:rsidRPr="009B6965">
        <w:rPr>
          <w:rFonts w:ascii="Arial" w:hAnsi="Arial" w:cs="Arial"/>
          <w:b/>
          <w:color w:val="000000" w:themeColor="text1"/>
          <w:sz w:val="28"/>
          <w:szCs w:val="28"/>
        </w:rPr>
        <w:t>Mujeres con discapacidad</w:t>
      </w:r>
    </w:p>
    <w:p w14:paraId="1F66DC2B" w14:textId="77777777" w:rsidR="001E4656" w:rsidRPr="009B6965" w:rsidRDefault="001E4656" w:rsidP="00FA0A34">
      <w:pPr>
        <w:tabs>
          <w:tab w:val="left" w:pos="8931"/>
        </w:tabs>
        <w:spacing w:after="0" w:line="276" w:lineRule="auto"/>
        <w:ind w:left="709"/>
        <w:jc w:val="center"/>
        <w:rPr>
          <w:rFonts w:ascii="Arial" w:hAnsi="Arial" w:cs="Arial"/>
          <w:color w:val="000000" w:themeColor="text1"/>
          <w:sz w:val="28"/>
          <w:szCs w:val="28"/>
        </w:rPr>
      </w:pPr>
    </w:p>
    <w:p w14:paraId="2EC340A0" w14:textId="2D4863B9" w:rsidR="001E4656" w:rsidRPr="009B6965" w:rsidRDefault="001E4656" w:rsidP="00FA0A34">
      <w:pPr>
        <w:pStyle w:val="Prrafodelista"/>
        <w:numPr>
          <w:ilvl w:val="0"/>
          <w:numId w:val="6"/>
        </w:numPr>
        <w:tabs>
          <w:tab w:val="left" w:pos="8931"/>
        </w:tabs>
        <w:spacing w:after="0" w:line="276" w:lineRule="auto"/>
        <w:jc w:val="both"/>
        <w:rPr>
          <w:rFonts w:ascii="Arial" w:hAnsi="Arial" w:cs="Arial"/>
          <w:color w:val="000000" w:themeColor="text1"/>
          <w:sz w:val="28"/>
          <w:szCs w:val="28"/>
        </w:rPr>
      </w:pPr>
      <w:r w:rsidRPr="009B6965">
        <w:rPr>
          <w:rFonts w:ascii="Arial" w:hAnsi="Arial" w:cs="Arial"/>
          <w:color w:val="000000" w:themeColor="text1"/>
          <w:sz w:val="28"/>
          <w:szCs w:val="28"/>
        </w:rPr>
        <w:t xml:space="preserve">Los Estados Partes reconocen que las mujeres y niñas con discapacidad están sujetas a múltiples formas de discriminación y, a ese respecto, adoptarán medidas para asegurar que puedan disfrutar plenamente y en igualdad de condiciones de todos los derechos humanos y libertades fundamentales. </w:t>
      </w:r>
    </w:p>
    <w:p w14:paraId="4D2687CC" w14:textId="77777777" w:rsidR="001E4656" w:rsidRPr="009B6965" w:rsidRDefault="001E4656" w:rsidP="00FA0A34">
      <w:pPr>
        <w:pStyle w:val="Prrafodelista"/>
        <w:tabs>
          <w:tab w:val="left" w:pos="8931"/>
        </w:tabs>
        <w:spacing w:after="0" w:line="276" w:lineRule="auto"/>
        <w:ind w:left="1109"/>
        <w:jc w:val="both"/>
        <w:rPr>
          <w:rFonts w:ascii="Arial" w:hAnsi="Arial" w:cs="Arial"/>
          <w:color w:val="000000" w:themeColor="text1"/>
          <w:sz w:val="28"/>
          <w:szCs w:val="28"/>
        </w:rPr>
      </w:pPr>
    </w:p>
    <w:p w14:paraId="1DCB9D03" w14:textId="5E45971E" w:rsidR="001E4656" w:rsidRPr="009B6965" w:rsidRDefault="001E4656" w:rsidP="00FA0A34">
      <w:pPr>
        <w:pStyle w:val="Prrafodelista"/>
        <w:numPr>
          <w:ilvl w:val="0"/>
          <w:numId w:val="6"/>
        </w:numPr>
        <w:tabs>
          <w:tab w:val="left" w:pos="8931"/>
        </w:tabs>
        <w:spacing w:after="0" w:line="276" w:lineRule="auto"/>
        <w:jc w:val="both"/>
        <w:rPr>
          <w:rFonts w:ascii="Arial" w:hAnsi="Arial" w:cs="Arial"/>
          <w:color w:val="000000" w:themeColor="text1"/>
          <w:sz w:val="28"/>
          <w:szCs w:val="28"/>
        </w:rPr>
      </w:pPr>
      <w:r w:rsidRPr="009B6965">
        <w:rPr>
          <w:rFonts w:ascii="Arial" w:hAnsi="Arial" w:cs="Arial"/>
          <w:color w:val="000000" w:themeColor="text1"/>
          <w:sz w:val="28"/>
          <w:szCs w:val="28"/>
        </w:rPr>
        <w:t>Los Estados Partes tomarán todas las medidas pertinentes para asegurar el pleno desarrollo, adelanto y potenciación de la mujer, con el propósito de garantizarle el ejercicio y goce de los derechos humanos y las libertades fundamentales establecidos en la presente Convención.</w:t>
      </w:r>
    </w:p>
    <w:p w14:paraId="27533988" w14:textId="77777777" w:rsidR="001E4656" w:rsidRPr="009B6965" w:rsidRDefault="001E4656" w:rsidP="00FA0A34">
      <w:pPr>
        <w:tabs>
          <w:tab w:val="left" w:pos="8931"/>
        </w:tabs>
        <w:spacing w:after="0" w:line="360" w:lineRule="auto"/>
        <w:ind w:firstLine="708"/>
        <w:jc w:val="both"/>
        <w:rPr>
          <w:rFonts w:ascii="Arial" w:hAnsi="Arial" w:cs="Arial"/>
          <w:color w:val="000000" w:themeColor="text1"/>
          <w:sz w:val="28"/>
          <w:szCs w:val="28"/>
          <w:lang w:val="es-ES"/>
        </w:rPr>
      </w:pPr>
    </w:p>
    <w:p w14:paraId="3ED2EE26" w14:textId="77777777" w:rsidR="001E4656" w:rsidRPr="009B6965" w:rsidRDefault="001E4656" w:rsidP="00FA0A34">
      <w:pPr>
        <w:tabs>
          <w:tab w:val="left" w:pos="8931"/>
        </w:tabs>
        <w:spacing w:after="0" w:line="360" w:lineRule="auto"/>
        <w:ind w:firstLine="708"/>
        <w:jc w:val="both"/>
        <w:rPr>
          <w:rFonts w:ascii="Arial" w:hAnsi="Arial" w:cs="Arial"/>
          <w:color w:val="000000" w:themeColor="text1"/>
          <w:sz w:val="28"/>
          <w:szCs w:val="28"/>
        </w:rPr>
      </w:pPr>
      <w:r w:rsidRPr="009B6965">
        <w:rPr>
          <w:rFonts w:ascii="Arial" w:hAnsi="Arial" w:cs="Arial"/>
          <w:color w:val="000000" w:themeColor="text1"/>
          <w:sz w:val="28"/>
          <w:szCs w:val="28"/>
          <w:lang w:val="es-ES"/>
        </w:rPr>
        <w:lastRenderedPageBreak/>
        <w:t xml:space="preserve">En ese sentido, dada la innegable situación de desigualdad y vulnerabilidad en la que se encuentran las mujeres y niñas (especialmente tratándose de aspectos tan delicados como lo es la discapacidad), en un contexto como el de México, en el que dicha circunstancia se acentúa aún más por diversos factores histórico-sociales, considero que era de suma importancia visibilizar esta situación y garantizar la participación de las mujeres en los mecanismos de consulta, incluyéndola dentro del estándar mínimo de validez constitucional en esta materia. Máxime que tal protección ya está prevista en la propia Convención </w:t>
      </w:r>
      <w:r w:rsidRPr="009B6965">
        <w:rPr>
          <w:rFonts w:ascii="Arial" w:hAnsi="Arial" w:cs="Arial"/>
          <w:color w:val="000000" w:themeColor="text1"/>
          <w:sz w:val="28"/>
          <w:szCs w:val="28"/>
        </w:rPr>
        <w:t>sobre los Derechos de las Personas con Discapacidad.</w:t>
      </w:r>
    </w:p>
    <w:p w14:paraId="3D06F62E" w14:textId="232CF9BF" w:rsidR="001E4656" w:rsidRPr="009B6965" w:rsidRDefault="001E4656" w:rsidP="00FA0A34">
      <w:pPr>
        <w:spacing w:after="0" w:line="360" w:lineRule="auto"/>
        <w:jc w:val="both"/>
        <w:rPr>
          <w:rFonts w:ascii="Arial" w:hAnsi="Arial" w:cs="Arial"/>
          <w:color w:val="000000" w:themeColor="text1"/>
          <w:sz w:val="28"/>
          <w:szCs w:val="28"/>
          <w:lang w:eastAsia="es-MX"/>
        </w:rPr>
      </w:pPr>
    </w:p>
    <w:p w14:paraId="18A3F9C1" w14:textId="77777777" w:rsidR="009B6965" w:rsidRPr="009B6965" w:rsidRDefault="009B6965" w:rsidP="00FA0A34">
      <w:pPr>
        <w:pStyle w:val="NormalWeb"/>
        <w:spacing w:before="0" w:beforeAutospacing="0" w:after="0" w:afterAutospacing="0" w:line="360" w:lineRule="auto"/>
        <w:jc w:val="both"/>
        <w:rPr>
          <w:rFonts w:ascii="Arial" w:hAnsi="Arial" w:cs="Arial"/>
          <w:color w:val="000000" w:themeColor="text1"/>
          <w:sz w:val="28"/>
          <w:szCs w:val="28"/>
        </w:rPr>
      </w:pPr>
    </w:p>
    <w:p w14:paraId="0870D39F" w14:textId="688A7810" w:rsidR="001E4656" w:rsidRPr="009B6965" w:rsidRDefault="001E4656" w:rsidP="00FA0A34">
      <w:pPr>
        <w:spacing w:after="0" w:line="360" w:lineRule="auto"/>
        <w:ind w:firstLine="709"/>
        <w:jc w:val="center"/>
        <w:rPr>
          <w:rFonts w:ascii="Arial" w:eastAsia="Times New Roman" w:hAnsi="Arial" w:cs="Arial"/>
          <w:b/>
          <w:color w:val="000000" w:themeColor="text1"/>
          <w:sz w:val="28"/>
          <w:szCs w:val="28"/>
          <w:lang w:eastAsia="es-ES"/>
        </w:rPr>
      </w:pPr>
      <w:r w:rsidRPr="009B6965">
        <w:rPr>
          <w:rFonts w:ascii="Arial" w:eastAsia="Times New Roman" w:hAnsi="Arial" w:cs="Arial"/>
          <w:b/>
          <w:color w:val="000000" w:themeColor="text1"/>
          <w:sz w:val="28"/>
          <w:szCs w:val="28"/>
          <w:lang w:eastAsia="es-ES"/>
        </w:rPr>
        <w:t>MINISTRO PRESIDENTE</w:t>
      </w:r>
    </w:p>
    <w:p w14:paraId="72E978CA" w14:textId="77777777" w:rsidR="00765809" w:rsidRDefault="00765809" w:rsidP="00FA0A34">
      <w:pPr>
        <w:spacing w:after="0" w:line="360" w:lineRule="auto"/>
        <w:ind w:firstLine="709"/>
        <w:jc w:val="center"/>
        <w:rPr>
          <w:rFonts w:ascii="Arial" w:eastAsia="Times New Roman" w:hAnsi="Arial" w:cs="Arial"/>
          <w:b/>
          <w:color w:val="000000" w:themeColor="text1"/>
          <w:sz w:val="28"/>
          <w:szCs w:val="28"/>
          <w:lang w:eastAsia="es-ES"/>
        </w:rPr>
      </w:pPr>
    </w:p>
    <w:p w14:paraId="03BEA3BA" w14:textId="77777777" w:rsidR="00765809" w:rsidRDefault="00765809" w:rsidP="00FA0A34">
      <w:pPr>
        <w:spacing w:after="0" w:line="360" w:lineRule="auto"/>
        <w:ind w:firstLine="709"/>
        <w:jc w:val="center"/>
        <w:rPr>
          <w:rFonts w:ascii="Arial" w:eastAsia="Times New Roman" w:hAnsi="Arial" w:cs="Arial"/>
          <w:b/>
          <w:color w:val="000000" w:themeColor="text1"/>
          <w:sz w:val="28"/>
          <w:szCs w:val="28"/>
          <w:lang w:eastAsia="es-ES"/>
        </w:rPr>
      </w:pPr>
    </w:p>
    <w:p w14:paraId="4BCB29B4" w14:textId="77777777" w:rsidR="00765809" w:rsidRDefault="00765809" w:rsidP="00FA0A34">
      <w:pPr>
        <w:spacing w:after="0" w:line="360" w:lineRule="auto"/>
        <w:ind w:firstLine="709"/>
        <w:jc w:val="center"/>
        <w:rPr>
          <w:rFonts w:ascii="Arial" w:eastAsia="Times New Roman" w:hAnsi="Arial" w:cs="Arial"/>
          <w:b/>
          <w:color w:val="000000" w:themeColor="text1"/>
          <w:sz w:val="28"/>
          <w:szCs w:val="28"/>
          <w:lang w:eastAsia="es-ES"/>
        </w:rPr>
      </w:pPr>
    </w:p>
    <w:p w14:paraId="6B7331E8" w14:textId="439BD1C4" w:rsidR="001E4656" w:rsidRPr="009B6965" w:rsidRDefault="001E4656" w:rsidP="00FA0A34">
      <w:pPr>
        <w:spacing w:after="0" w:line="360" w:lineRule="auto"/>
        <w:ind w:firstLine="709"/>
        <w:jc w:val="center"/>
        <w:rPr>
          <w:rFonts w:ascii="Arial" w:eastAsia="Times New Roman" w:hAnsi="Arial" w:cs="Arial"/>
          <w:b/>
          <w:color w:val="000000" w:themeColor="text1"/>
          <w:sz w:val="28"/>
          <w:szCs w:val="28"/>
          <w:lang w:eastAsia="es-ES"/>
        </w:rPr>
      </w:pPr>
      <w:r w:rsidRPr="009B6965">
        <w:rPr>
          <w:rFonts w:ascii="Arial" w:eastAsia="Times New Roman" w:hAnsi="Arial" w:cs="Arial"/>
          <w:b/>
          <w:color w:val="000000" w:themeColor="text1"/>
          <w:sz w:val="28"/>
          <w:szCs w:val="28"/>
          <w:lang w:eastAsia="es-ES"/>
        </w:rPr>
        <w:t>ARTURO ZALDÍVAR LELO DE LARREA</w:t>
      </w:r>
    </w:p>
    <w:p w14:paraId="7D45B0A5" w14:textId="099B8983" w:rsidR="00192F8C" w:rsidRPr="009B6965" w:rsidRDefault="00192F8C" w:rsidP="00FA0A34">
      <w:pPr>
        <w:spacing w:after="0"/>
        <w:rPr>
          <w:rFonts w:ascii="Arial" w:hAnsi="Arial" w:cs="Arial"/>
          <w:color w:val="000000" w:themeColor="text1"/>
          <w:sz w:val="28"/>
          <w:szCs w:val="28"/>
        </w:rPr>
      </w:pPr>
    </w:p>
    <w:sectPr w:rsidR="00192F8C" w:rsidRPr="009B6965" w:rsidSect="007C3F52">
      <w:headerReference w:type="even" r:id="rId8"/>
      <w:headerReference w:type="default" r:id="rId9"/>
      <w:footerReference w:type="even" r:id="rId10"/>
      <w:footerReference w:type="default" r:id="rId11"/>
      <w:headerReference w:type="first" r:id="rId12"/>
      <w:pgSz w:w="12183" w:h="17858" w:code="345"/>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9D53D" w14:textId="77777777" w:rsidR="00E35BFF" w:rsidRDefault="00E35BFF" w:rsidP="004D538E">
      <w:pPr>
        <w:spacing w:after="0" w:line="240" w:lineRule="auto"/>
      </w:pPr>
      <w:r>
        <w:separator/>
      </w:r>
    </w:p>
  </w:endnote>
  <w:endnote w:type="continuationSeparator" w:id="0">
    <w:p w14:paraId="5ABC8DA1" w14:textId="77777777" w:rsidR="00E35BFF" w:rsidRDefault="00E35BFF" w:rsidP="004D5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973312"/>
      <w:docPartObj>
        <w:docPartGallery w:val="Page Numbers (Bottom of Page)"/>
        <w:docPartUnique/>
      </w:docPartObj>
    </w:sdtPr>
    <w:sdtEndPr>
      <w:rPr>
        <w:rFonts w:ascii="Arial" w:hAnsi="Arial" w:cs="Arial"/>
        <w:sz w:val="24"/>
        <w:szCs w:val="24"/>
      </w:rPr>
    </w:sdtEndPr>
    <w:sdtContent>
      <w:p w14:paraId="0D5D9218" w14:textId="7D30A31E" w:rsidR="00A5708D" w:rsidRPr="00A5708D" w:rsidRDefault="00A5708D">
        <w:pPr>
          <w:pStyle w:val="Piedepgina"/>
          <w:rPr>
            <w:rFonts w:ascii="Arial" w:hAnsi="Arial" w:cs="Arial"/>
            <w:sz w:val="24"/>
            <w:szCs w:val="24"/>
          </w:rPr>
        </w:pPr>
        <w:r w:rsidRPr="00A5708D">
          <w:rPr>
            <w:rFonts w:ascii="Arial" w:hAnsi="Arial" w:cs="Arial"/>
            <w:sz w:val="24"/>
            <w:szCs w:val="24"/>
          </w:rPr>
          <w:fldChar w:fldCharType="begin"/>
        </w:r>
        <w:r w:rsidRPr="00A5708D">
          <w:rPr>
            <w:rFonts w:ascii="Arial" w:hAnsi="Arial" w:cs="Arial"/>
            <w:sz w:val="24"/>
            <w:szCs w:val="24"/>
          </w:rPr>
          <w:instrText>PAGE   \* MERGEFORMAT</w:instrText>
        </w:r>
        <w:r w:rsidRPr="00A5708D">
          <w:rPr>
            <w:rFonts w:ascii="Arial" w:hAnsi="Arial" w:cs="Arial"/>
            <w:sz w:val="24"/>
            <w:szCs w:val="24"/>
          </w:rPr>
          <w:fldChar w:fldCharType="separate"/>
        </w:r>
        <w:r w:rsidR="00440A06" w:rsidRPr="00440A06">
          <w:rPr>
            <w:rFonts w:ascii="Arial" w:hAnsi="Arial" w:cs="Arial"/>
            <w:noProof/>
            <w:sz w:val="24"/>
            <w:szCs w:val="24"/>
            <w:lang w:val="es-ES"/>
          </w:rPr>
          <w:t>12</w:t>
        </w:r>
        <w:r w:rsidRPr="00A5708D">
          <w:rPr>
            <w:rFonts w:ascii="Arial" w:hAnsi="Arial" w:cs="Arial"/>
            <w:sz w:val="24"/>
            <w:szCs w:val="24"/>
          </w:rPr>
          <w:fldChar w:fldCharType="end"/>
        </w:r>
      </w:p>
    </w:sdtContent>
  </w:sdt>
  <w:p w14:paraId="7C4552DA" w14:textId="77777777" w:rsidR="007C3F52" w:rsidRDefault="007C3F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15505"/>
      <w:docPartObj>
        <w:docPartGallery w:val="Page Numbers (Bottom of Page)"/>
        <w:docPartUnique/>
      </w:docPartObj>
    </w:sdtPr>
    <w:sdtEndPr>
      <w:rPr>
        <w:rFonts w:ascii="Arial" w:hAnsi="Arial" w:cs="Arial"/>
        <w:sz w:val="24"/>
        <w:szCs w:val="24"/>
      </w:rPr>
    </w:sdtEndPr>
    <w:sdtContent>
      <w:p w14:paraId="344ABC4D" w14:textId="5AA46B91" w:rsidR="00A5708D" w:rsidRPr="00A5708D" w:rsidRDefault="00A5708D">
        <w:pPr>
          <w:pStyle w:val="Piedepgina"/>
          <w:jc w:val="right"/>
          <w:rPr>
            <w:rFonts w:ascii="Arial" w:hAnsi="Arial" w:cs="Arial"/>
            <w:sz w:val="24"/>
            <w:szCs w:val="24"/>
          </w:rPr>
        </w:pPr>
        <w:r w:rsidRPr="00A5708D">
          <w:rPr>
            <w:rFonts w:ascii="Arial" w:hAnsi="Arial" w:cs="Arial"/>
            <w:sz w:val="24"/>
            <w:szCs w:val="24"/>
          </w:rPr>
          <w:fldChar w:fldCharType="begin"/>
        </w:r>
        <w:r w:rsidRPr="00A5708D">
          <w:rPr>
            <w:rFonts w:ascii="Arial" w:hAnsi="Arial" w:cs="Arial"/>
            <w:sz w:val="24"/>
            <w:szCs w:val="24"/>
          </w:rPr>
          <w:instrText>PAGE   \* MERGEFORMAT</w:instrText>
        </w:r>
        <w:r w:rsidRPr="00A5708D">
          <w:rPr>
            <w:rFonts w:ascii="Arial" w:hAnsi="Arial" w:cs="Arial"/>
            <w:sz w:val="24"/>
            <w:szCs w:val="24"/>
          </w:rPr>
          <w:fldChar w:fldCharType="separate"/>
        </w:r>
        <w:r w:rsidR="00440A06" w:rsidRPr="00440A06">
          <w:rPr>
            <w:rFonts w:ascii="Arial" w:hAnsi="Arial" w:cs="Arial"/>
            <w:noProof/>
            <w:sz w:val="24"/>
            <w:szCs w:val="24"/>
            <w:lang w:val="es-ES"/>
          </w:rPr>
          <w:t>13</w:t>
        </w:r>
        <w:r w:rsidRPr="00A5708D">
          <w:rPr>
            <w:rFonts w:ascii="Arial" w:hAnsi="Arial" w:cs="Arial"/>
            <w:sz w:val="24"/>
            <w:szCs w:val="24"/>
          </w:rPr>
          <w:fldChar w:fldCharType="end"/>
        </w:r>
      </w:p>
    </w:sdtContent>
  </w:sdt>
  <w:p w14:paraId="46319A95" w14:textId="77777777" w:rsidR="007C3F52" w:rsidRDefault="007C3F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A5D26" w14:textId="77777777" w:rsidR="00E35BFF" w:rsidRDefault="00E35BFF" w:rsidP="004D538E">
      <w:pPr>
        <w:spacing w:after="0" w:line="240" w:lineRule="auto"/>
      </w:pPr>
      <w:r>
        <w:separator/>
      </w:r>
    </w:p>
  </w:footnote>
  <w:footnote w:type="continuationSeparator" w:id="0">
    <w:p w14:paraId="22BFF068" w14:textId="77777777" w:rsidR="00E35BFF" w:rsidRDefault="00E35BFF" w:rsidP="004D538E">
      <w:pPr>
        <w:spacing w:after="0" w:line="240" w:lineRule="auto"/>
      </w:pPr>
      <w:r>
        <w:continuationSeparator/>
      </w:r>
    </w:p>
  </w:footnote>
  <w:footnote w:id="1">
    <w:p w14:paraId="6AB85043" w14:textId="77777777" w:rsidR="007571CE" w:rsidRPr="009B6965" w:rsidRDefault="007571CE" w:rsidP="009B6965">
      <w:pPr>
        <w:pStyle w:val="Textonotapie"/>
        <w:jc w:val="both"/>
        <w:rPr>
          <w:rFonts w:ascii="Arial" w:hAnsi="Arial" w:cs="Arial"/>
        </w:rPr>
      </w:pPr>
      <w:r w:rsidRPr="009B6965">
        <w:rPr>
          <w:rStyle w:val="Refdenotaalpie"/>
          <w:rFonts w:ascii="Arial" w:hAnsi="Arial" w:cs="Arial"/>
        </w:rPr>
        <w:footnoteRef/>
      </w:r>
      <w:r w:rsidRPr="009B6965">
        <w:rPr>
          <w:rFonts w:ascii="Arial" w:hAnsi="Arial" w:cs="Arial"/>
        </w:rPr>
        <w:t xml:space="preserve"> Por ejemplo, en las controversias constitucionales 38/2019, 28/2019 y 39/2019, resueltas el tres de noviembre de dos mil veinte, en las que diversos Municipios del Estado de Tlaxacala impugnaron preceptos de la Ley Municipal del Estado de Tlaxcala. Las Ministras Esquivel Mossa, Piña Hernández y Ríos Farjat, así como los Ministros González Alcántara Carrancá, Franco González Salas, Aguilar Morales, Pardo Rebolledo, Laynez Potisek y Pérez Dayán estimaron que no era necesaria la consulta previa a los pueblos y comunidades indígenas y afromexicanas, de manera que la falta de consulta no implicó la invalidez de la norma.</w:t>
      </w:r>
    </w:p>
    <w:p w14:paraId="3BEBFD52" w14:textId="77777777" w:rsidR="007571CE" w:rsidRPr="009B6965" w:rsidRDefault="007571CE" w:rsidP="009B6965">
      <w:pPr>
        <w:pStyle w:val="Textonotapie"/>
        <w:jc w:val="both"/>
        <w:rPr>
          <w:rFonts w:ascii="Arial" w:hAnsi="Arial" w:cs="Arial"/>
        </w:rPr>
      </w:pPr>
      <w:r w:rsidRPr="009B6965">
        <w:rPr>
          <w:rFonts w:ascii="Arial" w:hAnsi="Arial" w:cs="Arial"/>
        </w:rPr>
        <w:t>De igual forma, en la acción de inconstitucionalidad 61/2019, fallada el doce de enero de dos mil veintiuno, una mayoría de seis de los integrantes del Pleno (Ministros Franco González Salas, Aguilar Morales, Pardo Rebolledo y Pérez Dayán y las Ministras Ríos Farjat y Esquivel Mossa) votaron en contra de la propuesta de invalidar la totalidad del ordenamiento por falta de consulta indígena y a las personas con discapacidad (los Ministros Gutiérrez Ortiz Mena, González Alcántara Carrancá, Piña Hernández, Laynez Potisek y Presidente Zaldívar Lelo de Larrea votaron a favor de esta propuesta).</w:t>
      </w:r>
    </w:p>
  </w:footnote>
  <w:footnote w:id="2">
    <w:p w14:paraId="5FD7EE67" w14:textId="77777777" w:rsidR="001E4656" w:rsidRPr="009B6965" w:rsidRDefault="001E4656" w:rsidP="009B6965">
      <w:pPr>
        <w:spacing w:after="0" w:line="240" w:lineRule="auto"/>
        <w:jc w:val="both"/>
        <w:rPr>
          <w:rFonts w:ascii="Arial" w:hAnsi="Arial" w:cs="Arial"/>
          <w:lang w:val="es-ES_tradnl"/>
        </w:rPr>
      </w:pPr>
      <w:r w:rsidRPr="009B6965">
        <w:rPr>
          <w:rStyle w:val="Refdenotaalpie"/>
          <w:rFonts w:ascii="Arial" w:hAnsi="Arial" w:cs="Arial"/>
        </w:rPr>
        <w:footnoteRef/>
      </w:r>
      <w:r w:rsidRPr="009B6965">
        <w:rPr>
          <w:rFonts w:ascii="Arial" w:hAnsi="Arial" w:cs="Arial"/>
        </w:rPr>
        <w:t xml:space="preserve"> Es preciso señalar que el Convenio 169 de la Organización Internacional del Trabajo (OIT) aplica también a los pueblos tribales y la Corte Interamericana de Derechos Humanos ha reconocido -en diversos casos como en “Pueblos Kaliña y Lokono vs. Surinam”, “Pueblo Saramaka Vs. Surinam”, “Comunidad Garífuna de Punta de Piedra y sus miembros Vs. Honduras”, y “Comunidad Garífuna Triunfo de La Cruz y sus miembros Vs Honduras”- que las personas afrodescendientes se amparan bajo el concepto de pueblos tribales. En ese sentido, dicha Corte ha sido consistente en señalar que los estándares sobre los derechos de los pueblos indígenas también son aplicables a los pueblos tribales.</w:t>
      </w:r>
    </w:p>
  </w:footnote>
  <w:footnote w:id="3">
    <w:p w14:paraId="79E1D3EF" w14:textId="6579A48F" w:rsidR="001E4656" w:rsidRPr="009B6965" w:rsidRDefault="001E4656" w:rsidP="009B6965">
      <w:pPr>
        <w:spacing w:after="0" w:line="240" w:lineRule="auto"/>
        <w:jc w:val="both"/>
        <w:rPr>
          <w:rFonts w:ascii="Arial" w:hAnsi="Arial" w:cs="Arial"/>
          <w:b/>
        </w:rPr>
      </w:pPr>
      <w:r w:rsidRPr="009B6965">
        <w:rPr>
          <w:rStyle w:val="Refdenotaalpie"/>
          <w:rFonts w:ascii="Arial" w:hAnsi="Arial" w:cs="Arial"/>
        </w:rPr>
        <w:footnoteRef/>
      </w:r>
      <w:r w:rsidRPr="009B6965">
        <w:rPr>
          <w:rFonts w:ascii="Arial" w:hAnsi="Arial" w:cs="Arial"/>
        </w:rPr>
        <w:t xml:space="preserve"> Tesis con número de identificación P./J. 21/2014 (10a.), publicada en el Semanario Judicial de la Federación el veinticinco de abril de dos mil catorce, Décima Época, de título y subtítulo: “</w:t>
      </w:r>
      <w:r w:rsidRPr="009B6965">
        <w:rPr>
          <w:rFonts w:ascii="Arial" w:hAnsi="Arial" w:cs="Arial"/>
          <w:b/>
        </w:rPr>
        <w:t>JURISPRUDENCIA EMITIDA POR LA CORTE INTERAMERICANA DE DERECHOS HUMANOS. ES VINCULANTE PARA LOS JUECES MEXICANOS SIEMPRE QUE SEA MÁS FAVORABLE A LA PERSONA”.</w:t>
      </w:r>
    </w:p>
  </w:footnote>
  <w:footnote w:id="4">
    <w:p w14:paraId="678C74F4" w14:textId="77777777" w:rsidR="001E4656" w:rsidRPr="009B6965" w:rsidRDefault="001E4656" w:rsidP="009B6965">
      <w:pPr>
        <w:pStyle w:val="Textonotapie"/>
        <w:jc w:val="both"/>
        <w:rPr>
          <w:rFonts w:ascii="Arial" w:hAnsi="Arial" w:cs="Arial"/>
        </w:rPr>
      </w:pPr>
      <w:r w:rsidRPr="009B6965">
        <w:rPr>
          <w:rStyle w:val="Refdenotaalpie"/>
          <w:rFonts w:ascii="Arial" w:hAnsi="Arial" w:cs="Arial"/>
        </w:rPr>
        <w:footnoteRef/>
      </w:r>
      <w:r w:rsidRPr="009B6965">
        <w:rPr>
          <w:rFonts w:ascii="Arial" w:hAnsi="Arial" w:cs="Arial"/>
        </w:rPr>
        <w:t xml:space="preserve"> Informe </w:t>
      </w:r>
      <w:r w:rsidRPr="009B6965">
        <w:rPr>
          <w:rFonts w:ascii="Arial" w:hAnsi="Arial" w:cs="Arial"/>
          <w:i/>
        </w:rPr>
        <w:t>A/HRC/12/34</w:t>
      </w:r>
      <w:r w:rsidRPr="009B6965">
        <w:rPr>
          <w:rFonts w:ascii="Arial" w:hAnsi="Arial" w:cs="Arial"/>
        </w:rPr>
        <w:t xml:space="preserve"> supra nota 15. Informe A/HRC/21/47 del Relator Especial sobre la situación de los derechos humanos y las libertades fundamentales de los indígenas James Anaya. Informe del Relator Especial sobre la situación de los derechos humanos y las libertades fundamentales de los indígenas James Anaya, sobre Principios Internacionales Aplicables a la Consulta en Relación con la Reforma Constitucional en Materia de Derechos de los Pueblos Indígenas en Chile.</w:t>
      </w:r>
    </w:p>
  </w:footnote>
  <w:footnote w:id="5">
    <w:p w14:paraId="126F9BAC" w14:textId="77777777" w:rsidR="001E4656" w:rsidRPr="009B6965" w:rsidRDefault="001E4656" w:rsidP="009B6965">
      <w:pPr>
        <w:pStyle w:val="Textonotapie"/>
        <w:jc w:val="both"/>
        <w:rPr>
          <w:rFonts w:ascii="Arial" w:hAnsi="Arial" w:cs="Arial"/>
        </w:rPr>
      </w:pPr>
      <w:r w:rsidRPr="009B6965">
        <w:rPr>
          <w:rStyle w:val="Refdenotaalpie"/>
          <w:rFonts w:ascii="Arial" w:hAnsi="Arial" w:cs="Arial"/>
        </w:rPr>
        <w:footnoteRef/>
      </w:r>
      <w:r w:rsidRPr="009B6965">
        <w:rPr>
          <w:rFonts w:ascii="Arial" w:hAnsi="Arial" w:cs="Arial"/>
        </w:rPr>
        <w:t xml:space="preserve"> Caso del Pueblo Saramaka vs. Surinam. Excepciones Preliminares, Fondo, Reparaciones y Costas. Sentencia de 28 de noviembre de 2007. Serie C No. 172, párr. 135; y Caso Yatama Vs. Nicaragua. Excepciones Preliminares, Fondo, Reparaciones y Costas. Sentencia de 23 de junio de 2005. Serie C No. 127, párr. 259.</w:t>
      </w:r>
    </w:p>
  </w:footnote>
  <w:footnote w:id="6">
    <w:p w14:paraId="5EB3BF98" w14:textId="77777777" w:rsidR="001E4656" w:rsidRPr="009B6965" w:rsidRDefault="001E4656" w:rsidP="009B6965">
      <w:pPr>
        <w:autoSpaceDE w:val="0"/>
        <w:autoSpaceDN w:val="0"/>
        <w:adjustRightInd w:val="0"/>
        <w:spacing w:after="0" w:line="240" w:lineRule="auto"/>
        <w:jc w:val="both"/>
        <w:rPr>
          <w:rFonts w:ascii="Arial" w:hAnsi="Arial" w:cs="Arial"/>
          <w:lang w:val="es-ES_tradnl"/>
        </w:rPr>
      </w:pPr>
      <w:r w:rsidRPr="009B6965">
        <w:rPr>
          <w:rStyle w:val="Refdenotaalpie"/>
          <w:rFonts w:ascii="Arial" w:hAnsi="Arial" w:cs="Arial"/>
        </w:rPr>
        <w:footnoteRef/>
      </w:r>
      <w:r w:rsidRPr="009B6965">
        <w:rPr>
          <w:rFonts w:ascii="Arial" w:hAnsi="Arial" w:cs="Arial"/>
        </w:rPr>
        <w:t xml:space="preserve"> Los principios de consulta y consentimiento son fundamentales para los derechos de participación y libre determinación, y constituyen salvaguardias de todos los derechos de los pueblos indígenas que podrían verse afectados por actores externos, incluidos los derechos que asisten a los pueblos indígenas con arreglo al derecho interno o a los tratados a los que se han suscrito, o los derechos reconocidos y protegidos por fuentes internacionales autorizadas como la Declaración de las Naciones Unidas sobre los derechos de los pueblos indígenas y los diversos tratados multilaterales ampliamente ratificados. (véase Informe </w:t>
      </w:r>
      <w:r w:rsidRPr="009B6965">
        <w:rPr>
          <w:rFonts w:ascii="Arial" w:hAnsi="Arial" w:cs="Arial"/>
          <w:i/>
        </w:rPr>
        <w:t>A/HRC/21/47</w:t>
      </w:r>
      <w:r w:rsidRPr="009B6965">
        <w:rPr>
          <w:rFonts w:ascii="Arial" w:hAnsi="Arial" w:cs="Arial"/>
        </w:rPr>
        <w:t>, supra nota 18, párr. 50).</w:t>
      </w:r>
    </w:p>
  </w:footnote>
  <w:footnote w:id="7">
    <w:p w14:paraId="30CA0735" w14:textId="77777777" w:rsidR="001E4656" w:rsidRPr="009B6965" w:rsidRDefault="001E4656" w:rsidP="009B6965">
      <w:pPr>
        <w:pStyle w:val="Estilo"/>
        <w:rPr>
          <w:sz w:val="22"/>
        </w:rPr>
      </w:pPr>
      <w:r w:rsidRPr="009B6965">
        <w:rPr>
          <w:rStyle w:val="Refdenotaalpie"/>
          <w:sz w:val="22"/>
        </w:rPr>
        <w:footnoteRef/>
      </w:r>
      <w:r w:rsidRPr="009B6965">
        <w:rPr>
          <w:sz w:val="22"/>
        </w:rPr>
        <w:t xml:space="preserve"> Informe </w:t>
      </w:r>
      <w:r w:rsidRPr="009B6965">
        <w:rPr>
          <w:i/>
          <w:sz w:val="22"/>
        </w:rPr>
        <w:t>A/HRC/12/34</w:t>
      </w:r>
      <w:r w:rsidRPr="009B6965">
        <w:rPr>
          <w:sz w:val="22"/>
        </w:rPr>
        <w:t xml:space="preserve"> del Relator Especial sobre la situación de los derechos humanos y las libertades fundamentales de los indígenas James Anaya, párr. 42. </w:t>
      </w:r>
    </w:p>
  </w:footnote>
  <w:footnote w:id="8">
    <w:p w14:paraId="51833FB0" w14:textId="77777777" w:rsidR="001E4656" w:rsidRPr="009B6965" w:rsidRDefault="001E4656" w:rsidP="009B6965">
      <w:pPr>
        <w:pStyle w:val="Textonotapie"/>
        <w:jc w:val="both"/>
        <w:rPr>
          <w:rFonts w:ascii="Arial" w:hAnsi="Arial" w:cs="Arial"/>
          <w:lang w:val="es-ES_tradnl"/>
        </w:rPr>
      </w:pPr>
      <w:r w:rsidRPr="009B6965">
        <w:rPr>
          <w:rStyle w:val="Refdenotaalpie"/>
          <w:rFonts w:ascii="Arial" w:hAnsi="Arial" w:cs="Arial"/>
        </w:rPr>
        <w:footnoteRef/>
      </w:r>
      <w:r w:rsidRPr="009B6965">
        <w:rPr>
          <w:rFonts w:ascii="Arial" w:hAnsi="Arial" w:cs="Arial"/>
        </w:rPr>
        <w:t xml:space="preserve"> Informe </w:t>
      </w:r>
      <w:r w:rsidRPr="009B6965">
        <w:rPr>
          <w:rFonts w:ascii="Arial" w:hAnsi="Arial" w:cs="Arial"/>
          <w:i/>
        </w:rPr>
        <w:t>A/HRC/12/34</w:t>
      </w:r>
      <w:r w:rsidRPr="009B6965">
        <w:rPr>
          <w:rFonts w:ascii="Arial" w:hAnsi="Arial" w:cs="Arial"/>
        </w:rPr>
        <w:t xml:space="preserve"> supra nota 15, párr. 45.</w:t>
      </w:r>
    </w:p>
  </w:footnote>
  <w:footnote w:id="9">
    <w:p w14:paraId="332F2F0F" w14:textId="77777777" w:rsidR="001E4656" w:rsidRPr="009B6965" w:rsidRDefault="001E4656" w:rsidP="009B6965">
      <w:pPr>
        <w:spacing w:after="0" w:line="240" w:lineRule="auto"/>
        <w:jc w:val="both"/>
        <w:rPr>
          <w:rFonts w:ascii="Arial" w:hAnsi="Arial" w:cs="Arial"/>
          <w:lang w:val="es-ES_tradnl"/>
        </w:rPr>
      </w:pPr>
      <w:r w:rsidRPr="009B6965">
        <w:rPr>
          <w:rStyle w:val="Refdenotaalpie"/>
          <w:rFonts w:ascii="Arial" w:hAnsi="Arial" w:cs="Arial"/>
        </w:rPr>
        <w:footnoteRef/>
      </w:r>
      <w:r w:rsidRPr="009B6965">
        <w:rPr>
          <w:rFonts w:ascii="Arial" w:hAnsi="Arial" w:cs="Arial"/>
        </w:rPr>
        <w:t xml:space="preserve"> Cfr. </w:t>
      </w:r>
      <w:r w:rsidRPr="009B6965">
        <w:rPr>
          <w:rFonts w:ascii="Arial" w:hAnsi="Arial" w:cs="Arial"/>
          <w:bCs/>
          <w:i/>
        </w:rPr>
        <w:t xml:space="preserve">Caso del Pueblo Saramaka vs. Surinam, </w:t>
      </w:r>
      <w:r w:rsidRPr="009B6965">
        <w:rPr>
          <w:rFonts w:ascii="Arial" w:hAnsi="Arial" w:cs="Arial"/>
          <w:bCs/>
        </w:rPr>
        <w:t xml:space="preserve">supra nota 19, </w:t>
      </w:r>
      <w:r w:rsidRPr="009B6965">
        <w:rPr>
          <w:rFonts w:ascii="Arial" w:hAnsi="Arial" w:cs="Arial"/>
        </w:rPr>
        <w:t>párr. 136</w:t>
      </w:r>
    </w:p>
  </w:footnote>
  <w:footnote w:id="10">
    <w:p w14:paraId="342D3069" w14:textId="77777777" w:rsidR="001E4656" w:rsidRPr="009B6965" w:rsidRDefault="001E4656" w:rsidP="009B6965">
      <w:pPr>
        <w:pStyle w:val="Textonotapie"/>
        <w:jc w:val="both"/>
        <w:rPr>
          <w:rFonts w:ascii="Arial" w:hAnsi="Arial" w:cs="Arial"/>
        </w:rPr>
      </w:pPr>
      <w:r w:rsidRPr="009B6965">
        <w:rPr>
          <w:rStyle w:val="Refdenotaalpie"/>
          <w:rFonts w:ascii="Arial" w:hAnsi="Arial" w:cs="Arial"/>
        </w:rPr>
        <w:footnoteRef/>
      </w:r>
      <w:r w:rsidRPr="009B6965">
        <w:rPr>
          <w:rFonts w:ascii="Arial" w:hAnsi="Arial" w:cs="Arial"/>
        </w:rPr>
        <w:t xml:space="preserve"> </w:t>
      </w:r>
      <w:r w:rsidRPr="009B6965">
        <w:rPr>
          <w:rFonts w:ascii="Arial" w:hAnsi="Arial" w:cs="Arial"/>
          <w:i/>
        </w:rPr>
        <w:t>Cfr. Caso del Pueblo Saramaka Vs. Surinam</w:t>
      </w:r>
      <w:r w:rsidRPr="009B6965">
        <w:rPr>
          <w:rFonts w:ascii="Arial" w:hAnsi="Arial" w:cs="Arial"/>
        </w:rPr>
        <w:t xml:space="preserve">, supra nota 19, párr. 136: “Asimismo, </w:t>
      </w:r>
      <w:r w:rsidRPr="009B6965">
        <w:rPr>
          <w:rFonts w:ascii="Arial" w:hAnsi="Arial" w:cs="Arial"/>
          <w:u w:val="single"/>
        </w:rPr>
        <w:t>se debe consultar con el pueblo Saramaka, de conformidad con sus propias tradiciones, en las primeras etapas del plan de desarrollo o inversión y no únicamente cuando surja la necesidad de obtener la aprobación de la comunidad, si éste fuera el caso. El aviso temprano proporciona un tiempo para la discusión interna dentro de las comunidades y para brindar una adecuada respuesta al Estado.</w:t>
      </w:r>
      <w:r w:rsidRPr="009B6965">
        <w:rPr>
          <w:rFonts w:ascii="Arial" w:hAnsi="Arial" w:cs="Arial"/>
        </w:rPr>
        <w:t xml:space="preserve"> El Estado, asimismo, debe asegurarse que los miembros del pueblo Saramaka tengan conocimiento de los posibles riesgos, incluido los riesgos ambientales y de salubridad, a fin de que acepten el plan de desarrollo o inversión propuesto con conocimiento y de forma voluntaria. </w:t>
      </w:r>
      <w:r w:rsidRPr="009B6965">
        <w:rPr>
          <w:rFonts w:ascii="Arial" w:hAnsi="Arial" w:cs="Arial"/>
          <w:u w:val="single"/>
        </w:rPr>
        <w:t>Por último, la consulta debería tener en cuenta los métodos tradicionales del pueblo Saramaka para la toma de decisiones.</w:t>
      </w:r>
      <w:r w:rsidRPr="009B6965">
        <w:rPr>
          <w:rFonts w:ascii="Arial" w:hAnsi="Arial" w:cs="Arial"/>
        </w:rPr>
        <w:t>”</w:t>
      </w:r>
    </w:p>
  </w:footnote>
  <w:footnote w:id="11">
    <w:p w14:paraId="44A6FD71" w14:textId="77777777" w:rsidR="001E4656" w:rsidRPr="009B6965" w:rsidRDefault="001E4656" w:rsidP="009B6965">
      <w:pPr>
        <w:pStyle w:val="Textonotapie"/>
        <w:jc w:val="both"/>
        <w:rPr>
          <w:rFonts w:ascii="Arial" w:hAnsi="Arial" w:cs="Arial"/>
          <w:lang w:val="es-ES_tradnl"/>
        </w:rPr>
      </w:pPr>
      <w:r w:rsidRPr="009B6965">
        <w:rPr>
          <w:rStyle w:val="Refdenotaalpie"/>
          <w:rFonts w:ascii="Arial" w:hAnsi="Arial" w:cs="Arial"/>
        </w:rPr>
        <w:footnoteRef/>
      </w:r>
      <w:r w:rsidRPr="009B6965">
        <w:rPr>
          <w:rFonts w:ascii="Arial" w:hAnsi="Arial" w:cs="Arial"/>
        </w:rPr>
        <w:t xml:space="preserve"> </w:t>
      </w:r>
      <w:r w:rsidRPr="009B6965">
        <w:rPr>
          <w:rFonts w:ascii="Arial" w:hAnsi="Arial" w:cs="Arial"/>
          <w:i/>
          <w:lang w:val="es-ES_tradnl"/>
        </w:rPr>
        <w:t xml:space="preserve">Informe </w:t>
      </w:r>
      <w:r w:rsidRPr="009B6965">
        <w:rPr>
          <w:rFonts w:ascii="Arial" w:hAnsi="Arial" w:cs="Arial"/>
          <w:i/>
        </w:rPr>
        <w:t>sobre</w:t>
      </w:r>
      <w:r w:rsidRPr="009B6965">
        <w:rPr>
          <w:rFonts w:ascii="Arial" w:hAnsi="Arial" w:cs="Arial"/>
        </w:rPr>
        <w:t xml:space="preserve"> </w:t>
      </w:r>
      <w:r w:rsidRPr="009B6965">
        <w:rPr>
          <w:rFonts w:ascii="Arial" w:hAnsi="Arial" w:cs="Arial"/>
          <w:i/>
        </w:rPr>
        <w:t>Principios Internacionales Aplicables a la Consulta en Relación con la Reforma Constitucional en Materia de Derechos de los Pueblos Indígenas en Chile</w:t>
      </w:r>
      <w:r w:rsidRPr="009B6965">
        <w:rPr>
          <w:rFonts w:ascii="Arial" w:hAnsi="Arial" w:cs="Arial"/>
        </w:rPr>
        <w:t>, supra nota 18</w:t>
      </w:r>
      <w:r w:rsidRPr="009B6965">
        <w:rPr>
          <w:rFonts w:ascii="Arial" w:hAnsi="Arial" w:cs="Arial"/>
          <w:lang w:val="es-ES_tradnl"/>
        </w:rPr>
        <w:t>.</w:t>
      </w:r>
    </w:p>
  </w:footnote>
  <w:footnote w:id="12">
    <w:p w14:paraId="5555B4F6" w14:textId="77777777" w:rsidR="001E4656" w:rsidRPr="009B6965" w:rsidRDefault="001E4656" w:rsidP="009B6965">
      <w:pPr>
        <w:pStyle w:val="Textonotapie"/>
        <w:jc w:val="both"/>
        <w:rPr>
          <w:rFonts w:ascii="Arial" w:hAnsi="Arial" w:cs="Arial"/>
          <w:lang w:val="es-ES_tradnl"/>
        </w:rPr>
      </w:pPr>
      <w:r w:rsidRPr="009B6965">
        <w:rPr>
          <w:rStyle w:val="Refdenotaalpie"/>
          <w:rFonts w:ascii="Arial" w:hAnsi="Arial" w:cs="Arial"/>
        </w:rPr>
        <w:footnoteRef/>
      </w:r>
      <w:r w:rsidRPr="009B6965">
        <w:rPr>
          <w:rFonts w:ascii="Arial" w:hAnsi="Arial" w:cs="Arial"/>
        </w:rPr>
        <w:t xml:space="preserve"> </w:t>
      </w:r>
      <w:r w:rsidRPr="009B6965">
        <w:rPr>
          <w:rFonts w:ascii="Arial" w:hAnsi="Arial" w:cs="Arial"/>
          <w:i/>
          <w:iCs/>
        </w:rPr>
        <w:t>Informe del Comité establecido para examinar la reclamación en la que se alega el incumplimiento por Colombia del Convenio sobre pueblos indígenas y tribales, 1989 (núm. 169), presentada en virtud del artículo 24 de la Constitución de la OIT por la Central Unitaria de Trabadores (CUT),</w:t>
      </w:r>
      <w:r w:rsidRPr="009B6965">
        <w:rPr>
          <w:rFonts w:ascii="Arial" w:hAnsi="Arial" w:cs="Arial"/>
        </w:rPr>
        <w:t xml:space="preserve"> (en adelante “</w:t>
      </w:r>
      <w:r w:rsidRPr="009B6965">
        <w:rPr>
          <w:rFonts w:ascii="Arial" w:hAnsi="Arial" w:cs="Arial"/>
          <w:u w:val="single"/>
        </w:rPr>
        <w:t>Reclamación Colombia</w:t>
      </w:r>
      <w:r w:rsidRPr="009B6965">
        <w:rPr>
          <w:rFonts w:ascii="Arial" w:hAnsi="Arial" w:cs="Arial"/>
        </w:rPr>
        <w:t xml:space="preserve">”) GB.276/17/1; GB.282/14/3 (1999), párr. 90; y </w:t>
      </w:r>
      <w:r w:rsidRPr="009B6965">
        <w:rPr>
          <w:rFonts w:ascii="Arial" w:hAnsi="Arial" w:cs="Arial"/>
          <w:i/>
        </w:rPr>
        <w:t>Cfr. Caso del Pueblo Saramaka Vs. Surinam</w:t>
      </w:r>
      <w:r w:rsidRPr="009B6965">
        <w:rPr>
          <w:rFonts w:ascii="Arial" w:hAnsi="Arial" w:cs="Arial"/>
        </w:rPr>
        <w:t>, supra nota 19, párr. 134.</w:t>
      </w:r>
    </w:p>
  </w:footnote>
  <w:footnote w:id="13">
    <w:p w14:paraId="540C2432" w14:textId="77777777" w:rsidR="001E4656" w:rsidRPr="009B6965" w:rsidRDefault="001E4656" w:rsidP="009B6965">
      <w:pPr>
        <w:pStyle w:val="Textonotapie"/>
        <w:jc w:val="both"/>
        <w:rPr>
          <w:rFonts w:ascii="Arial" w:hAnsi="Arial" w:cs="Arial"/>
          <w:lang w:val="es-ES_tradnl"/>
        </w:rPr>
      </w:pPr>
      <w:r w:rsidRPr="009B6965">
        <w:rPr>
          <w:rStyle w:val="Refdenotaalpie"/>
          <w:rFonts w:ascii="Arial" w:hAnsi="Arial" w:cs="Arial"/>
        </w:rPr>
        <w:footnoteRef/>
      </w:r>
      <w:r w:rsidRPr="009B6965">
        <w:rPr>
          <w:rFonts w:ascii="Arial" w:hAnsi="Arial" w:cs="Arial"/>
        </w:rPr>
        <w:t xml:space="preserve"> </w:t>
      </w:r>
      <w:r w:rsidRPr="009B6965">
        <w:rPr>
          <w:rFonts w:ascii="Arial" w:hAnsi="Arial" w:cs="Arial"/>
          <w:i/>
          <w:lang w:val="es-ES_tradnl"/>
        </w:rPr>
        <w:t xml:space="preserve">Informe </w:t>
      </w:r>
      <w:r w:rsidRPr="009B6965">
        <w:rPr>
          <w:rFonts w:ascii="Arial" w:hAnsi="Arial" w:cs="Arial"/>
          <w:i/>
        </w:rPr>
        <w:t>sobre</w:t>
      </w:r>
      <w:r w:rsidRPr="009B6965">
        <w:rPr>
          <w:rFonts w:ascii="Arial" w:hAnsi="Arial" w:cs="Arial"/>
        </w:rPr>
        <w:t xml:space="preserve"> </w:t>
      </w:r>
      <w:r w:rsidRPr="009B6965">
        <w:rPr>
          <w:rFonts w:ascii="Arial" w:hAnsi="Arial" w:cs="Arial"/>
          <w:i/>
        </w:rPr>
        <w:t>Principios Internacionales Aplicables a la Consulta en Relación con la Reforma Constitucional en Materia de Derechos de los Pueblos Indígenas en Chile</w:t>
      </w:r>
      <w:r w:rsidRPr="009B6965">
        <w:rPr>
          <w:rFonts w:ascii="Arial" w:hAnsi="Arial" w:cs="Arial"/>
        </w:rPr>
        <w:t>, supra nota 18, párr. 20</w:t>
      </w:r>
      <w:r w:rsidRPr="009B6965">
        <w:rPr>
          <w:rFonts w:ascii="Arial" w:hAnsi="Arial" w:cs="Arial"/>
          <w:lang w:val="es-ES_tradnl"/>
        </w:rPr>
        <w:t>.</w:t>
      </w:r>
    </w:p>
  </w:footnote>
  <w:footnote w:id="14">
    <w:p w14:paraId="70D58267" w14:textId="77777777" w:rsidR="001E4656" w:rsidRPr="009B6965" w:rsidRDefault="001E4656" w:rsidP="009B6965">
      <w:pPr>
        <w:pStyle w:val="Textonotapie"/>
        <w:jc w:val="both"/>
        <w:rPr>
          <w:rFonts w:ascii="Arial" w:hAnsi="Arial" w:cs="Arial"/>
          <w:lang w:val="es-ES_tradnl"/>
        </w:rPr>
      </w:pPr>
      <w:r w:rsidRPr="009B6965">
        <w:rPr>
          <w:rStyle w:val="Refdenotaalpie"/>
          <w:rFonts w:ascii="Arial" w:hAnsi="Arial" w:cs="Arial"/>
        </w:rPr>
        <w:footnoteRef/>
      </w:r>
      <w:r w:rsidRPr="009B6965">
        <w:rPr>
          <w:rFonts w:ascii="Arial" w:hAnsi="Arial" w:cs="Arial"/>
        </w:rPr>
        <w:t xml:space="preserve"> </w:t>
      </w:r>
      <w:r w:rsidRPr="009B6965">
        <w:rPr>
          <w:rFonts w:ascii="Arial" w:hAnsi="Arial" w:cs="Arial"/>
          <w:i/>
        </w:rPr>
        <w:t xml:space="preserve">Reclamación Colombia, </w:t>
      </w:r>
      <w:r w:rsidRPr="009B6965">
        <w:rPr>
          <w:rFonts w:ascii="Arial" w:hAnsi="Arial" w:cs="Arial"/>
        </w:rPr>
        <w:t>supra nota 27, párr. 90.</w:t>
      </w:r>
      <w:r w:rsidRPr="009B6965">
        <w:rPr>
          <w:rFonts w:ascii="Arial" w:hAnsi="Arial" w:cs="Arial"/>
          <w:lang w:val="es-ES_tradnl"/>
        </w:rPr>
        <w:t xml:space="preserve"> </w:t>
      </w:r>
    </w:p>
  </w:footnote>
  <w:footnote w:id="15">
    <w:p w14:paraId="49F8AD5E" w14:textId="77777777" w:rsidR="001E4656" w:rsidRPr="009B6965" w:rsidRDefault="001E4656" w:rsidP="009B6965">
      <w:pPr>
        <w:autoSpaceDE w:val="0"/>
        <w:autoSpaceDN w:val="0"/>
        <w:adjustRightInd w:val="0"/>
        <w:spacing w:after="0" w:line="240" w:lineRule="auto"/>
        <w:jc w:val="both"/>
        <w:rPr>
          <w:rFonts w:ascii="Arial" w:hAnsi="Arial" w:cs="Arial"/>
        </w:rPr>
      </w:pPr>
      <w:r w:rsidRPr="009B6965">
        <w:rPr>
          <w:rStyle w:val="Refdenotaalpie"/>
          <w:rFonts w:ascii="Arial" w:hAnsi="Arial" w:cs="Arial"/>
        </w:rPr>
        <w:footnoteRef/>
      </w:r>
      <w:r w:rsidRPr="009B6965">
        <w:rPr>
          <w:rFonts w:ascii="Arial" w:hAnsi="Arial" w:cs="Arial"/>
        </w:rPr>
        <w:t xml:space="preserve"> </w:t>
      </w:r>
      <w:r w:rsidRPr="009B6965">
        <w:rPr>
          <w:rFonts w:ascii="Arial" w:hAnsi="Arial" w:cs="Arial"/>
          <w:i/>
          <w:iCs/>
        </w:rPr>
        <w:t xml:space="preserve">Informe del Comité encargado de examinar la reclamación en la que se alega el incumplimiento por Guatemala del Convenio sobre pueblos indígenas y tribales, 1989 (núm. 169), presentada en virtud del artículo 24 de la Constitución de la OIT por la Federación de Trabajadores del Campo y la Ciudad (FTCC), </w:t>
      </w:r>
      <w:r w:rsidRPr="009B6965">
        <w:rPr>
          <w:rFonts w:ascii="Arial" w:hAnsi="Arial" w:cs="Arial"/>
        </w:rPr>
        <w:t xml:space="preserve">GB.294/17/1; GB.299/6/1 (2005), párr. 53; e </w:t>
      </w:r>
      <w:r w:rsidRPr="009B6965">
        <w:rPr>
          <w:rFonts w:ascii="Arial" w:hAnsi="Arial" w:cs="Arial"/>
          <w:i/>
          <w:iCs/>
        </w:rPr>
        <w:t>Informe del Comité encargado de examinar la reclamación en la que se alega el incumplimiento por México del Convenio sobre pueblos indígenas y tribales, 1989 (núm. 169), presentada en virtud del artículo 24 de la Constitución de la OIT por el Frente Auténtico del Trabajo (FAT)</w:t>
      </w:r>
      <w:r w:rsidRPr="009B6965">
        <w:rPr>
          <w:rFonts w:ascii="Arial" w:hAnsi="Arial" w:cs="Arial"/>
        </w:rPr>
        <w:t>, (en adelante “</w:t>
      </w:r>
      <w:r w:rsidRPr="009B6965">
        <w:rPr>
          <w:rFonts w:ascii="Arial" w:hAnsi="Arial" w:cs="Arial"/>
          <w:u w:val="single"/>
        </w:rPr>
        <w:t>Reclamación México</w:t>
      </w:r>
      <w:r w:rsidRPr="009B6965">
        <w:rPr>
          <w:rFonts w:ascii="Arial" w:hAnsi="Arial" w:cs="Arial"/>
        </w:rPr>
        <w:t>”) GB.283/17/1; GB.289/17/3 (2001), párr. 107.</w:t>
      </w:r>
    </w:p>
  </w:footnote>
  <w:footnote w:id="16">
    <w:p w14:paraId="641FC40A" w14:textId="77777777" w:rsidR="001E4656" w:rsidRPr="009B6965" w:rsidRDefault="001E4656" w:rsidP="009B6965">
      <w:pPr>
        <w:pStyle w:val="Textonotapie"/>
        <w:jc w:val="both"/>
        <w:rPr>
          <w:rFonts w:ascii="Arial" w:hAnsi="Arial" w:cs="Arial"/>
          <w:lang w:val="es-ES_tradnl"/>
        </w:rPr>
      </w:pPr>
      <w:r w:rsidRPr="009B6965">
        <w:rPr>
          <w:rStyle w:val="Refdenotaalpie"/>
          <w:rFonts w:ascii="Arial" w:hAnsi="Arial" w:cs="Arial"/>
        </w:rPr>
        <w:footnoteRef/>
      </w:r>
      <w:r w:rsidRPr="009B6965">
        <w:rPr>
          <w:rFonts w:ascii="Arial" w:hAnsi="Arial" w:cs="Arial"/>
        </w:rPr>
        <w:t xml:space="preserve"> </w:t>
      </w:r>
      <w:r w:rsidRPr="009B6965">
        <w:rPr>
          <w:rFonts w:ascii="Arial" w:hAnsi="Arial" w:cs="Arial"/>
          <w:i/>
        </w:rPr>
        <w:t>Cfr. Caso del Pueblo Saramaka Vs. Surinam</w:t>
      </w:r>
      <w:r w:rsidRPr="009B6965">
        <w:rPr>
          <w:rFonts w:ascii="Arial" w:hAnsi="Arial" w:cs="Arial"/>
        </w:rPr>
        <w:t xml:space="preserve">, supra nota 19, párr. 134; </w:t>
      </w:r>
      <w:r w:rsidRPr="009B6965">
        <w:rPr>
          <w:rFonts w:ascii="Arial" w:hAnsi="Arial" w:cs="Arial"/>
          <w:i/>
        </w:rPr>
        <w:t xml:space="preserve">Reclamación México, </w:t>
      </w:r>
      <w:r w:rsidRPr="009B6965">
        <w:rPr>
          <w:rFonts w:ascii="Arial" w:hAnsi="Arial" w:cs="Arial"/>
        </w:rPr>
        <w:t xml:space="preserve">supra nota 29, párr. 101, 105 y 109; y </w:t>
      </w:r>
      <w:r w:rsidRPr="009B6965">
        <w:rPr>
          <w:rFonts w:ascii="Arial" w:hAnsi="Arial" w:cs="Arial"/>
          <w:i/>
        </w:rPr>
        <w:t xml:space="preserve">Reclamación Colombia, </w:t>
      </w:r>
      <w:r w:rsidRPr="009B6965">
        <w:rPr>
          <w:rFonts w:ascii="Arial" w:hAnsi="Arial" w:cs="Arial"/>
        </w:rPr>
        <w:t>supra nota 27, párr. 79.</w:t>
      </w:r>
    </w:p>
  </w:footnote>
  <w:footnote w:id="17">
    <w:p w14:paraId="31B0AC1E" w14:textId="77777777" w:rsidR="001E4656" w:rsidRPr="009B6965" w:rsidRDefault="001E4656" w:rsidP="009B6965">
      <w:pPr>
        <w:pStyle w:val="Textonotapie"/>
        <w:jc w:val="both"/>
        <w:rPr>
          <w:rFonts w:ascii="Arial" w:hAnsi="Arial" w:cs="Arial"/>
        </w:rPr>
      </w:pPr>
      <w:r w:rsidRPr="009B6965">
        <w:rPr>
          <w:rStyle w:val="Refdenotaalpie"/>
          <w:rFonts w:ascii="Arial" w:hAnsi="Arial" w:cs="Arial"/>
        </w:rPr>
        <w:footnoteRef/>
      </w:r>
      <w:r w:rsidRPr="009B6965">
        <w:rPr>
          <w:rFonts w:ascii="Arial" w:hAnsi="Arial" w:cs="Arial"/>
        </w:rPr>
        <w:t xml:space="preserve"> </w:t>
      </w:r>
      <w:r w:rsidRPr="009B6965">
        <w:rPr>
          <w:rFonts w:ascii="Arial" w:hAnsi="Arial" w:cs="Arial"/>
          <w:i/>
        </w:rPr>
        <w:t xml:space="preserve">Reclamación Colombia, </w:t>
      </w:r>
      <w:r w:rsidRPr="009B6965">
        <w:rPr>
          <w:rFonts w:ascii="Arial" w:hAnsi="Arial" w:cs="Arial"/>
        </w:rPr>
        <w:t>supra nota 27, párr. 79, 95 y 105.</w:t>
      </w:r>
    </w:p>
  </w:footnote>
  <w:footnote w:id="18">
    <w:p w14:paraId="61C7D7BC" w14:textId="77777777" w:rsidR="001E4656" w:rsidRPr="009B6965" w:rsidRDefault="001E4656" w:rsidP="009B6965">
      <w:pPr>
        <w:pStyle w:val="Textonotapie"/>
        <w:jc w:val="both"/>
        <w:rPr>
          <w:rFonts w:ascii="Arial" w:hAnsi="Arial" w:cs="Arial"/>
        </w:rPr>
      </w:pPr>
      <w:r w:rsidRPr="009B6965">
        <w:rPr>
          <w:rStyle w:val="Refdenotaalpie"/>
          <w:rFonts w:ascii="Arial" w:hAnsi="Arial" w:cs="Arial"/>
        </w:rPr>
        <w:footnoteRef/>
      </w:r>
      <w:r w:rsidRPr="009B6965">
        <w:rPr>
          <w:rFonts w:ascii="Arial" w:hAnsi="Arial" w:cs="Arial"/>
        </w:rPr>
        <w:t xml:space="preserve"> Tesis con número de identificación 1a. CCXXXVI/2013 (10a.), publicada en el Semanario Judicial de la Federación y su Gaceta, Décima Época, de texto: “La protección efectiva de los derechos fundamentales de los pueblos y las comunidades indígenas requiere garantizar el ejercicio de ciertos derechos humanos de índole procedimental, principalmente el de acceso a la información, el de la participación en la toma de decisiones y el de acceso a la justicia. En ese sentido, todas las autoridades, en el ámbito de sus atribuciones, están obligadas a consultarlos antes de adoptar cualquier acción o medida susceptible de afectar sus derechos e intereses, consulta que debe cumplir con los siguientes parámetros: a) debe ser previa; b) culturalmente adecuada a través de sus representantes o autoridades tradicionales; c) informada; y, d) de buena fe. En el entendido que el deber del Estado a la consulta no depende de la demostración de una afectación real a sus derechos, sino de la susceptibilidad de que puedan llegar a dañarse, pues precisamente uno de los objetos del procedimiento es determinar si los intereses de los pueblos indígenas serían perjudicados.”</w:t>
      </w:r>
    </w:p>
  </w:footnote>
  <w:footnote w:id="19">
    <w:p w14:paraId="4AAC2329" w14:textId="77777777" w:rsidR="001E4656" w:rsidRPr="009B6965" w:rsidRDefault="001E4656" w:rsidP="009B6965">
      <w:pPr>
        <w:pStyle w:val="Textonotapie"/>
        <w:jc w:val="both"/>
        <w:rPr>
          <w:rFonts w:ascii="Arial" w:hAnsi="Arial" w:cs="Arial"/>
        </w:rPr>
      </w:pPr>
      <w:r w:rsidRPr="009B6965">
        <w:rPr>
          <w:rStyle w:val="Refdenotaalpie"/>
          <w:rFonts w:ascii="Arial" w:hAnsi="Arial" w:cs="Arial"/>
        </w:rPr>
        <w:footnoteRef/>
      </w:r>
      <w:r w:rsidRPr="009B6965">
        <w:rPr>
          <w:rFonts w:ascii="Arial" w:hAnsi="Arial" w:cs="Arial"/>
        </w:rPr>
        <w:t xml:space="preserve"> </w:t>
      </w:r>
      <w:r w:rsidRPr="009B6965">
        <w:rPr>
          <w:rFonts w:ascii="Arial" w:hAnsi="Arial" w:cs="Arial"/>
          <w:i/>
        </w:rPr>
        <w:t xml:space="preserve">Reclamación México, </w:t>
      </w:r>
      <w:r w:rsidRPr="009B6965">
        <w:rPr>
          <w:rFonts w:ascii="Arial" w:hAnsi="Arial" w:cs="Arial"/>
        </w:rPr>
        <w:t>supra nota 29, párr. 105: “[…] tanto el Congreso Nacional como las legislaturas de los Estados no ignoraban las opiniones de los indígenas respecto a las reformas, pero no estaban obligados a aceptarlas”.</w:t>
      </w:r>
    </w:p>
  </w:footnote>
  <w:footnote w:id="20">
    <w:p w14:paraId="48CDA9E5" w14:textId="77777777" w:rsidR="001E4656" w:rsidRPr="009B6965" w:rsidRDefault="001E4656" w:rsidP="009B6965">
      <w:pPr>
        <w:pStyle w:val="Textonotapie"/>
        <w:jc w:val="both"/>
        <w:rPr>
          <w:rFonts w:ascii="Arial" w:hAnsi="Arial" w:cs="Arial"/>
        </w:rPr>
      </w:pPr>
      <w:r w:rsidRPr="009B6965">
        <w:rPr>
          <w:rStyle w:val="Refdenotaalpie"/>
          <w:rFonts w:ascii="Arial" w:hAnsi="Arial" w:cs="Arial"/>
        </w:rPr>
        <w:footnoteRef/>
      </w:r>
      <w:r w:rsidRPr="009B6965">
        <w:rPr>
          <w:rFonts w:ascii="Arial" w:hAnsi="Arial" w:cs="Arial"/>
        </w:rPr>
        <w:t xml:space="preserve"> </w:t>
      </w:r>
      <w:r w:rsidRPr="009B6965">
        <w:rPr>
          <w:rFonts w:ascii="Arial" w:hAnsi="Arial" w:cs="Arial"/>
          <w:i/>
          <w:lang w:val="es-ES_tradnl"/>
        </w:rPr>
        <w:t xml:space="preserve">Informe </w:t>
      </w:r>
      <w:r w:rsidRPr="009B6965">
        <w:rPr>
          <w:rFonts w:ascii="Arial" w:hAnsi="Arial" w:cs="Arial"/>
          <w:i/>
        </w:rPr>
        <w:t>sobre</w:t>
      </w:r>
      <w:r w:rsidRPr="009B6965">
        <w:rPr>
          <w:rFonts w:ascii="Arial" w:hAnsi="Arial" w:cs="Arial"/>
        </w:rPr>
        <w:t xml:space="preserve"> </w:t>
      </w:r>
      <w:r w:rsidRPr="009B6965">
        <w:rPr>
          <w:rFonts w:ascii="Arial" w:hAnsi="Arial" w:cs="Arial"/>
          <w:i/>
        </w:rPr>
        <w:t>Principios Internacionales Aplicables a la Consulta en Relación con la Reforma Constitucional en Materia de Derechos de los Pueblos Indígenas en Chile</w:t>
      </w:r>
      <w:r w:rsidRPr="009B6965">
        <w:rPr>
          <w:rFonts w:ascii="Arial" w:hAnsi="Arial" w:cs="Arial"/>
        </w:rPr>
        <w:t>, supra nota 18, párr. 38; y Tribunal Constitucional de Chile, Sentencia Rol 309, 4 de Agosto 2000, Considerando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C278" w14:textId="77777777" w:rsidR="001E4656" w:rsidRDefault="007C3F52" w:rsidP="007C3F52">
    <w:pPr>
      <w:pStyle w:val="Encabezado"/>
      <w:ind w:right="2404"/>
      <w:jc w:val="both"/>
      <w:rPr>
        <w:rFonts w:ascii="Arial" w:hAnsi="Arial" w:cs="Arial"/>
        <w:b/>
        <w:sz w:val="24"/>
        <w:szCs w:val="24"/>
      </w:rPr>
    </w:pPr>
    <w:r w:rsidRPr="007C3F52">
      <w:rPr>
        <w:rFonts w:ascii="Arial" w:hAnsi="Arial" w:cs="Arial"/>
        <w:b/>
        <w:sz w:val="24"/>
        <w:szCs w:val="24"/>
      </w:rPr>
      <w:t>VOTO</w:t>
    </w:r>
    <w:r w:rsidR="001E4656">
      <w:rPr>
        <w:rFonts w:ascii="Arial" w:hAnsi="Arial" w:cs="Arial"/>
        <w:b/>
        <w:sz w:val="24"/>
        <w:szCs w:val="24"/>
      </w:rPr>
      <w:t xml:space="preserve"> CONCURRENTE EN LA ACCIÓN </w:t>
    </w:r>
  </w:p>
  <w:p w14:paraId="02747165" w14:textId="072FA4D3" w:rsidR="001E4656" w:rsidRDefault="001E4656" w:rsidP="007C3F52">
    <w:pPr>
      <w:pStyle w:val="Encabezado"/>
      <w:ind w:right="2404"/>
      <w:jc w:val="both"/>
      <w:rPr>
        <w:rFonts w:ascii="Arial" w:hAnsi="Arial" w:cs="Arial"/>
        <w:b/>
        <w:sz w:val="24"/>
        <w:szCs w:val="24"/>
      </w:rPr>
    </w:pPr>
    <w:r>
      <w:rPr>
        <w:rFonts w:ascii="Arial" w:hAnsi="Arial" w:cs="Arial"/>
        <w:b/>
        <w:sz w:val="24"/>
        <w:szCs w:val="24"/>
      </w:rPr>
      <w:t xml:space="preserve">DE INCONSTITUCIONALIDAD </w:t>
    </w:r>
    <w:r w:rsidR="00FA0A34">
      <w:rPr>
        <w:rFonts w:ascii="Arial" w:hAnsi="Arial" w:cs="Arial"/>
        <w:b/>
        <w:sz w:val="24"/>
        <w:szCs w:val="24"/>
      </w:rPr>
      <w:t>193</w:t>
    </w:r>
    <w:r>
      <w:rPr>
        <w:rFonts w:ascii="Arial" w:hAnsi="Arial" w:cs="Arial"/>
        <w:b/>
        <w:sz w:val="24"/>
        <w:szCs w:val="24"/>
      </w:rPr>
      <w:t>/2020</w:t>
    </w:r>
  </w:p>
  <w:p w14:paraId="5FD324F1" w14:textId="02C7D2D3" w:rsidR="007C3F52" w:rsidRDefault="007C3F52" w:rsidP="001E4656">
    <w:pPr>
      <w:pStyle w:val="Encabezado"/>
      <w:ind w:right="2404"/>
      <w:jc w:val="both"/>
      <w:rPr>
        <w:rFonts w:ascii="Arial" w:hAnsi="Arial" w:cs="Arial"/>
        <w:b/>
        <w:sz w:val="24"/>
        <w:szCs w:val="24"/>
      </w:rPr>
    </w:pPr>
    <w:r w:rsidRPr="007C3F52">
      <w:rPr>
        <w:rFonts w:ascii="Arial" w:hAnsi="Arial" w:cs="Arial"/>
        <w:b/>
        <w:sz w:val="24"/>
        <w:szCs w:val="24"/>
      </w:rPr>
      <w:t xml:space="preserve"> </w:t>
    </w:r>
  </w:p>
  <w:p w14:paraId="7E2ADA08" w14:textId="77777777" w:rsidR="008E3DC1" w:rsidRPr="007C3F52" w:rsidRDefault="008E3DC1" w:rsidP="007C3F52">
    <w:pPr>
      <w:pStyle w:val="Encabezado"/>
      <w:ind w:right="2404"/>
      <w:jc w:val="both"/>
      <w:rPr>
        <w:rFonts w:ascii="Arial" w:hAnsi="Arial" w:cs="Arial"/>
        <w:b/>
        <w:sz w:val="24"/>
        <w:szCs w:val="24"/>
      </w:rPr>
    </w:pPr>
  </w:p>
  <w:p w14:paraId="6DA9366D" w14:textId="77777777" w:rsidR="007C3F52" w:rsidRDefault="007C3F5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1230" w14:textId="77777777" w:rsidR="001E4656" w:rsidRDefault="001E4656" w:rsidP="001E4656">
    <w:pPr>
      <w:pStyle w:val="Encabezado"/>
      <w:ind w:right="-8"/>
      <w:jc w:val="right"/>
      <w:rPr>
        <w:rFonts w:ascii="Arial" w:hAnsi="Arial" w:cs="Arial"/>
        <w:b/>
        <w:noProof/>
        <w:sz w:val="24"/>
        <w:szCs w:val="24"/>
      </w:rPr>
    </w:pPr>
    <w:r>
      <w:rPr>
        <w:rFonts w:ascii="Arial" w:hAnsi="Arial" w:cs="Arial"/>
        <w:b/>
        <w:noProof/>
        <w:sz w:val="24"/>
        <w:szCs w:val="24"/>
      </w:rPr>
      <w:t xml:space="preserve">VOTO CONCURRENTE EN LA ACCIÓN </w:t>
    </w:r>
  </w:p>
  <w:p w14:paraId="26CE39F1" w14:textId="459C7E57" w:rsidR="008E3DC1" w:rsidRDefault="001E4656" w:rsidP="001E4656">
    <w:pPr>
      <w:pStyle w:val="Encabezado"/>
      <w:ind w:right="-8"/>
      <w:jc w:val="right"/>
      <w:rPr>
        <w:rFonts w:ascii="Arial" w:hAnsi="Arial" w:cs="Arial"/>
        <w:b/>
        <w:noProof/>
        <w:sz w:val="24"/>
        <w:szCs w:val="24"/>
      </w:rPr>
    </w:pPr>
    <w:r>
      <w:rPr>
        <w:rFonts w:ascii="Arial" w:hAnsi="Arial" w:cs="Arial"/>
        <w:b/>
        <w:noProof/>
        <w:sz w:val="24"/>
        <w:szCs w:val="24"/>
      </w:rPr>
      <w:t xml:space="preserve">DE INCONSTITUCIONALIDAD </w:t>
    </w:r>
    <w:r w:rsidR="00FA0A34">
      <w:rPr>
        <w:rFonts w:ascii="Arial" w:hAnsi="Arial" w:cs="Arial"/>
        <w:b/>
        <w:noProof/>
        <w:sz w:val="24"/>
        <w:szCs w:val="24"/>
      </w:rPr>
      <w:t>193</w:t>
    </w:r>
    <w:r>
      <w:rPr>
        <w:rFonts w:ascii="Arial" w:hAnsi="Arial" w:cs="Arial"/>
        <w:b/>
        <w:noProof/>
        <w:sz w:val="24"/>
        <w:szCs w:val="24"/>
      </w:rPr>
      <w:t>/2020</w:t>
    </w:r>
  </w:p>
  <w:p w14:paraId="35F56F58" w14:textId="77777777" w:rsidR="001E4656" w:rsidRPr="007C3F52" w:rsidRDefault="001E4656" w:rsidP="001E4656">
    <w:pPr>
      <w:pStyle w:val="Encabezado"/>
      <w:ind w:right="-8"/>
      <w:rPr>
        <w:rFonts w:ascii="Arial" w:hAnsi="Arial" w:cs="Arial"/>
        <w:b/>
        <w:noProof/>
        <w:sz w:val="24"/>
        <w:szCs w:val="24"/>
      </w:rPr>
    </w:pPr>
  </w:p>
  <w:p w14:paraId="5D3956FF" w14:textId="23BD5F95" w:rsidR="007C3F52" w:rsidRDefault="007C3F52" w:rsidP="007C3F52">
    <w:pPr>
      <w:pStyle w:val="Encabezado"/>
      <w:jc w:val="right"/>
    </w:pPr>
  </w:p>
  <w:p w14:paraId="33089E16" w14:textId="77777777" w:rsidR="001E4656" w:rsidRDefault="001E4656" w:rsidP="007C3F52">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21E2" w14:textId="1365A91B" w:rsidR="008E3DC1" w:rsidRDefault="008E3DC1">
    <w:pPr>
      <w:pStyle w:val="Encabezado"/>
    </w:pPr>
    <w:r>
      <w:rPr>
        <w:noProof/>
        <w:lang w:eastAsia="es-MX"/>
      </w:rPr>
      <mc:AlternateContent>
        <mc:Choice Requires="wps">
          <w:drawing>
            <wp:anchor distT="0" distB="0" distL="114300" distR="114300" simplePos="0" relativeHeight="251658240" behindDoc="1" locked="0" layoutInCell="1" allowOverlap="1" wp14:anchorId="739597A2" wp14:editId="4CB32C3A">
              <wp:simplePos x="0" y="0"/>
              <wp:positionH relativeFrom="column">
                <wp:posOffset>-897255</wp:posOffset>
              </wp:positionH>
              <wp:positionV relativeFrom="paragraph">
                <wp:posOffset>-231140</wp:posOffset>
              </wp:positionV>
              <wp:extent cx="1885315" cy="1715135"/>
              <wp:effectExtent l="3810" t="1270" r="0" b="0"/>
              <wp:wrapTight wrapText="bothSides">
                <wp:wrapPolygon edited="0">
                  <wp:start x="-102" y="0"/>
                  <wp:lineTo x="-102" y="21496"/>
                  <wp:lineTo x="21600" y="21496"/>
                  <wp:lineTo x="21600" y="0"/>
                  <wp:lineTo x="-102" y="0"/>
                </wp:wrapPolygon>
              </wp:wrapTight>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315" cy="171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39C85A6">
            <v:rect id="Rectángulo 1" style="position:absolute;margin-left:-70.65pt;margin-top:-18.2pt;width:148.45pt;height:1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22322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">
              <w10:wrap type="tigh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7874"/>
    <w:multiLevelType w:val="hybridMultilevel"/>
    <w:tmpl w:val="97C048A6"/>
    <w:lvl w:ilvl="0" w:tplc="0C22DA70">
      <w:start w:val="1"/>
      <w:numFmt w:val="decimal"/>
      <w:lvlText w:val="%1."/>
      <w:lvlJc w:val="left"/>
      <w:pPr>
        <w:ind w:left="1109" w:hanging="40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25D506F3"/>
    <w:multiLevelType w:val="hybridMultilevel"/>
    <w:tmpl w:val="DED417D2"/>
    <w:lvl w:ilvl="0" w:tplc="F1FA9F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B9F1E53"/>
    <w:multiLevelType w:val="hybridMultilevel"/>
    <w:tmpl w:val="DED417D2"/>
    <w:lvl w:ilvl="0" w:tplc="F1FA9F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BBD5C3B"/>
    <w:multiLevelType w:val="hybridMultilevel"/>
    <w:tmpl w:val="0A804E0E"/>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9286390"/>
    <w:multiLevelType w:val="hybridMultilevel"/>
    <w:tmpl w:val="6686904A"/>
    <w:lvl w:ilvl="0" w:tplc="E4201DE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7E31296"/>
    <w:multiLevelType w:val="hybridMultilevel"/>
    <w:tmpl w:val="8A7E96A8"/>
    <w:lvl w:ilvl="0" w:tplc="96025C9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C00"/>
    <w:rsid w:val="000024C1"/>
    <w:rsid w:val="00006EE7"/>
    <w:rsid w:val="00015B9F"/>
    <w:rsid w:val="000371E9"/>
    <w:rsid w:val="0005685B"/>
    <w:rsid w:val="00070A15"/>
    <w:rsid w:val="00077144"/>
    <w:rsid w:val="000B32E7"/>
    <w:rsid w:val="000C02C7"/>
    <w:rsid w:val="000C1E96"/>
    <w:rsid w:val="00100640"/>
    <w:rsid w:val="00107231"/>
    <w:rsid w:val="001132D6"/>
    <w:rsid w:val="00122680"/>
    <w:rsid w:val="00123940"/>
    <w:rsid w:val="00147AF4"/>
    <w:rsid w:val="0015653F"/>
    <w:rsid w:val="001655E3"/>
    <w:rsid w:val="00172BD3"/>
    <w:rsid w:val="00180CD2"/>
    <w:rsid w:val="00192F8C"/>
    <w:rsid w:val="001B5E87"/>
    <w:rsid w:val="001C2CB1"/>
    <w:rsid w:val="001E2BD8"/>
    <w:rsid w:val="001E4656"/>
    <w:rsid w:val="001F0603"/>
    <w:rsid w:val="002070ED"/>
    <w:rsid w:val="00221B00"/>
    <w:rsid w:val="00233BC4"/>
    <w:rsid w:val="002340FD"/>
    <w:rsid w:val="0024689D"/>
    <w:rsid w:val="00246FEC"/>
    <w:rsid w:val="00257E23"/>
    <w:rsid w:val="0028473A"/>
    <w:rsid w:val="002C0701"/>
    <w:rsid w:val="002C7C6F"/>
    <w:rsid w:val="002E0117"/>
    <w:rsid w:val="002E3D92"/>
    <w:rsid w:val="002E519C"/>
    <w:rsid w:val="002F51A7"/>
    <w:rsid w:val="0030595C"/>
    <w:rsid w:val="00370517"/>
    <w:rsid w:val="00375C00"/>
    <w:rsid w:val="00385F4C"/>
    <w:rsid w:val="00396615"/>
    <w:rsid w:val="003C1A38"/>
    <w:rsid w:val="003C704F"/>
    <w:rsid w:val="003E6039"/>
    <w:rsid w:val="003F57B3"/>
    <w:rsid w:val="00415472"/>
    <w:rsid w:val="00440A06"/>
    <w:rsid w:val="00461CF7"/>
    <w:rsid w:val="00466F7C"/>
    <w:rsid w:val="00472256"/>
    <w:rsid w:val="00495B74"/>
    <w:rsid w:val="004D16C2"/>
    <w:rsid w:val="004D538E"/>
    <w:rsid w:val="004E5766"/>
    <w:rsid w:val="004F4E56"/>
    <w:rsid w:val="004F5FEE"/>
    <w:rsid w:val="004F6591"/>
    <w:rsid w:val="00507946"/>
    <w:rsid w:val="00521697"/>
    <w:rsid w:val="00525DAF"/>
    <w:rsid w:val="00531C53"/>
    <w:rsid w:val="005461BB"/>
    <w:rsid w:val="00553D7B"/>
    <w:rsid w:val="00574B3A"/>
    <w:rsid w:val="00592F34"/>
    <w:rsid w:val="005B7953"/>
    <w:rsid w:val="005E5F40"/>
    <w:rsid w:val="005E6E8E"/>
    <w:rsid w:val="005F365D"/>
    <w:rsid w:val="00610FEA"/>
    <w:rsid w:val="00613C1A"/>
    <w:rsid w:val="006224FA"/>
    <w:rsid w:val="00654BA4"/>
    <w:rsid w:val="00666FB3"/>
    <w:rsid w:val="006671FB"/>
    <w:rsid w:val="00677156"/>
    <w:rsid w:val="006A6D96"/>
    <w:rsid w:val="006B3A89"/>
    <w:rsid w:val="006C2DDC"/>
    <w:rsid w:val="006E6D8D"/>
    <w:rsid w:val="0070406A"/>
    <w:rsid w:val="00705640"/>
    <w:rsid w:val="0071414E"/>
    <w:rsid w:val="00714A26"/>
    <w:rsid w:val="00723DA3"/>
    <w:rsid w:val="0072600A"/>
    <w:rsid w:val="007504DE"/>
    <w:rsid w:val="007571CE"/>
    <w:rsid w:val="00765809"/>
    <w:rsid w:val="007818A9"/>
    <w:rsid w:val="00784B3A"/>
    <w:rsid w:val="007913B5"/>
    <w:rsid w:val="007A1496"/>
    <w:rsid w:val="007A1EE3"/>
    <w:rsid w:val="007A45BE"/>
    <w:rsid w:val="007A4ACC"/>
    <w:rsid w:val="007A5836"/>
    <w:rsid w:val="007C3871"/>
    <w:rsid w:val="007C3F52"/>
    <w:rsid w:val="007D6641"/>
    <w:rsid w:val="007E301C"/>
    <w:rsid w:val="007F294E"/>
    <w:rsid w:val="007F7B2E"/>
    <w:rsid w:val="0080261E"/>
    <w:rsid w:val="00804176"/>
    <w:rsid w:val="0084239F"/>
    <w:rsid w:val="00851790"/>
    <w:rsid w:val="00860448"/>
    <w:rsid w:val="008624CF"/>
    <w:rsid w:val="00883B18"/>
    <w:rsid w:val="0088557C"/>
    <w:rsid w:val="008A7CF4"/>
    <w:rsid w:val="008B1AD7"/>
    <w:rsid w:val="008D4F1D"/>
    <w:rsid w:val="008E3DC1"/>
    <w:rsid w:val="008E4BD0"/>
    <w:rsid w:val="008F3890"/>
    <w:rsid w:val="00912F61"/>
    <w:rsid w:val="00940158"/>
    <w:rsid w:val="009440B5"/>
    <w:rsid w:val="00945C74"/>
    <w:rsid w:val="009669D6"/>
    <w:rsid w:val="00973338"/>
    <w:rsid w:val="00983DC1"/>
    <w:rsid w:val="009908CB"/>
    <w:rsid w:val="009A4E2F"/>
    <w:rsid w:val="009B4EF3"/>
    <w:rsid w:val="009B6965"/>
    <w:rsid w:val="009C4F96"/>
    <w:rsid w:val="009E41BD"/>
    <w:rsid w:val="00A14AD1"/>
    <w:rsid w:val="00A26093"/>
    <w:rsid w:val="00A46679"/>
    <w:rsid w:val="00A5708D"/>
    <w:rsid w:val="00A572C4"/>
    <w:rsid w:val="00A72775"/>
    <w:rsid w:val="00A763CE"/>
    <w:rsid w:val="00AA7EE2"/>
    <w:rsid w:val="00AA7EF5"/>
    <w:rsid w:val="00AC29FE"/>
    <w:rsid w:val="00AF7C52"/>
    <w:rsid w:val="00B11334"/>
    <w:rsid w:val="00B11DD3"/>
    <w:rsid w:val="00B4521D"/>
    <w:rsid w:val="00B74D14"/>
    <w:rsid w:val="00B832B5"/>
    <w:rsid w:val="00B84184"/>
    <w:rsid w:val="00B84CD0"/>
    <w:rsid w:val="00B96EEC"/>
    <w:rsid w:val="00BB387A"/>
    <w:rsid w:val="00BD1904"/>
    <w:rsid w:val="00BF0987"/>
    <w:rsid w:val="00C051C3"/>
    <w:rsid w:val="00C14C83"/>
    <w:rsid w:val="00C3050A"/>
    <w:rsid w:val="00C37138"/>
    <w:rsid w:val="00C40951"/>
    <w:rsid w:val="00C560DF"/>
    <w:rsid w:val="00C612EC"/>
    <w:rsid w:val="00C853DF"/>
    <w:rsid w:val="00C91EE1"/>
    <w:rsid w:val="00CD7958"/>
    <w:rsid w:val="00CE47E1"/>
    <w:rsid w:val="00CF7AC2"/>
    <w:rsid w:val="00D06690"/>
    <w:rsid w:val="00D217F7"/>
    <w:rsid w:val="00D41A96"/>
    <w:rsid w:val="00D449EE"/>
    <w:rsid w:val="00D44DEF"/>
    <w:rsid w:val="00D50AA5"/>
    <w:rsid w:val="00D64521"/>
    <w:rsid w:val="00DC7D5C"/>
    <w:rsid w:val="00DF20B2"/>
    <w:rsid w:val="00DF543C"/>
    <w:rsid w:val="00E13381"/>
    <w:rsid w:val="00E35BFF"/>
    <w:rsid w:val="00E36A18"/>
    <w:rsid w:val="00E41B18"/>
    <w:rsid w:val="00E50BEE"/>
    <w:rsid w:val="00EA068F"/>
    <w:rsid w:val="00EC5793"/>
    <w:rsid w:val="00EC7F7F"/>
    <w:rsid w:val="00EE053B"/>
    <w:rsid w:val="00EE3443"/>
    <w:rsid w:val="00F153E8"/>
    <w:rsid w:val="00F25503"/>
    <w:rsid w:val="00F3041D"/>
    <w:rsid w:val="00F83883"/>
    <w:rsid w:val="00F86042"/>
    <w:rsid w:val="00FA0A34"/>
    <w:rsid w:val="00FA674F"/>
    <w:rsid w:val="00FB3A7E"/>
    <w:rsid w:val="00FB576E"/>
    <w:rsid w:val="00FF6715"/>
    <w:rsid w:val="3EC977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AF564"/>
  <w15:chartTrackingRefBased/>
  <w15:docId w15:val="{5BC0A400-EBE4-4E7A-8108-3A4B479A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ootnote,Cita texto,List Paragraph1,Lista vistosa - Énfasis 11,TEXTO GENERAL SENTENCIAS,Párrafo de lista1,Párrafo de lista2,Colorful List - Accent 11,Cuadrícula clara - Énfasis 31,List Paragraph2"/>
    <w:basedOn w:val="Normal"/>
    <w:link w:val="PrrafodelistaCar"/>
    <w:uiPriority w:val="34"/>
    <w:qFormat/>
    <w:rsid w:val="00375C00"/>
    <w:pPr>
      <w:ind w:left="720"/>
      <w:contextualSpacing/>
    </w:pPr>
  </w:style>
  <w:style w:type="character" w:customStyle="1" w:styleId="EstiloCar">
    <w:name w:val="Estilo Car"/>
    <w:link w:val="Estilo"/>
    <w:locked/>
    <w:rsid w:val="00FB576E"/>
    <w:rPr>
      <w:rFonts w:ascii="Arial" w:hAnsi="Arial" w:cs="Arial"/>
      <w:sz w:val="24"/>
    </w:rPr>
  </w:style>
  <w:style w:type="paragraph" w:customStyle="1" w:styleId="Estilo">
    <w:name w:val="Estilo"/>
    <w:basedOn w:val="Sinespaciado"/>
    <w:link w:val="EstiloCar"/>
    <w:qFormat/>
    <w:rsid w:val="00FB576E"/>
    <w:pPr>
      <w:jc w:val="both"/>
    </w:pPr>
    <w:rPr>
      <w:rFonts w:ascii="Arial" w:hAnsi="Arial" w:cs="Arial"/>
      <w:sz w:val="24"/>
    </w:rPr>
  </w:style>
  <w:style w:type="paragraph" w:styleId="Sinespaciado">
    <w:name w:val="No Spacing"/>
    <w:aliases w:val="RESOLUTIVOS"/>
    <w:link w:val="SinespaciadoCar"/>
    <w:uiPriority w:val="1"/>
    <w:qFormat/>
    <w:rsid w:val="00FB576E"/>
    <w:pPr>
      <w:spacing w:after="0" w:line="240" w:lineRule="auto"/>
    </w:pPr>
  </w:style>
  <w:style w:type="character" w:customStyle="1" w:styleId="TextonotapieCar">
    <w:name w:val="Texto nota pie Car"/>
    <w:aliases w:val="Footnote reference Car,FA Fu Car,Footnote Text Char Char Char Char Char Car,Footnote Text Char Char Char Char Car,Footnote Text Cha Car,Footnote Text Char Char Char Car,FA Fußnotentext Car,FA Fu?notentext Car,FA Fuﬂnotentext Car,C Car"/>
    <w:link w:val="Textonotapie"/>
    <w:uiPriority w:val="99"/>
    <w:qFormat/>
    <w:locked/>
    <w:rsid w:val="004D538E"/>
    <w:rPr>
      <w:rFonts w:ascii="Times New Roman" w:eastAsia="Times New Roman" w:hAnsi="Times New Roman"/>
      <w:lang w:val="es-ES" w:eastAsia="es-ES"/>
    </w:rPr>
  </w:style>
  <w:style w:type="paragraph" w:styleId="Textonotapie">
    <w:name w:val="footnote text"/>
    <w:aliases w:val="Footnote reference,FA Fu,Footnote Text Char Char Char Char Char,Footnote Text Char Char Char Char,Footnote Text Cha,Footnote Text Char Char Char,FA Fußnotentext,FA Fu?notentext,Footnote Text Char Char,FA Fuﬂnotentext,Ca,FA Fu?notente,C,ft"/>
    <w:basedOn w:val="Normal"/>
    <w:link w:val="TextonotapieCar"/>
    <w:uiPriority w:val="99"/>
    <w:unhideWhenUsed/>
    <w:qFormat/>
    <w:rsid w:val="004D538E"/>
    <w:pPr>
      <w:spacing w:after="0" w:line="240" w:lineRule="auto"/>
    </w:pPr>
    <w:rPr>
      <w:rFonts w:ascii="Times New Roman" w:eastAsia="Times New Roman" w:hAnsi="Times New Roman"/>
      <w:lang w:val="es-ES" w:eastAsia="es-ES"/>
    </w:rPr>
  </w:style>
  <w:style w:type="character" w:customStyle="1" w:styleId="TextonotapieCar1">
    <w:name w:val="Texto nota pie Car1"/>
    <w:basedOn w:val="Fuentedeprrafopredeter"/>
    <w:uiPriority w:val="99"/>
    <w:semiHidden/>
    <w:rsid w:val="004D538E"/>
    <w:rPr>
      <w:sz w:val="20"/>
      <w:szCs w:val="20"/>
    </w:rPr>
  </w:style>
  <w:style w:type="character" w:styleId="Refdenotaalpie">
    <w:name w:val="footnote reference"/>
    <w:aliases w:val="Texto de nota al pie,Footnotes refss,Appel note de bas de page,Footnote number,referencia nota al pie,BVI fnr,f,Ref. de nota al pie 2,4_G,16 Point,Superscript 6 Point,Texto nota al pie,Footnote Reference Char3,julio,Stinking Styles6"/>
    <w:link w:val="4GChar"/>
    <w:uiPriority w:val="99"/>
    <w:unhideWhenUsed/>
    <w:qFormat/>
    <w:rsid w:val="004D538E"/>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4D538E"/>
    <w:pPr>
      <w:spacing w:after="0" w:line="240" w:lineRule="auto"/>
      <w:jc w:val="both"/>
    </w:pPr>
    <w:rPr>
      <w:vertAlign w:val="superscript"/>
    </w:rPr>
  </w:style>
  <w:style w:type="table" w:styleId="Tablaconcuadrcula">
    <w:name w:val="Table Grid"/>
    <w:basedOn w:val="Tablanormal"/>
    <w:uiPriority w:val="39"/>
    <w:rsid w:val="00037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C3F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3F52"/>
  </w:style>
  <w:style w:type="paragraph" w:styleId="Piedepgina">
    <w:name w:val="footer"/>
    <w:basedOn w:val="Normal"/>
    <w:link w:val="PiedepginaCar"/>
    <w:uiPriority w:val="99"/>
    <w:unhideWhenUsed/>
    <w:rsid w:val="007C3F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3F52"/>
  </w:style>
  <w:style w:type="character" w:styleId="Hipervnculo">
    <w:name w:val="Hyperlink"/>
    <w:basedOn w:val="Fuentedeprrafopredeter"/>
    <w:uiPriority w:val="99"/>
    <w:unhideWhenUsed/>
    <w:rsid w:val="00192F8C"/>
    <w:rPr>
      <w:color w:val="0563C1" w:themeColor="hyperlink"/>
      <w:u w:val="single"/>
    </w:rPr>
  </w:style>
  <w:style w:type="paragraph" w:customStyle="1" w:styleId="corte4fondo">
    <w:name w:val="corte4 fondo"/>
    <w:basedOn w:val="Normal"/>
    <w:link w:val="corte4fondoCar"/>
    <w:qFormat/>
    <w:rsid w:val="00192F8C"/>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
    <w:name w:val="corte4 fondo Car"/>
    <w:link w:val="corte4fondo"/>
    <w:rsid w:val="00192F8C"/>
    <w:rPr>
      <w:rFonts w:ascii="Arial" w:eastAsia="Times New Roman" w:hAnsi="Arial" w:cs="Times New Roman"/>
      <w:sz w:val="30"/>
      <w:szCs w:val="20"/>
      <w:lang w:val="es-ES_tradnl" w:eastAsia="es-MX"/>
    </w:rPr>
  </w:style>
  <w:style w:type="character" w:styleId="Refdecomentario">
    <w:name w:val="annotation reference"/>
    <w:basedOn w:val="Fuentedeprrafopredeter"/>
    <w:uiPriority w:val="99"/>
    <w:semiHidden/>
    <w:unhideWhenUsed/>
    <w:rsid w:val="00192F8C"/>
    <w:rPr>
      <w:sz w:val="16"/>
      <w:szCs w:val="16"/>
    </w:rPr>
  </w:style>
  <w:style w:type="paragraph" w:styleId="Textocomentario">
    <w:name w:val="annotation text"/>
    <w:basedOn w:val="Normal"/>
    <w:link w:val="TextocomentarioCar"/>
    <w:uiPriority w:val="99"/>
    <w:semiHidden/>
    <w:unhideWhenUsed/>
    <w:rsid w:val="00192F8C"/>
    <w:pPr>
      <w:spacing w:after="0" w:line="240" w:lineRule="auto"/>
    </w:pPr>
    <w:rPr>
      <w:rFonts w:ascii="Arial" w:eastAsia="Times New Roman" w:hAnsi="Arial" w:cs="Arial"/>
      <w:sz w:val="20"/>
      <w:szCs w:val="20"/>
      <w:lang w:eastAsia="es-MX"/>
    </w:rPr>
  </w:style>
  <w:style w:type="character" w:customStyle="1" w:styleId="TextocomentarioCar">
    <w:name w:val="Texto comentario Car"/>
    <w:basedOn w:val="Fuentedeprrafopredeter"/>
    <w:link w:val="Textocomentario"/>
    <w:uiPriority w:val="99"/>
    <w:semiHidden/>
    <w:rsid w:val="00192F8C"/>
    <w:rPr>
      <w:rFonts w:ascii="Arial" w:eastAsia="Times New Roman" w:hAnsi="Arial" w:cs="Arial"/>
      <w:sz w:val="20"/>
      <w:szCs w:val="20"/>
      <w:lang w:eastAsia="es-MX"/>
    </w:rPr>
  </w:style>
  <w:style w:type="character" w:customStyle="1" w:styleId="Mencinsinresolver1">
    <w:name w:val="Mención sin resolver1"/>
    <w:basedOn w:val="Fuentedeprrafopredeter"/>
    <w:uiPriority w:val="99"/>
    <w:semiHidden/>
    <w:unhideWhenUsed/>
    <w:rsid w:val="006B3A89"/>
    <w:rPr>
      <w:color w:val="605E5C"/>
      <w:shd w:val="clear" w:color="auto" w:fill="E1DFDD"/>
    </w:rPr>
  </w:style>
  <w:style w:type="paragraph" w:styleId="NormalWeb">
    <w:name w:val="Normal (Web)"/>
    <w:basedOn w:val="Normal"/>
    <w:uiPriority w:val="99"/>
    <w:unhideWhenUsed/>
    <w:rsid w:val="001E465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Footnote Car,Cita texto Car,List Paragraph1 Car,Lista vistosa - Énfasis 11 Car,TEXTO GENERAL SENTENCIAS Car,Párrafo de lista1 Car,Párrafo de lista2 Car,Colorful List - Accent 11 Car,Cuadrícula clara - Énfasis 31 Car"/>
    <w:link w:val="Prrafodelista"/>
    <w:uiPriority w:val="34"/>
    <w:locked/>
    <w:rsid w:val="001E4656"/>
  </w:style>
  <w:style w:type="character" w:customStyle="1" w:styleId="SinespaciadoCar">
    <w:name w:val="Sin espaciado Car"/>
    <w:aliases w:val="RESOLUTIVOS Car"/>
    <w:link w:val="Sinespaciado"/>
    <w:uiPriority w:val="1"/>
    <w:rsid w:val="001E4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40963">
      <w:bodyDiv w:val="1"/>
      <w:marLeft w:val="0"/>
      <w:marRight w:val="0"/>
      <w:marTop w:val="0"/>
      <w:marBottom w:val="0"/>
      <w:divBdr>
        <w:top w:val="none" w:sz="0" w:space="0" w:color="auto"/>
        <w:left w:val="none" w:sz="0" w:space="0" w:color="auto"/>
        <w:bottom w:val="none" w:sz="0" w:space="0" w:color="auto"/>
        <w:right w:val="none" w:sz="0" w:space="0" w:color="auto"/>
      </w:divBdr>
    </w:div>
    <w:div w:id="174466139">
      <w:bodyDiv w:val="1"/>
      <w:marLeft w:val="0"/>
      <w:marRight w:val="0"/>
      <w:marTop w:val="0"/>
      <w:marBottom w:val="0"/>
      <w:divBdr>
        <w:top w:val="none" w:sz="0" w:space="0" w:color="auto"/>
        <w:left w:val="none" w:sz="0" w:space="0" w:color="auto"/>
        <w:bottom w:val="none" w:sz="0" w:space="0" w:color="auto"/>
        <w:right w:val="none" w:sz="0" w:space="0" w:color="auto"/>
      </w:divBdr>
    </w:div>
    <w:div w:id="715930669">
      <w:bodyDiv w:val="1"/>
      <w:marLeft w:val="0"/>
      <w:marRight w:val="0"/>
      <w:marTop w:val="0"/>
      <w:marBottom w:val="0"/>
      <w:divBdr>
        <w:top w:val="none" w:sz="0" w:space="0" w:color="auto"/>
        <w:left w:val="none" w:sz="0" w:space="0" w:color="auto"/>
        <w:bottom w:val="none" w:sz="0" w:space="0" w:color="auto"/>
        <w:right w:val="none" w:sz="0" w:space="0" w:color="auto"/>
      </w:divBdr>
    </w:div>
    <w:div w:id="1273777934">
      <w:bodyDiv w:val="1"/>
      <w:marLeft w:val="0"/>
      <w:marRight w:val="0"/>
      <w:marTop w:val="0"/>
      <w:marBottom w:val="0"/>
      <w:divBdr>
        <w:top w:val="none" w:sz="0" w:space="0" w:color="auto"/>
        <w:left w:val="none" w:sz="0" w:space="0" w:color="auto"/>
        <w:bottom w:val="none" w:sz="0" w:space="0" w:color="auto"/>
        <w:right w:val="none" w:sz="0" w:space="0" w:color="auto"/>
      </w:divBdr>
    </w:div>
    <w:div w:id="195470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B9BA9-F16A-480D-9901-B42D7FA99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2366</Words>
  <Characters>13017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VALDES LEAL</dc:creator>
  <cp:keywords/>
  <dc:description/>
  <cp:lastModifiedBy>MIGUEL ANGEL ANDRADE SOLANA</cp:lastModifiedBy>
  <cp:revision>2</cp:revision>
  <dcterms:created xsi:type="dcterms:W3CDTF">2021-08-25T22:40:00Z</dcterms:created>
  <dcterms:modified xsi:type="dcterms:W3CDTF">2021-08-25T22:40:00Z</dcterms:modified>
</cp:coreProperties>
</file>