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40103" w14:textId="5DA7739B" w:rsidR="00737C42" w:rsidRPr="00E219A7" w:rsidRDefault="00737C42" w:rsidP="001864B4">
      <w:pPr>
        <w:spacing w:after="0" w:line="240" w:lineRule="auto"/>
        <w:ind w:left="2552" w:right="-516"/>
        <w:jc w:val="both"/>
        <w:rPr>
          <w:rFonts w:ascii="Arial" w:hAnsi="Arial" w:cs="Arial"/>
          <w:b/>
          <w:bCs/>
          <w:sz w:val="26"/>
          <w:szCs w:val="26"/>
          <w:lang w:val="es-ES_tradnl"/>
        </w:rPr>
      </w:pPr>
      <w:bookmarkStart w:id="0" w:name="_Hlk99042441"/>
      <w:r w:rsidRPr="00BA146E">
        <w:rPr>
          <w:rFonts w:ascii="Arial" w:hAnsi="Arial" w:cs="Arial"/>
          <w:b/>
          <w:sz w:val="26"/>
          <w:szCs w:val="26"/>
        </w:rPr>
        <w:t>VOT</w:t>
      </w:r>
      <w:r w:rsidRPr="00E219A7">
        <w:rPr>
          <w:rFonts w:ascii="Arial" w:hAnsi="Arial" w:cs="Arial"/>
          <w:b/>
          <w:sz w:val="26"/>
          <w:szCs w:val="26"/>
        </w:rPr>
        <w:t xml:space="preserve">O </w:t>
      </w:r>
      <w:r w:rsidR="00D1092F" w:rsidRPr="00E219A7">
        <w:rPr>
          <w:rFonts w:ascii="Arial" w:hAnsi="Arial" w:cs="Arial"/>
          <w:b/>
          <w:sz w:val="26"/>
          <w:szCs w:val="26"/>
        </w:rPr>
        <w:t xml:space="preserve">PARTICULAR Y </w:t>
      </w:r>
      <w:r w:rsidR="00E37B1F" w:rsidRPr="00E219A7">
        <w:rPr>
          <w:rFonts w:ascii="Arial" w:hAnsi="Arial" w:cs="Arial"/>
          <w:b/>
          <w:sz w:val="26"/>
          <w:szCs w:val="26"/>
        </w:rPr>
        <w:t>CONCURRE</w:t>
      </w:r>
      <w:r w:rsidR="00D1092F" w:rsidRPr="00E219A7">
        <w:rPr>
          <w:rFonts w:ascii="Arial" w:hAnsi="Arial" w:cs="Arial"/>
          <w:b/>
          <w:sz w:val="26"/>
          <w:szCs w:val="26"/>
        </w:rPr>
        <w:t>NTE</w:t>
      </w:r>
      <w:r w:rsidRPr="00E219A7">
        <w:rPr>
          <w:rFonts w:ascii="Arial" w:hAnsi="Arial" w:cs="Arial"/>
          <w:b/>
          <w:sz w:val="26"/>
          <w:szCs w:val="26"/>
        </w:rPr>
        <w:t xml:space="preserve"> QUE FORMULA EL MINISTRO JAVIER LAYNEZ POTISEK EN LA ACCIÓN DE INCONSTITUCIONALIDAD </w:t>
      </w:r>
      <w:r w:rsidR="00E37B1F" w:rsidRPr="00E219A7">
        <w:rPr>
          <w:rFonts w:ascii="Arial" w:hAnsi="Arial" w:cs="Arial"/>
          <w:b/>
          <w:sz w:val="26"/>
          <w:szCs w:val="26"/>
        </w:rPr>
        <w:t>69</w:t>
      </w:r>
      <w:r w:rsidR="00500F41" w:rsidRPr="00E219A7">
        <w:rPr>
          <w:rFonts w:ascii="Arial" w:hAnsi="Arial" w:cs="Arial"/>
          <w:b/>
          <w:sz w:val="26"/>
          <w:szCs w:val="26"/>
        </w:rPr>
        <w:t>/2019</w:t>
      </w:r>
      <w:r w:rsidR="00E37B1F" w:rsidRPr="00E219A7">
        <w:rPr>
          <w:rFonts w:ascii="Arial" w:hAnsi="Arial" w:cs="Arial"/>
          <w:b/>
          <w:sz w:val="26"/>
          <w:szCs w:val="26"/>
        </w:rPr>
        <w:t xml:space="preserve"> </w:t>
      </w:r>
      <w:r w:rsidR="00E37B1F" w:rsidRPr="00E219A7">
        <w:rPr>
          <w:rFonts w:ascii="Arial" w:hAnsi="Arial" w:cs="Arial"/>
          <w:b/>
          <w:bCs/>
          <w:sz w:val="26"/>
          <w:szCs w:val="26"/>
          <w:lang w:val="es-ES_tradnl"/>
        </w:rPr>
        <w:t>Y SUS ACUMULADAS 71/2019 Y 75/2019</w:t>
      </w:r>
      <w:r w:rsidR="00A63620">
        <w:rPr>
          <w:rFonts w:ascii="Arial" w:hAnsi="Arial" w:cs="Arial"/>
          <w:b/>
          <w:bCs/>
          <w:sz w:val="26"/>
          <w:szCs w:val="26"/>
          <w:lang w:val="es-ES_tradnl"/>
        </w:rPr>
        <w:t>.</w:t>
      </w:r>
    </w:p>
    <w:bookmarkEnd w:id="0"/>
    <w:p w14:paraId="0729B133" w14:textId="357B67B3" w:rsidR="009556EC" w:rsidRDefault="009556EC" w:rsidP="00BC282E">
      <w:pPr>
        <w:spacing w:after="0" w:line="240" w:lineRule="auto"/>
        <w:ind w:left="142" w:right="-516"/>
        <w:jc w:val="both"/>
        <w:rPr>
          <w:rFonts w:ascii="Arial" w:hAnsi="Arial" w:cs="Arial"/>
          <w:b/>
          <w:sz w:val="26"/>
          <w:szCs w:val="26"/>
        </w:rPr>
      </w:pPr>
    </w:p>
    <w:p w14:paraId="5A46050F" w14:textId="77777777" w:rsidR="001864B4" w:rsidRPr="00E219A7" w:rsidRDefault="001864B4" w:rsidP="00BC282E">
      <w:pPr>
        <w:spacing w:after="0" w:line="240" w:lineRule="auto"/>
        <w:ind w:left="142" w:right="-516"/>
        <w:jc w:val="both"/>
        <w:rPr>
          <w:rFonts w:ascii="Arial" w:hAnsi="Arial" w:cs="Arial"/>
          <w:b/>
          <w:sz w:val="26"/>
          <w:szCs w:val="26"/>
        </w:rPr>
      </w:pPr>
    </w:p>
    <w:p w14:paraId="37DC623A" w14:textId="411B4B87" w:rsidR="00E37B1F" w:rsidRPr="001864B4" w:rsidRDefault="00737C42" w:rsidP="001864B4">
      <w:pPr>
        <w:pStyle w:val="Estilo"/>
        <w:spacing w:line="360" w:lineRule="auto"/>
        <w:rPr>
          <w:sz w:val="26"/>
          <w:szCs w:val="26"/>
        </w:rPr>
      </w:pPr>
      <w:r w:rsidRPr="001864B4">
        <w:rPr>
          <w:sz w:val="26"/>
          <w:szCs w:val="26"/>
        </w:rPr>
        <w:t>En sesión de</w:t>
      </w:r>
      <w:r w:rsidR="00C36358" w:rsidRPr="001864B4">
        <w:rPr>
          <w:sz w:val="26"/>
          <w:szCs w:val="26"/>
        </w:rPr>
        <w:t xml:space="preserve"> </w:t>
      </w:r>
      <w:r w:rsidR="00E37B1F" w:rsidRPr="001864B4">
        <w:rPr>
          <w:sz w:val="26"/>
          <w:szCs w:val="26"/>
        </w:rPr>
        <w:t>primero de marzo de dos mil veintiuno</w:t>
      </w:r>
      <w:r w:rsidR="00C36358" w:rsidRPr="001864B4">
        <w:rPr>
          <w:sz w:val="26"/>
          <w:szCs w:val="26"/>
        </w:rPr>
        <w:t xml:space="preserve">, el Pleno de esta Suprema Corte </w:t>
      </w:r>
      <w:r w:rsidR="00D01E85" w:rsidRPr="001864B4">
        <w:rPr>
          <w:sz w:val="26"/>
          <w:szCs w:val="26"/>
        </w:rPr>
        <w:t xml:space="preserve">de Justicia de la Nación </w:t>
      </w:r>
      <w:r w:rsidR="0091488B" w:rsidRPr="001864B4">
        <w:rPr>
          <w:sz w:val="26"/>
          <w:szCs w:val="26"/>
        </w:rPr>
        <w:t>resolvió la</w:t>
      </w:r>
      <w:r w:rsidR="00E37B1F" w:rsidRPr="001864B4">
        <w:rPr>
          <w:sz w:val="26"/>
          <w:szCs w:val="26"/>
        </w:rPr>
        <w:t>s</w:t>
      </w:r>
      <w:r w:rsidR="00C36358" w:rsidRPr="001864B4">
        <w:rPr>
          <w:sz w:val="26"/>
          <w:szCs w:val="26"/>
        </w:rPr>
        <w:t xml:space="preserve"> </w:t>
      </w:r>
      <w:r w:rsidR="009556EC" w:rsidRPr="001864B4">
        <w:rPr>
          <w:sz w:val="26"/>
          <w:szCs w:val="26"/>
        </w:rPr>
        <w:t>acci</w:t>
      </w:r>
      <w:r w:rsidR="00E37B1F" w:rsidRPr="001864B4">
        <w:rPr>
          <w:sz w:val="26"/>
          <w:szCs w:val="26"/>
        </w:rPr>
        <w:t>ones</w:t>
      </w:r>
      <w:r w:rsidR="009556EC" w:rsidRPr="001864B4">
        <w:rPr>
          <w:sz w:val="26"/>
          <w:szCs w:val="26"/>
        </w:rPr>
        <w:t xml:space="preserve"> de inconstitucionalidad citada</w:t>
      </w:r>
      <w:r w:rsidR="00E37B1F" w:rsidRPr="001864B4">
        <w:rPr>
          <w:sz w:val="26"/>
          <w:szCs w:val="26"/>
        </w:rPr>
        <w:t>s</w:t>
      </w:r>
      <w:r w:rsidR="009556EC" w:rsidRPr="001864B4">
        <w:rPr>
          <w:sz w:val="26"/>
          <w:szCs w:val="26"/>
        </w:rPr>
        <w:t xml:space="preserve"> al rubro</w:t>
      </w:r>
      <w:r w:rsidR="00D01E85" w:rsidRPr="001864B4">
        <w:rPr>
          <w:sz w:val="26"/>
          <w:szCs w:val="26"/>
        </w:rPr>
        <w:t>, promovida</w:t>
      </w:r>
      <w:r w:rsidR="00E37B1F" w:rsidRPr="001864B4">
        <w:rPr>
          <w:sz w:val="26"/>
          <w:szCs w:val="26"/>
        </w:rPr>
        <w:t>s</w:t>
      </w:r>
      <w:r w:rsidR="00D01E85" w:rsidRPr="001864B4">
        <w:rPr>
          <w:sz w:val="26"/>
          <w:szCs w:val="26"/>
        </w:rPr>
        <w:t xml:space="preserve"> po</w:t>
      </w:r>
      <w:r w:rsidR="00E37B1F" w:rsidRPr="001864B4">
        <w:rPr>
          <w:sz w:val="26"/>
          <w:szCs w:val="26"/>
        </w:rPr>
        <w:t>r la Comisión Nacional de los Derechos Humanos</w:t>
      </w:r>
      <w:r w:rsidR="00B33BB7" w:rsidRPr="001864B4">
        <w:rPr>
          <w:sz w:val="26"/>
          <w:szCs w:val="26"/>
        </w:rPr>
        <w:t xml:space="preserve">, </w:t>
      </w:r>
      <w:r w:rsidR="00E37B1F" w:rsidRPr="001864B4">
        <w:rPr>
          <w:sz w:val="26"/>
          <w:szCs w:val="26"/>
        </w:rPr>
        <w:t>la Comisión Estatal de Derechos Humanos en Nuevo León</w:t>
      </w:r>
      <w:r w:rsidR="00B33BB7" w:rsidRPr="001864B4">
        <w:rPr>
          <w:sz w:val="26"/>
          <w:szCs w:val="26"/>
        </w:rPr>
        <w:t xml:space="preserve"> y el Instituto Nacional de Transparencia, Acceso a la Información y Protección de Datos Personales</w:t>
      </w:r>
      <w:r w:rsidR="002E4B25">
        <w:rPr>
          <w:sz w:val="26"/>
          <w:szCs w:val="26"/>
        </w:rPr>
        <w:t>,</w:t>
      </w:r>
      <w:r w:rsidR="00B33BB7" w:rsidRPr="001864B4">
        <w:rPr>
          <w:sz w:val="26"/>
          <w:szCs w:val="26"/>
        </w:rPr>
        <w:t xml:space="preserve"> </w:t>
      </w:r>
      <w:r w:rsidR="00E37B1F" w:rsidRPr="001864B4">
        <w:rPr>
          <w:sz w:val="26"/>
          <w:szCs w:val="26"/>
        </w:rPr>
        <w:t>en contra de diversos artículos de la Ley de Responsabilidades Administrativas del Estado de Nuevo León.</w:t>
      </w:r>
    </w:p>
    <w:p w14:paraId="7F53C00B" w14:textId="77777777" w:rsidR="001864B4" w:rsidRPr="001864B4" w:rsidRDefault="001864B4" w:rsidP="001864B4">
      <w:pPr>
        <w:pStyle w:val="Estilo"/>
        <w:spacing w:line="360" w:lineRule="auto"/>
        <w:rPr>
          <w:rFonts w:eastAsia="Times New Roman"/>
          <w:sz w:val="26"/>
          <w:szCs w:val="26"/>
          <w:lang w:val="es-ES_tradnl" w:eastAsia="es-MX"/>
        </w:rPr>
      </w:pPr>
    </w:p>
    <w:p w14:paraId="2F7ADAD3" w14:textId="453E669B" w:rsidR="00BD3D1B" w:rsidRDefault="00BD3D1B" w:rsidP="001864B4">
      <w:pPr>
        <w:pStyle w:val="Estilo"/>
        <w:spacing w:line="360" w:lineRule="auto"/>
        <w:rPr>
          <w:rFonts w:eastAsia="Times New Roman"/>
          <w:sz w:val="26"/>
          <w:szCs w:val="26"/>
          <w:lang w:val="es-ES_tradnl" w:eastAsia="es-MX"/>
        </w:rPr>
      </w:pPr>
      <w:r w:rsidRPr="001864B4">
        <w:rPr>
          <w:rFonts w:eastAsia="Times New Roman"/>
          <w:sz w:val="26"/>
          <w:szCs w:val="26"/>
          <w:lang w:val="es-ES_tradnl" w:eastAsia="es-MX"/>
        </w:rPr>
        <w:t xml:space="preserve">A </w:t>
      </w:r>
      <w:r w:rsidR="009E2602" w:rsidRPr="001864B4">
        <w:rPr>
          <w:rFonts w:eastAsia="Times New Roman"/>
          <w:sz w:val="26"/>
          <w:szCs w:val="26"/>
          <w:lang w:val="es-ES_tradnl" w:eastAsia="es-MX"/>
        </w:rPr>
        <w:t>continuación,</w:t>
      </w:r>
      <w:r w:rsidRPr="001864B4">
        <w:rPr>
          <w:rFonts w:eastAsia="Times New Roman"/>
          <w:sz w:val="26"/>
          <w:szCs w:val="26"/>
          <w:lang w:val="es-ES_tradnl" w:eastAsia="es-MX"/>
        </w:rPr>
        <w:t xml:space="preserve"> explicaré las cuestiones en las que </w:t>
      </w:r>
      <w:r w:rsidR="00906670">
        <w:rPr>
          <w:rFonts w:eastAsia="Times New Roman"/>
          <w:sz w:val="26"/>
          <w:szCs w:val="26"/>
          <w:lang w:val="es-ES_tradnl" w:eastAsia="es-MX"/>
        </w:rPr>
        <w:t xml:space="preserve">respetuosamente </w:t>
      </w:r>
      <w:r w:rsidRPr="001864B4">
        <w:rPr>
          <w:rFonts w:eastAsia="Times New Roman"/>
          <w:sz w:val="26"/>
          <w:szCs w:val="26"/>
          <w:lang w:val="es-ES_tradnl" w:eastAsia="es-MX"/>
        </w:rPr>
        <w:t xml:space="preserve">no comparto </w:t>
      </w:r>
      <w:r w:rsidR="00A44369" w:rsidRPr="001864B4">
        <w:rPr>
          <w:rFonts w:eastAsia="Times New Roman"/>
          <w:sz w:val="26"/>
          <w:szCs w:val="26"/>
          <w:lang w:val="es-ES_tradnl" w:eastAsia="es-MX"/>
        </w:rPr>
        <w:t>la metodología</w:t>
      </w:r>
      <w:r w:rsidRPr="001864B4">
        <w:rPr>
          <w:rFonts w:eastAsia="Times New Roman"/>
          <w:sz w:val="26"/>
          <w:szCs w:val="26"/>
          <w:lang w:val="es-ES_tradnl" w:eastAsia="es-MX"/>
        </w:rPr>
        <w:t xml:space="preserve"> </w:t>
      </w:r>
      <w:r w:rsidRPr="007F0B83">
        <w:rPr>
          <w:rFonts w:eastAsia="Times New Roman"/>
          <w:sz w:val="26"/>
          <w:szCs w:val="26"/>
          <w:lang w:val="es-ES_tradnl" w:eastAsia="es-MX"/>
        </w:rPr>
        <w:t xml:space="preserve">y el sentido de la resolución </w:t>
      </w:r>
      <w:r w:rsidR="007C65F7" w:rsidRPr="007F0B83">
        <w:rPr>
          <w:rFonts w:eastAsia="Times New Roman"/>
          <w:sz w:val="26"/>
          <w:szCs w:val="26"/>
          <w:lang w:val="es-ES_tradnl" w:eastAsia="es-MX"/>
        </w:rPr>
        <w:t>en</w:t>
      </w:r>
      <w:r w:rsidRPr="007F0B83">
        <w:rPr>
          <w:rFonts w:eastAsia="Times New Roman"/>
          <w:sz w:val="26"/>
          <w:szCs w:val="26"/>
          <w:lang w:val="es-ES_tradnl" w:eastAsia="es-MX"/>
        </w:rPr>
        <w:t xml:space="preserve"> diversos temas</w:t>
      </w:r>
      <w:r w:rsidR="007900E7">
        <w:rPr>
          <w:rFonts w:eastAsia="Times New Roman"/>
          <w:sz w:val="26"/>
          <w:szCs w:val="26"/>
          <w:lang w:val="es-ES_tradnl" w:eastAsia="es-MX"/>
        </w:rPr>
        <w:t>.</w:t>
      </w:r>
      <w:r w:rsidRPr="001864B4">
        <w:rPr>
          <w:rFonts w:eastAsia="Times New Roman"/>
          <w:sz w:val="26"/>
          <w:szCs w:val="26"/>
          <w:lang w:val="es-ES_tradnl" w:eastAsia="es-MX"/>
        </w:rPr>
        <w:t xml:space="preserve"> </w:t>
      </w:r>
    </w:p>
    <w:p w14:paraId="56F49E2E" w14:textId="77777777" w:rsidR="00105B5B" w:rsidRPr="001864B4" w:rsidRDefault="00105B5B" w:rsidP="001864B4">
      <w:pPr>
        <w:pStyle w:val="Estilo"/>
        <w:spacing w:line="360" w:lineRule="auto"/>
        <w:rPr>
          <w:rFonts w:eastAsia="Times New Roman"/>
          <w:sz w:val="26"/>
          <w:szCs w:val="26"/>
          <w:lang w:val="es-ES_tradnl" w:eastAsia="es-MX"/>
        </w:rPr>
      </w:pPr>
    </w:p>
    <w:p w14:paraId="277D1633" w14:textId="569E6FDD" w:rsidR="00652EA3" w:rsidRDefault="00BD3D1B" w:rsidP="00652EA3">
      <w:pPr>
        <w:pStyle w:val="Estilo"/>
        <w:spacing w:after="240" w:line="360" w:lineRule="auto"/>
        <w:rPr>
          <w:rFonts w:eastAsia="Times New Roman"/>
          <w:b/>
          <w:sz w:val="26"/>
          <w:szCs w:val="26"/>
          <w:lang w:val="es-ES_tradnl" w:eastAsia="es-MX"/>
        </w:rPr>
      </w:pPr>
      <w:r w:rsidRPr="001864B4">
        <w:rPr>
          <w:rFonts w:eastAsia="Times New Roman"/>
          <w:b/>
          <w:sz w:val="26"/>
          <w:szCs w:val="26"/>
          <w:lang w:val="es-ES_tradnl" w:eastAsia="es-MX"/>
        </w:rPr>
        <w:t xml:space="preserve">Voto </w:t>
      </w:r>
      <w:r w:rsidR="003F2B2A" w:rsidRPr="001864B4">
        <w:rPr>
          <w:rFonts w:eastAsia="Times New Roman"/>
          <w:b/>
          <w:sz w:val="26"/>
          <w:szCs w:val="26"/>
          <w:lang w:val="es-ES_tradnl" w:eastAsia="es-MX"/>
        </w:rPr>
        <w:t>concurrente.</w:t>
      </w:r>
    </w:p>
    <w:p w14:paraId="17299E5B" w14:textId="3F3712C0" w:rsidR="00BD3D1B" w:rsidRDefault="003F2B2A" w:rsidP="001864B4">
      <w:pPr>
        <w:pStyle w:val="Estilo"/>
        <w:spacing w:line="360" w:lineRule="auto"/>
        <w:rPr>
          <w:rFonts w:eastAsia="Times New Roman"/>
          <w:b/>
          <w:sz w:val="26"/>
          <w:szCs w:val="26"/>
          <w:lang w:val="es-ES_tradnl" w:eastAsia="es-MX"/>
        </w:rPr>
      </w:pPr>
      <w:r w:rsidRPr="001864B4">
        <w:rPr>
          <w:rFonts w:eastAsia="Times New Roman"/>
          <w:b/>
          <w:sz w:val="26"/>
          <w:szCs w:val="26"/>
          <w:lang w:val="es-ES_tradnl" w:eastAsia="es-MX"/>
        </w:rPr>
        <w:t>Metodología de la sentencia.</w:t>
      </w:r>
    </w:p>
    <w:p w14:paraId="78AE0A63" w14:textId="77777777" w:rsidR="00105B5B" w:rsidRPr="001864B4" w:rsidRDefault="00105B5B" w:rsidP="001864B4">
      <w:pPr>
        <w:pStyle w:val="Estilo"/>
        <w:spacing w:line="360" w:lineRule="auto"/>
        <w:rPr>
          <w:rFonts w:eastAsia="Times New Roman"/>
          <w:b/>
          <w:sz w:val="26"/>
          <w:szCs w:val="26"/>
          <w:lang w:val="es-ES_tradnl" w:eastAsia="es-MX"/>
        </w:rPr>
      </w:pPr>
    </w:p>
    <w:p w14:paraId="22CC8DCC" w14:textId="47D177A4" w:rsidR="00331CCE" w:rsidRDefault="00CE14D7" w:rsidP="001864B4">
      <w:pPr>
        <w:pStyle w:val="Estilo"/>
        <w:spacing w:line="360" w:lineRule="auto"/>
        <w:rPr>
          <w:sz w:val="26"/>
          <w:szCs w:val="26"/>
        </w:rPr>
      </w:pPr>
      <w:r w:rsidRPr="001864B4">
        <w:rPr>
          <w:sz w:val="26"/>
          <w:szCs w:val="26"/>
        </w:rPr>
        <w:t xml:space="preserve">En el considerando octavo de la sentencia, </w:t>
      </w:r>
      <w:r w:rsidR="007C65F7" w:rsidRPr="001864B4">
        <w:rPr>
          <w:sz w:val="26"/>
          <w:szCs w:val="26"/>
        </w:rPr>
        <w:t>denom</w:t>
      </w:r>
      <w:r w:rsidR="007C65F7" w:rsidRPr="00105B5B">
        <w:rPr>
          <w:sz w:val="26"/>
          <w:szCs w:val="26"/>
        </w:rPr>
        <w:t>inado “E</w:t>
      </w:r>
      <w:r w:rsidR="007C65F7" w:rsidRPr="00105B5B">
        <w:rPr>
          <w:color w:val="000000"/>
          <w:sz w:val="26"/>
          <w:szCs w:val="26"/>
        </w:rPr>
        <w:t>studio de fondo de la cuestión B. [</w:t>
      </w:r>
      <w:bookmarkStart w:id="1" w:name="_Hlk98885622"/>
      <w:r w:rsidR="007C65F7" w:rsidRPr="00105B5B">
        <w:rPr>
          <w:color w:val="000000"/>
          <w:sz w:val="26"/>
          <w:szCs w:val="26"/>
        </w:rPr>
        <w:t>Seguridad Jurídica y Legalidad: Parámetro diferenciado</w:t>
      </w:r>
      <w:bookmarkEnd w:id="1"/>
      <w:r w:rsidR="007C65F7" w:rsidRPr="00105B5B">
        <w:rPr>
          <w:color w:val="000000"/>
          <w:sz w:val="26"/>
          <w:szCs w:val="26"/>
        </w:rPr>
        <w:t>]”</w:t>
      </w:r>
      <w:r w:rsidRPr="00105B5B">
        <w:rPr>
          <w:sz w:val="26"/>
          <w:szCs w:val="26"/>
        </w:rPr>
        <w:t>,</w:t>
      </w:r>
      <w:r w:rsidR="000751F0" w:rsidRPr="00105B5B">
        <w:rPr>
          <w:sz w:val="26"/>
          <w:szCs w:val="26"/>
        </w:rPr>
        <w:t xml:space="preserve"> </w:t>
      </w:r>
      <w:r w:rsidRPr="00105B5B">
        <w:rPr>
          <w:sz w:val="26"/>
          <w:szCs w:val="26"/>
        </w:rPr>
        <w:t xml:space="preserve">se </w:t>
      </w:r>
      <w:r w:rsidRPr="001864B4">
        <w:rPr>
          <w:sz w:val="26"/>
          <w:szCs w:val="26"/>
        </w:rPr>
        <w:t xml:space="preserve">analizaron </w:t>
      </w:r>
      <w:r w:rsidR="004F02B4" w:rsidRPr="001864B4">
        <w:rPr>
          <w:sz w:val="26"/>
          <w:szCs w:val="26"/>
        </w:rPr>
        <w:t>di</w:t>
      </w:r>
      <w:r w:rsidR="00B33BB7" w:rsidRPr="001864B4">
        <w:rPr>
          <w:sz w:val="26"/>
          <w:szCs w:val="26"/>
        </w:rPr>
        <w:t>versos argumentos que formularon l</w:t>
      </w:r>
      <w:r w:rsidR="00331CCE" w:rsidRPr="001864B4">
        <w:rPr>
          <w:sz w:val="26"/>
          <w:szCs w:val="26"/>
        </w:rPr>
        <w:t>a</w:t>
      </w:r>
      <w:r w:rsidR="00B33BB7" w:rsidRPr="001864B4">
        <w:rPr>
          <w:sz w:val="26"/>
          <w:szCs w:val="26"/>
        </w:rPr>
        <w:t xml:space="preserve">s accionantes </w:t>
      </w:r>
      <w:r w:rsidR="004F02B4" w:rsidRPr="001864B4">
        <w:rPr>
          <w:sz w:val="26"/>
          <w:szCs w:val="26"/>
        </w:rPr>
        <w:t>en el sentido de que</w:t>
      </w:r>
      <w:r w:rsidR="00331CCE" w:rsidRPr="001864B4">
        <w:rPr>
          <w:sz w:val="26"/>
          <w:szCs w:val="26"/>
        </w:rPr>
        <w:t xml:space="preserve"> las normas impugnadas vulner</w:t>
      </w:r>
      <w:r w:rsidR="007C65F7" w:rsidRPr="001864B4">
        <w:rPr>
          <w:sz w:val="26"/>
          <w:szCs w:val="26"/>
        </w:rPr>
        <w:t>aban</w:t>
      </w:r>
      <w:r w:rsidR="00331CCE" w:rsidRPr="001864B4">
        <w:rPr>
          <w:sz w:val="26"/>
          <w:szCs w:val="26"/>
        </w:rPr>
        <w:t xml:space="preserve"> los derechos humanos de legalidad y seguridad jurídica, en tanto que se apart</w:t>
      </w:r>
      <w:r w:rsidR="007C65F7" w:rsidRPr="001864B4">
        <w:rPr>
          <w:sz w:val="26"/>
          <w:szCs w:val="26"/>
        </w:rPr>
        <w:t>aban</w:t>
      </w:r>
      <w:r w:rsidR="00331CCE" w:rsidRPr="001864B4">
        <w:rPr>
          <w:sz w:val="26"/>
          <w:szCs w:val="26"/>
        </w:rPr>
        <w:t xml:space="preserve"> del régimen constitucional previsto para las responsabilidades administrativas de los servidores públicos y de los particulares relacionados con las mismas, así como de lo previsto en la Ley General de R</w:t>
      </w:r>
      <w:bookmarkStart w:id="2" w:name="_Hlk99042533"/>
      <w:r w:rsidR="00331CCE" w:rsidRPr="001864B4">
        <w:rPr>
          <w:sz w:val="26"/>
          <w:szCs w:val="26"/>
        </w:rPr>
        <w:t>esponsabilidades Administrativas</w:t>
      </w:r>
      <w:bookmarkEnd w:id="2"/>
      <w:r w:rsidR="00331CCE" w:rsidRPr="001864B4">
        <w:rPr>
          <w:sz w:val="26"/>
          <w:szCs w:val="26"/>
        </w:rPr>
        <w:t xml:space="preserve"> expedida por el Congreso de la Unión.</w:t>
      </w:r>
    </w:p>
    <w:p w14:paraId="49E7BC33" w14:textId="77777777" w:rsidR="00105B5B" w:rsidRPr="001864B4" w:rsidRDefault="00105B5B" w:rsidP="001864B4">
      <w:pPr>
        <w:pStyle w:val="Estilo"/>
        <w:spacing w:line="360" w:lineRule="auto"/>
        <w:rPr>
          <w:sz w:val="26"/>
          <w:szCs w:val="26"/>
        </w:rPr>
      </w:pPr>
    </w:p>
    <w:p w14:paraId="340438B3" w14:textId="7ABFC91E" w:rsidR="00E84A9B" w:rsidRPr="001864B4" w:rsidRDefault="00E31431" w:rsidP="001864B4">
      <w:pPr>
        <w:pStyle w:val="Estilo"/>
        <w:spacing w:line="360" w:lineRule="auto"/>
        <w:rPr>
          <w:color w:val="000000"/>
          <w:sz w:val="26"/>
          <w:szCs w:val="26"/>
          <w:lang w:val="es-ES"/>
        </w:rPr>
      </w:pPr>
      <w:r w:rsidRPr="001864B4">
        <w:rPr>
          <w:sz w:val="26"/>
          <w:szCs w:val="26"/>
        </w:rPr>
        <w:t xml:space="preserve">En este considerando, el Tribunal Pleno precisó que, con la emisión de la Ley de Responsabilidades Administrativas del Estado de Nuevo León, el Congreso local había replicado diversos contenidos de la legislación nacional referida. No obstante, se advirtió que también </w:t>
      </w:r>
      <w:r w:rsidR="00B33978" w:rsidRPr="001864B4">
        <w:rPr>
          <w:sz w:val="26"/>
          <w:szCs w:val="26"/>
        </w:rPr>
        <w:t>se modificaron, eliminaron o adicionaron distintas hipótesis normativas</w:t>
      </w:r>
      <w:r w:rsidR="00E84A9B" w:rsidRPr="001864B4">
        <w:rPr>
          <w:sz w:val="26"/>
          <w:szCs w:val="26"/>
        </w:rPr>
        <w:t xml:space="preserve">, </w:t>
      </w:r>
      <w:r w:rsidR="00E84A9B" w:rsidRPr="001864B4">
        <w:rPr>
          <w:sz w:val="26"/>
          <w:szCs w:val="26"/>
          <w:u w:val="single"/>
        </w:rPr>
        <w:t>p</w:t>
      </w:r>
      <w:r w:rsidR="00587636">
        <w:rPr>
          <w:sz w:val="26"/>
          <w:szCs w:val="26"/>
          <w:u w:val="single"/>
        </w:rPr>
        <w:t>or</w:t>
      </w:r>
      <w:r w:rsidR="00E84A9B" w:rsidRPr="001864B4">
        <w:rPr>
          <w:color w:val="000000"/>
          <w:sz w:val="26"/>
          <w:szCs w:val="26"/>
          <w:u w:val="single"/>
          <w:lang w:val="es-ES"/>
        </w:rPr>
        <w:t xml:space="preserve"> lo que debía valorarse hasta </w:t>
      </w:r>
      <w:r w:rsidR="00E84A9B" w:rsidRPr="001864B4">
        <w:rPr>
          <w:color w:val="000000"/>
          <w:sz w:val="26"/>
          <w:szCs w:val="26"/>
          <w:u w:val="single"/>
          <w:lang w:val="es-ES"/>
        </w:rPr>
        <w:lastRenderedPageBreak/>
        <w:t>d</w:t>
      </w:r>
      <w:r w:rsidR="002E4B25">
        <w:rPr>
          <w:color w:val="000000"/>
          <w:sz w:val="26"/>
          <w:szCs w:val="26"/>
          <w:u w:val="single"/>
          <w:lang w:val="es-ES"/>
        </w:rPr>
        <w:t>ó</w:t>
      </w:r>
      <w:r w:rsidR="00E84A9B" w:rsidRPr="001864B4">
        <w:rPr>
          <w:color w:val="000000"/>
          <w:sz w:val="26"/>
          <w:szCs w:val="26"/>
          <w:u w:val="single"/>
          <w:lang w:val="es-ES"/>
        </w:rPr>
        <w:t xml:space="preserve">nde esas variaciones se contraponían o resultaban incongruentes con lo previsto en la </w:t>
      </w:r>
      <w:r w:rsidR="00FC2760" w:rsidRPr="001864B4">
        <w:rPr>
          <w:color w:val="000000"/>
          <w:sz w:val="26"/>
          <w:szCs w:val="26"/>
          <w:u w:val="single"/>
          <w:lang w:val="es-ES"/>
        </w:rPr>
        <w:t>citada</w:t>
      </w:r>
      <w:r w:rsidR="00E84A9B" w:rsidRPr="001864B4">
        <w:rPr>
          <w:color w:val="000000"/>
          <w:sz w:val="26"/>
          <w:szCs w:val="26"/>
          <w:u w:val="single"/>
          <w:lang w:val="es-ES"/>
        </w:rPr>
        <w:t xml:space="preserve"> Ley General</w:t>
      </w:r>
      <w:r w:rsidR="00E84A9B" w:rsidRPr="001864B4">
        <w:rPr>
          <w:color w:val="000000"/>
          <w:sz w:val="26"/>
          <w:szCs w:val="26"/>
          <w:lang w:val="es-ES"/>
        </w:rPr>
        <w:t>.</w:t>
      </w:r>
    </w:p>
    <w:p w14:paraId="1AAEC534" w14:textId="77777777" w:rsidR="001864B4" w:rsidRPr="001864B4" w:rsidRDefault="001864B4" w:rsidP="001864B4">
      <w:pPr>
        <w:pStyle w:val="Estilo"/>
        <w:spacing w:line="360" w:lineRule="auto"/>
        <w:rPr>
          <w:color w:val="000000"/>
          <w:sz w:val="26"/>
          <w:szCs w:val="26"/>
          <w:lang w:val="es-ES"/>
        </w:rPr>
      </w:pPr>
    </w:p>
    <w:p w14:paraId="14667CC3" w14:textId="2CB767DC" w:rsidR="00E84A9B" w:rsidRPr="001864B4" w:rsidRDefault="00E94D46" w:rsidP="001864B4">
      <w:pPr>
        <w:pStyle w:val="Estilo"/>
        <w:spacing w:line="360" w:lineRule="auto"/>
        <w:rPr>
          <w:sz w:val="26"/>
          <w:szCs w:val="26"/>
        </w:rPr>
      </w:pPr>
      <w:r w:rsidRPr="001864B4">
        <w:rPr>
          <w:sz w:val="26"/>
          <w:szCs w:val="26"/>
        </w:rPr>
        <w:t>En consecuencia, se reconoció la validez y declar</w:t>
      </w:r>
      <w:r w:rsidR="00047984" w:rsidRPr="001864B4">
        <w:rPr>
          <w:sz w:val="26"/>
          <w:szCs w:val="26"/>
        </w:rPr>
        <w:t>ó</w:t>
      </w:r>
      <w:r w:rsidRPr="001864B4">
        <w:rPr>
          <w:sz w:val="26"/>
          <w:szCs w:val="26"/>
        </w:rPr>
        <w:t xml:space="preserve"> la invalidez de divers</w:t>
      </w:r>
      <w:r w:rsidR="00523017">
        <w:rPr>
          <w:sz w:val="26"/>
          <w:szCs w:val="26"/>
        </w:rPr>
        <w:t>a</w:t>
      </w:r>
      <w:r w:rsidRPr="001864B4">
        <w:rPr>
          <w:sz w:val="26"/>
          <w:szCs w:val="26"/>
        </w:rPr>
        <w:t xml:space="preserve">s </w:t>
      </w:r>
      <w:r w:rsidR="00523017">
        <w:rPr>
          <w:sz w:val="26"/>
          <w:szCs w:val="26"/>
        </w:rPr>
        <w:t xml:space="preserve">porciones de </w:t>
      </w:r>
      <w:r w:rsidRPr="001864B4">
        <w:rPr>
          <w:sz w:val="26"/>
          <w:szCs w:val="26"/>
        </w:rPr>
        <w:t xml:space="preserve">artículos </w:t>
      </w:r>
      <w:r w:rsidR="00357F19" w:rsidRPr="001864B4">
        <w:rPr>
          <w:sz w:val="26"/>
          <w:szCs w:val="26"/>
        </w:rPr>
        <w:t>de la</w:t>
      </w:r>
      <w:r w:rsidRPr="001864B4">
        <w:rPr>
          <w:sz w:val="26"/>
          <w:szCs w:val="26"/>
        </w:rPr>
        <w:t xml:space="preserve"> Ley de Responsabilidades Administrativas del Estado de Nuevo León.</w:t>
      </w:r>
    </w:p>
    <w:p w14:paraId="741241FD" w14:textId="77777777" w:rsidR="001864B4" w:rsidRPr="001864B4" w:rsidRDefault="001864B4" w:rsidP="001864B4">
      <w:pPr>
        <w:pStyle w:val="Estilo"/>
        <w:spacing w:line="360" w:lineRule="auto"/>
        <w:rPr>
          <w:sz w:val="26"/>
          <w:szCs w:val="26"/>
        </w:rPr>
      </w:pPr>
    </w:p>
    <w:p w14:paraId="3EA0C5B8" w14:textId="5A4B3ED3" w:rsidR="00047984" w:rsidRDefault="002E4B25" w:rsidP="001864B4">
      <w:pPr>
        <w:pStyle w:val="Estilo"/>
        <w:spacing w:line="360" w:lineRule="auto"/>
        <w:rPr>
          <w:sz w:val="26"/>
          <w:szCs w:val="26"/>
        </w:rPr>
      </w:pPr>
      <w:r>
        <w:rPr>
          <w:sz w:val="26"/>
          <w:szCs w:val="26"/>
        </w:rPr>
        <w:t>D</w:t>
      </w:r>
      <w:r w:rsidR="00930F3E">
        <w:rPr>
          <w:sz w:val="26"/>
          <w:szCs w:val="26"/>
        </w:rPr>
        <w:t xml:space="preserve">ifiero de la </w:t>
      </w:r>
      <w:r w:rsidR="003D07FC" w:rsidRPr="001864B4">
        <w:rPr>
          <w:sz w:val="26"/>
          <w:szCs w:val="26"/>
        </w:rPr>
        <w:t xml:space="preserve">metodología </w:t>
      </w:r>
      <w:r w:rsidR="00D05341" w:rsidRPr="001864B4">
        <w:rPr>
          <w:sz w:val="26"/>
          <w:szCs w:val="26"/>
        </w:rPr>
        <w:t xml:space="preserve">utilizada </w:t>
      </w:r>
      <w:r w:rsidR="00E94D46" w:rsidRPr="001864B4">
        <w:rPr>
          <w:sz w:val="26"/>
          <w:szCs w:val="26"/>
        </w:rPr>
        <w:t>a efecto de</w:t>
      </w:r>
      <w:r w:rsidR="003D07FC" w:rsidRPr="001864B4">
        <w:rPr>
          <w:sz w:val="26"/>
          <w:szCs w:val="26"/>
        </w:rPr>
        <w:t xml:space="preserve"> declarar la inconstitucionalidad de todos los preceptos que sean distintos a la Ley General, </w:t>
      </w:r>
      <w:r w:rsidR="00047984" w:rsidRPr="001864B4">
        <w:rPr>
          <w:sz w:val="26"/>
          <w:szCs w:val="26"/>
        </w:rPr>
        <w:t>atendiendo a las siguientes consideraciones.</w:t>
      </w:r>
    </w:p>
    <w:p w14:paraId="5B80FB05" w14:textId="77777777" w:rsidR="00105B5B" w:rsidRPr="001864B4" w:rsidRDefault="00105B5B" w:rsidP="001864B4">
      <w:pPr>
        <w:pStyle w:val="Estilo"/>
        <w:spacing w:line="360" w:lineRule="auto"/>
        <w:rPr>
          <w:sz w:val="26"/>
          <w:szCs w:val="26"/>
        </w:rPr>
      </w:pPr>
    </w:p>
    <w:p w14:paraId="476EB746" w14:textId="64E680D3" w:rsidR="00416FE0" w:rsidRDefault="00385C08" w:rsidP="001864B4">
      <w:pPr>
        <w:pStyle w:val="Estilo"/>
        <w:spacing w:line="360" w:lineRule="auto"/>
        <w:rPr>
          <w:sz w:val="26"/>
          <w:szCs w:val="26"/>
        </w:rPr>
      </w:pPr>
      <w:r w:rsidRPr="001864B4">
        <w:rPr>
          <w:sz w:val="26"/>
          <w:szCs w:val="26"/>
        </w:rPr>
        <w:t xml:space="preserve">En la </w:t>
      </w:r>
      <w:r w:rsidR="00976ED0">
        <w:rPr>
          <w:sz w:val="26"/>
          <w:szCs w:val="26"/>
        </w:rPr>
        <w:t>a</w:t>
      </w:r>
      <w:r w:rsidRPr="001864B4">
        <w:rPr>
          <w:sz w:val="26"/>
          <w:szCs w:val="26"/>
        </w:rPr>
        <w:t xml:space="preserve">cción de </w:t>
      </w:r>
      <w:r w:rsidR="00976ED0">
        <w:rPr>
          <w:sz w:val="26"/>
          <w:szCs w:val="26"/>
        </w:rPr>
        <w:t>i</w:t>
      </w:r>
      <w:r w:rsidRPr="001864B4">
        <w:rPr>
          <w:sz w:val="26"/>
          <w:szCs w:val="26"/>
        </w:rPr>
        <w:t>nconstitucionalidad 115/2017</w:t>
      </w:r>
      <w:r w:rsidR="00AE44B1" w:rsidRPr="001864B4">
        <w:rPr>
          <w:sz w:val="26"/>
          <w:szCs w:val="26"/>
        </w:rPr>
        <w:t>,</w:t>
      </w:r>
      <w:r w:rsidRPr="001864B4">
        <w:rPr>
          <w:sz w:val="26"/>
          <w:szCs w:val="26"/>
        </w:rPr>
        <w:t xml:space="preserve"> </w:t>
      </w:r>
      <w:r w:rsidR="00416FE0" w:rsidRPr="001864B4">
        <w:rPr>
          <w:sz w:val="26"/>
          <w:szCs w:val="26"/>
        </w:rPr>
        <w:t>el Tribunal</w:t>
      </w:r>
      <w:r w:rsidRPr="001864B4">
        <w:rPr>
          <w:sz w:val="26"/>
          <w:szCs w:val="26"/>
        </w:rPr>
        <w:t xml:space="preserve"> Pleno de este Alto Tribunal </w:t>
      </w:r>
      <w:r w:rsidR="00AE44B1" w:rsidRPr="001864B4">
        <w:rPr>
          <w:sz w:val="26"/>
          <w:szCs w:val="26"/>
        </w:rPr>
        <w:t>determinó declarar la</w:t>
      </w:r>
      <w:r w:rsidR="00416FE0" w:rsidRPr="001864B4">
        <w:rPr>
          <w:sz w:val="26"/>
          <w:szCs w:val="26"/>
        </w:rPr>
        <w:t xml:space="preserve"> invalidez </w:t>
      </w:r>
      <w:r w:rsidR="00AE44B1" w:rsidRPr="001864B4">
        <w:rPr>
          <w:sz w:val="26"/>
          <w:szCs w:val="26"/>
        </w:rPr>
        <w:t xml:space="preserve">de diversos </w:t>
      </w:r>
      <w:r w:rsidR="00416FE0" w:rsidRPr="001864B4">
        <w:rPr>
          <w:sz w:val="26"/>
          <w:szCs w:val="26"/>
        </w:rPr>
        <w:t>artículos de la Ley de Responsabilidades Administrativas del Estado de Aguascalientes</w:t>
      </w:r>
      <w:r w:rsidR="004C4CBB" w:rsidRPr="001864B4">
        <w:rPr>
          <w:sz w:val="26"/>
          <w:szCs w:val="26"/>
        </w:rPr>
        <w:t xml:space="preserve"> </w:t>
      </w:r>
      <w:r w:rsidR="00AE44B1" w:rsidRPr="001864B4">
        <w:rPr>
          <w:sz w:val="26"/>
          <w:szCs w:val="26"/>
        </w:rPr>
        <w:t>al ser</w:t>
      </w:r>
      <w:r w:rsidR="00416FE0" w:rsidRPr="001864B4">
        <w:rPr>
          <w:sz w:val="26"/>
          <w:szCs w:val="26"/>
        </w:rPr>
        <w:t xml:space="preserve"> inconstitucionales </w:t>
      </w:r>
      <w:r w:rsidR="00AE44B1" w:rsidRPr="001864B4">
        <w:rPr>
          <w:sz w:val="26"/>
          <w:szCs w:val="26"/>
        </w:rPr>
        <w:t>por</w:t>
      </w:r>
      <w:r w:rsidR="00416FE0" w:rsidRPr="001864B4">
        <w:rPr>
          <w:sz w:val="26"/>
          <w:szCs w:val="26"/>
        </w:rPr>
        <w:t xml:space="preserve"> vulnerar los principios de legalidad, reserva y subordinación jerárquica de la ley, </w:t>
      </w:r>
      <w:r w:rsidR="003C35B4" w:rsidRPr="001864B4">
        <w:rPr>
          <w:sz w:val="26"/>
          <w:szCs w:val="26"/>
        </w:rPr>
        <w:t xml:space="preserve">pues </w:t>
      </w:r>
      <w:r w:rsidR="008608EC" w:rsidRPr="001864B4">
        <w:rPr>
          <w:sz w:val="26"/>
          <w:szCs w:val="26"/>
        </w:rPr>
        <w:t>establecían</w:t>
      </w:r>
      <w:r w:rsidR="00416FE0" w:rsidRPr="001864B4">
        <w:rPr>
          <w:sz w:val="26"/>
          <w:szCs w:val="26"/>
        </w:rPr>
        <w:t xml:space="preserve"> aspectos que fueron reservados de manera exclusiva a la Federación, mediante la expedición de la Ley General de Responsabilidades Administrativas.</w:t>
      </w:r>
    </w:p>
    <w:p w14:paraId="4D497357" w14:textId="77777777" w:rsidR="00105B5B" w:rsidRPr="001864B4" w:rsidRDefault="00105B5B" w:rsidP="001864B4">
      <w:pPr>
        <w:pStyle w:val="Estilo"/>
        <w:spacing w:line="360" w:lineRule="auto"/>
        <w:rPr>
          <w:sz w:val="26"/>
          <w:szCs w:val="26"/>
        </w:rPr>
      </w:pPr>
    </w:p>
    <w:p w14:paraId="4F8CCBAB" w14:textId="19ADC972" w:rsidR="008608EC" w:rsidRPr="001864B4" w:rsidRDefault="00AE44B1" w:rsidP="001864B4">
      <w:pPr>
        <w:pStyle w:val="Estilo"/>
        <w:spacing w:line="360" w:lineRule="auto"/>
        <w:rPr>
          <w:sz w:val="26"/>
          <w:szCs w:val="26"/>
        </w:rPr>
      </w:pPr>
      <w:r w:rsidRPr="001864B4">
        <w:rPr>
          <w:sz w:val="26"/>
          <w:szCs w:val="26"/>
        </w:rPr>
        <w:t>En aquella ocasión me separe de consideraciones</w:t>
      </w:r>
      <w:r w:rsidR="004C4CBB" w:rsidRPr="001864B4">
        <w:rPr>
          <w:sz w:val="26"/>
          <w:szCs w:val="26"/>
        </w:rPr>
        <w:t xml:space="preserve">. </w:t>
      </w:r>
      <w:r w:rsidR="008608EC" w:rsidRPr="001864B4">
        <w:rPr>
          <w:sz w:val="26"/>
          <w:szCs w:val="26"/>
        </w:rPr>
        <w:t xml:space="preserve">Considero que las leyes generales no centralizan, en su totalidad la facultad legislativa y por ello los </w:t>
      </w:r>
      <w:r w:rsidR="00976ED0">
        <w:rPr>
          <w:sz w:val="26"/>
          <w:szCs w:val="26"/>
        </w:rPr>
        <w:t>C</w:t>
      </w:r>
      <w:r w:rsidR="008608EC" w:rsidRPr="001864B4">
        <w:rPr>
          <w:sz w:val="26"/>
          <w:szCs w:val="26"/>
        </w:rPr>
        <w:t xml:space="preserve">ongresos estatales conservan su potestad legislativa, siempre que mantengan su legislación dentro del sistema o conforme a los parámetros establecidos en la </w:t>
      </w:r>
      <w:r w:rsidR="00A352A8">
        <w:rPr>
          <w:sz w:val="26"/>
          <w:szCs w:val="26"/>
        </w:rPr>
        <w:t>L</w:t>
      </w:r>
      <w:r w:rsidR="008608EC" w:rsidRPr="001864B4">
        <w:rPr>
          <w:sz w:val="26"/>
          <w:szCs w:val="26"/>
        </w:rPr>
        <w:t xml:space="preserve">ey </w:t>
      </w:r>
      <w:r w:rsidR="00A352A8">
        <w:rPr>
          <w:sz w:val="26"/>
          <w:szCs w:val="26"/>
        </w:rPr>
        <w:t>G</w:t>
      </w:r>
      <w:r w:rsidR="008608EC" w:rsidRPr="001864B4">
        <w:rPr>
          <w:sz w:val="26"/>
          <w:szCs w:val="26"/>
        </w:rPr>
        <w:t>eneral.</w:t>
      </w:r>
    </w:p>
    <w:p w14:paraId="5EC891C3" w14:textId="77777777" w:rsidR="008608EC" w:rsidRPr="001864B4" w:rsidRDefault="008608EC" w:rsidP="001864B4">
      <w:pPr>
        <w:pStyle w:val="Estilo"/>
        <w:spacing w:line="360" w:lineRule="auto"/>
        <w:rPr>
          <w:sz w:val="26"/>
          <w:szCs w:val="26"/>
        </w:rPr>
      </w:pPr>
    </w:p>
    <w:p w14:paraId="09F34E3A" w14:textId="56581BF5" w:rsidR="00822A5F" w:rsidRPr="001864B4" w:rsidRDefault="001F754E" w:rsidP="001864B4">
      <w:pPr>
        <w:pStyle w:val="Estilo"/>
        <w:spacing w:line="360" w:lineRule="auto"/>
        <w:rPr>
          <w:sz w:val="26"/>
          <w:szCs w:val="26"/>
        </w:rPr>
      </w:pPr>
      <w:r w:rsidRPr="001864B4">
        <w:rPr>
          <w:sz w:val="26"/>
          <w:szCs w:val="26"/>
        </w:rPr>
        <w:t xml:space="preserve">Al respecto, </w:t>
      </w:r>
      <w:r w:rsidR="00822A5F" w:rsidRPr="001864B4">
        <w:rPr>
          <w:sz w:val="26"/>
          <w:szCs w:val="26"/>
        </w:rPr>
        <w:t xml:space="preserve">del proceso legislativo </w:t>
      </w:r>
      <w:r w:rsidRPr="001864B4">
        <w:rPr>
          <w:sz w:val="26"/>
          <w:szCs w:val="26"/>
        </w:rPr>
        <w:t>que dio origen a la reforma constitucional en materia anticorrupción de veintisiete de mayo de dos mil quince, por la</w:t>
      </w:r>
      <w:r w:rsidR="003A0ED0" w:rsidRPr="001864B4">
        <w:rPr>
          <w:sz w:val="26"/>
          <w:szCs w:val="26"/>
        </w:rPr>
        <w:t xml:space="preserve"> </w:t>
      </w:r>
      <w:r w:rsidRPr="001864B4">
        <w:rPr>
          <w:sz w:val="26"/>
          <w:szCs w:val="26"/>
        </w:rPr>
        <w:t>que se creó la Ley General de Responsabilidades Administrativas</w:t>
      </w:r>
      <w:r w:rsidR="003A0ED0" w:rsidRPr="001864B4">
        <w:rPr>
          <w:sz w:val="26"/>
          <w:szCs w:val="26"/>
        </w:rPr>
        <w:t xml:space="preserve">, se </w:t>
      </w:r>
      <w:r w:rsidR="00822A5F" w:rsidRPr="001864B4">
        <w:rPr>
          <w:sz w:val="26"/>
          <w:szCs w:val="26"/>
        </w:rPr>
        <w:t xml:space="preserve">advierte que el Senado de la República al emitir el dictamen en su carácter de cámara revisora, señaló que la </w:t>
      </w:r>
      <w:r w:rsidR="00A352A8">
        <w:rPr>
          <w:sz w:val="26"/>
          <w:szCs w:val="26"/>
        </w:rPr>
        <w:t>L</w:t>
      </w:r>
      <w:r w:rsidR="00822A5F" w:rsidRPr="001864B4">
        <w:rPr>
          <w:sz w:val="26"/>
          <w:szCs w:val="26"/>
        </w:rPr>
        <w:t xml:space="preserve">ey </w:t>
      </w:r>
      <w:r w:rsidR="00A352A8">
        <w:rPr>
          <w:sz w:val="26"/>
          <w:szCs w:val="26"/>
        </w:rPr>
        <w:t>G</w:t>
      </w:r>
      <w:r w:rsidR="00822A5F" w:rsidRPr="001864B4">
        <w:rPr>
          <w:sz w:val="26"/>
          <w:szCs w:val="26"/>
        </w:rPr>
        <w:t xml:space="preserve">eneral distribuirá competencias entre los órdenes de gobierno </w:t>
      </w:r>
      <w:r w:rsidR="00822A5F" w:rsidRPr="001864B4">
        <w:rPr>
          <w:i/>
          <w:sz w:val="26"/>
          <w:szCs w:val="26"/>
        </w:rPr>
        <w:t>“para establecer las responsabilidades administrativas”</w:t>
      </w:r>
      <w:r w:rsidR="00822A5F" w:rsidRPr="001864B4">
        <w:rPr>
          <w:sz w:val="26"/>
          <w:szCs w:val="26"/>
        </w:rPr>
        <w:t xml:space="preserve"> y que si bien se establecen en actos formal y materialmente legislativos, ello no hace nugatoria la facultad de las entidades federativas de legislar en la </w:t>
      </w:r>
      <w:r w:rsidR="00822A5F" w:rsidRPr="001864B4">
        <w:rPr>
          <w:sz w:val="26"/>
          <w:szCs w:val="26"/>
        </w:rPr>
        <w:lastRenderedPageBreak/>
        <w:t xml:space="preserve">materia, sólo que habrán de hacerlo en congruencia con lo que disponga la </w:t>
      </w:r>
      <w:r w:rsidR="00A352A8">
        <w:rPr>
          <w:sz w:val="26"/>
          <w:szCs w:val="26"/>
        </w:rPr>
        <w:t>L</w:t>
      </w:r>
      <w:r w:rsidR="00822A5F" w:rsidRPr="001864B4">
        <w:rPr>
          <w:sz w:val="26"/>
          <w:szCs w:val="26"/>
        </w:rPr>
        <w:t xml:space="preserve">ey </w:t>
      </w:r>
      <w:r w:rsidR="00A352A8">
        <w:rPr>
          <w:sz w:val="26"/>
          <w:szCs w:val="26"/>
        </w:rPr>
        <w:t>G</w:t>
      </w:r>
      <w:r w:rsidR="00822A5F" w:rsidRPr="001864B4">
        <w:rPr>
          <w:sz w:val="26"/>
          <w:szCs w:val="26"/>
        </w:rPr>
        <w:t xml:space="preserve">eneral. </w:t>
      </w:r>
    </w:p>
    <w:p w14:paraId="560CC1AA" w14:textId="77777777" w:rsidR="00822A5F" w:rsidRPr="001864B4" w:rsidRDefault="00822A5F" w:rsidP="001864B4">
      <w:pPr>
        <w:pStyle w:val="Estilo"/>
        <w:spacing w:line="360" w:lineRule="auto"/>
        <w:rPr>
          <w:sz w:val="26"/>
          <w:szCs w:val="26"/>
        </w:rPr>
      </w:pPr>
    </w:p>
    <w:p w14:paraId="5B8120EF" w14:textId="4C54E6E1" w:rsidR="00E929F2" w:rsidRPr="001864B4" w:rsidRDefault="00822A5F" w:rsidP="001864B4">
      <w:pPr>
        <w:pStyle w:val="Estilo"/>
        <w:spacing w:line="360" w:lineRule="auto"/>
        <w:rPr>
          <w:sz w:val="26"/>
          <w:szCs w:val="26"/>
        </w:rPr>
      </w:pPr>
      <w:r w:rsidRPr="001864B4">
        <w:rPr>
          <w:sz w:val="26"/>
          <w:szCs w:val="26"/>
        </w:rPr>
        <w:t xml:space="preserve">Incluso en dicho dictamen estableció que </w:t>
      </w:r>
      <w:r w:rsidRPr="001864B4">
        <w:rPr>
          <w:i/>
          <w:sz w:val="26"/>
          <w:szCs w:val="26"/>
        </w:rPr>
        <w:t>“…contempla la facultad del Congreso de la Unión, en su carácter de autoridad del orden constitucional, de determinar aspectos subjetivos y adjetivos en materia de responsabilidades de servidores públicos, aplicables a todos los órdenes de gobierno, así como reservar a la Federación y a las entidades federativas la regulación de otras conductas que, atendiendo a la naturaleza y circunstancias específicas de cada uno de ellos, deban ser reguladas por la legislación federal o local; además de distribuir competencias, lo que permitirá una mayor articulación con el Sistema</w:t>
      </w:r>
      <w:r w:rsidR="001F754E" w:rsidRPr="001864B4">
        <w:rPr>
          <w:sz w:val="26"/>
          <w:szCs w:val="26"/>
        </w:rPr>
        <w:t>, que constituye el eje central</w:t>
      </w:r>
      <w:r w:rsidR="003A0ED0" w:rsidRPr="001864B4">
        <w:rPr>
          <w:sz w:val="26"/>
          <w:szCs w:val="26"/>
        </w:rPr>
        <w:t xml:space="preserve"> </w:t>
      </w:r>
      <w:r w:rsidR="001F754E" w:rsidRPr="001864B4">
        <w:rPr>
          <w:sz w:val="26"/>
          <w:szCs w:val="26"/>
        </w:rPr>
        <w:t>de la reforma</w:t>
      </w:r>
      <w:r w:rsidRPr="001864B4">
        <w:rPr>
          <w:sz w:val="26"/>
          <w:szCs w:val="26"/>
        </w:rPr>
        <w:t>”</w:t>
      </w:r>
      <w:r w:rsidR="002E4B25">
        <w:rPr>
          <w:sz w:val="26"/>
          <w:szCs w:val="26"/>
        </w:rPr>
        <w:t>.</w:t>
      </w:r>
    </w:p>
    <w:p w14:paraId="1ED15DC0" w14:textId="77777777" w:rsidR="00D61032" w:rsidRPr="001864B4" w:rsidRDefault="00D61032" w:rsidP="001864B4">
      <w:pPr>
        <w:pStyle w:val="Estilo"/>
        <w:spacing w:line="360" w:lineRule="auto"/>
        <w:rPr>
          <w:sz w:val="26"/>
          <w:szCs w:val="26"/>
        </w:rPr>
      </w:pPr>
    </w:p>
    <w:p w14:paraId="13B1BA03" w14:textId="5AC852F9" w:rsidR="00CF001C" w:rsidRPr="001864B4" w:rsidRDefault="00E45190" w:rsidP="001864B4">
      <w:pPr>
        <w:pStyle w:val="Estilo"/>
        <w:spacing w:line="360" w:lineRule="auto"/>
        <w:rPr>
          <w:sz w:val="26"/>
          <w:szCs w:val="26"/>
        </w:rPr>
      </w:pPr>
      <w:r w:rsidRPr="001864B4">
        <w:rPr>
          <w:sz w:val="26"/>
          <w:szCs w:val="26"/>
        </w:rPr>
        <w:t>Por otra parte</w:t>
      </w:r>
      <w:r w:rsidR="00D61032" w:rsidRPr="001864B4">
        <w:rPr>
          <w:sz w:val="26"/>
          <w:szCs w:val="26"/>
        </w:rPr>
        <w:t xml:space="preserve">, el </w:t>
      </w:r>
      <w:r w:rsidRPr="001864B4">
        <w:rPr>
          <w:sz w:val="26"/>
          <w:szCs w:val="26"/>
        </w:rPr>
        <w:t xml:space="preserve">artículo </w:t>
      </w:r>
      <w:r w:rsidR="00CF001C" w:rsidRPr="001864B4">
        <w:rPr>
          <w:sz w:val="26"/>
          <w:szCs w:val="26"/>
        </w:rPr>
        <w:t xml:space="preserve">124 </w:t>
      </w:r>
      <w:r w:rsidR="00D61032" w:rsidRPr="001864B4">
        <w:rPr>
          <w:sz w:val="26"/>
          <w:szCs w:val="26"/>
        </w:rPr>
        <w:t xml:space="preserve">de la Constitución </w:t>
      </w:r>
      <w:r w:rsidR="00777463" w:rsidRPr="001864B4">
        <w:rPr>
          <w:sz w:val="26"/>
          <w:szCs w:val="26"/>
        </w:rPr>
        <w:t>F</w:t>
      </w:r>
      <w:r w:rsidR="003C35B4" w:rsidRPr="001864B4">
        <w:rPr>
          <w:sz w:val="26"/>
          <w:szCs w:val="26"/>
        </w:rPr>
        <w:t>ederal establece</w:t>
      </w:r>
      <w:r w:rsidR="00247636" w:rsidRPr="001864B4">
        <w:rPr>
          <w:sz w:val="26"/>
          <w:szCs w:val="26"/>
        </w:rPr>
        <w:t xml:space="preserve"> que</w:t>
      </w:r>
      <w:r w:rsidR="00CF001C" w:rsidRPr="001864B4">
        <w:rPr>
          <w:sz w:val="26"/>
          <w:szCs w:val="26"/>
        </w:rPr>
        <w:t xml:space="preserve"> las facultades que no están expresamente concedidas por la</w:t>
      </w:r>
      <w:r w:rsidR="00247636" w:rsidRPr="001864B4">
        <w:rPr>
          <w:sz w:val="26"/>
          <w:szCs w:val="26"/>
        </w:rPr>
        <w:t xml:space="preserve"> </w:t>
      </w:r>
      <w:r w:rsidR="00CF001C" w:rsidRPr="001864B4">
        <w:rPr>
          <w:sz w:val="26"/>
          <w:szCs w:val="26"/>
        </w:rPr>
        <w:t>Constitución a los funcionarios federales se entienden reservadas a los</w:t>
      </w:r>
      <w:r w:rsidR="00247636" w:rsidRPr="001864B4">
        <w:rPr>
          <w:sz w:val="26"/>
          <w:szCs w:val="26"/>
        </w:rPr>
        <w:t xml:space="preserve"> </w:t>
      </w:r>
      <w:r w:rsidR="00CF001C" w:rsidRPr="001864B4">
        <w:rPr>
          <w:sz w:val="26"/>
          <w:szCs w:val="26"/>
        </w:rPr>
        <w:t>Estados o a la Ciudad de México, en el ámbito de sus respectivas</w:t>
      </w:r>
      <w:r w:rsidR="00247636" w:rsidRPr="001864B4">
        <w:rPr>
          <w:sz w:val="26"/>
          <w:szCs w:val="26"/>
        </w:rPr>
        <w:t xml:space="preserve"> </w:t>
      </w:r>
      <w:r w:rsidR="00CF001C" w:rsidRPr="001864B4">
        <w:rPr>
          <w:sz w:val="26"/>
          <w:szCs w:val="26"/>
        </w:rPr>
        <w:t>competencias</w:t>
      </w:r>
      <w:r w:rsidRPr="001864B4">
        <w:rPr>
          <w:sz w:val="26"/>
          <w:szCs w:val="26"/>
        </w:rPr>
        <w:t>.</w:t>
      </w:r>
    </w:p>
    <w:p w14:paraId="2E2EDAAF" w14:textId="77777777" w:rsidR="00E45190" w:rsidRPr="001864B4" w:rsidRDefault="00E45190" w:rsidP="001864B4">
      <w:pPr>
        <w:pStyle w:val="Estilo"/>
        <w:spacing w:line="360" w:lineRule="auto"/>
        <w:rPr>
          <w:sz w:val="26"/>
          <w:szCs w:val="26"/>
        </w:rPr>
      </w:pPr>
    </w:p>
    <w:p w14:paraId="07E43B67" w14:textId="31FB436A" w:rsidR="00E45190" w:rsidRDefault="00E45190" w:rsidP="001864B4">
      <w:pPr>
        <w:pStyle w:val="Estilo"/>
        <w:spacing w:line="360" w:lineRule="auto"/>
        <w:rPr>
          <w:sz w:val="26"/>
          <w:szCs w:val="26"/>
        </w:rPr>
      </w:pPr>
      <w:r w:rsidRPr="001864B4">
        <w:rPr>
          <w:sz w:val="26"/>
          <w:szCs w:val="26"/>
        </w:rPr>
        <w:t>Por lo que</w:t>
      </w:r>
      <w:r w:rsidR="00357F19" w:rsidRPr="001864B4">
        <w:rPr>
          <w:sz w:val="26"/>
          <w:szCs w:val="26"/>
        </w:rPr>
        <w:t xml:space="preserve"> </w:t>
      </w:r>
      <w:r w:rsidRPr="001864B4">
        <w:rPr>
          <w:sz w:val="26"/>
          <w:szCs w:val="26"/>
        </w:rPr>
        <w:t xml:space="preserve">las entidades federativas tienen la facultad de legislar en materia de responsabilidad administrativa, siempre y cuando no contravengan las bases mínimas que dispone la </w:t>
      </w:r>
      <w:r w:rsidR="00A352A8">
        <w:rPr>
          <w:sz w:val="26"/>
          <w:szCs w:val="26"/>
        </w:rPr>
        <w:t>L</w:t>
      </w:r>
      <w:r w:rsidRPr="001864B4">
        <w:rPr>
          <w:sz w:val="26"/>
          <w:szCs w:val="26"/>
        </w:rPr>
        <w:t xml:space="preserve">ey </w:t>
      </w:r>
      <w:r w:rsidR="00A352A8">
        <w:rPr>
          <w:sz w:val="26"/>
          <w:szCs w:val="26"/>
        </w:rPr>
        <w:t>G</w:t>
      </w:r>
      <w:r w:rsidRPr="001864B4">
        <w:rPr>
          <w:sz w:val="26"/>
          <w:szCs w:val="26"/>
        </w:rPr>
        <w:t>eneral.</w:t>
      </w:r>
    </w:p>
    <w:p w14:paraId="0422428D" w14:textId="77777777" w:rsidR="00105B5B" w:rsidRPr="001864B4" w:rsidRDefault="00105B5B" w:rsidP="001864B4">
      <w:pPr>
        <w:pStyle w:val="Estilo"/>
        <w:spacing w:line="360" w:lineRule="auto"/>
        <w:rPr>
          <w:sz w:val="26"/>
          <w:szCs w:val="26"/>
        </w:rPr>
      </w:pPr>
    </w:p>
    <w:p w14:paraId="49AAC07E" w14:textId="3C8E19A6" w:rsidR="00CF001C" w:rsidRDefault="00685DEC" w:rsidP="001864B4">
      <w:pPr>
        <w:pStyle w:val="Estilo"/>
        <w:spacing w:line="360" w:lineRule="auto"/>
        <w:rPr>
          <w:sz w:val="26"/>
          <w:szCs w:val="26"/>
        </w:rPr>
      </w:pPr>
      <w:r w:rsidRPr="00685DEC">
        <w:rPr>
          <w:sz w:val="26"/>
          <w:szCs w:val="26"/>
        </w:rPr>
        <w:t>En este sentido,</w:t>
      </w:r>
      <w:r w:rsidR="00215326" w:rsidRPr="00685DEC">
        <w:rPr>
          <w:sz w:val="26"/>
          <w:szCs w:val="26"/>
        </w:rPr>
        <w:t xml:space="preserve"> </w:t>
      </w:r>
      <w:r w:rsidRPr="00685DEC">
        <w:rPr>
          <w:sz w:val="26"/>
          <w:szCs w:val="26"/>
        </w:rPr>
        <w:t xml:space="preserve">respetuosamente no comparto </w:t>
      </w:r>
      <w:r w:rsidR="003A17C4" w:rsidRPr="00685DEC">
        <w:rPr>
          <w:sz w:val="26"/>
          <w:szCs w:val="26"/>
        </w:rPr>
        <w:t>la metodología</w:t>
      </w:r>
      <w:r w:rsidR="003A17C4" w:rsidRPr="001864B4">
        <w:rPr>
          <w:sz w:val="26"/>
          <w:szCs w:val="26"/>
        </w:rPr>
        <w:t xml:space="preserve"> de la sentencia </w:t>
      </w:r>
      <w:r w:rsidR="00215326" w:rsidRPr="001864B4">
        <w:rPr>
          <w:sz w:val="26"/>
          <w:szCs w:val="26"/>
        </w:rPr>
        <w:t>relativa a realizar</w:t>
      </w:r>
      <w:r w:rsidR="003A17C4" w:rsidRPr="001864B4">
        <w:rPr>
          <w:sz w:val="26"/>
          <w:szCs w:val="26"/>
        </w:rPr>
        <w:t xml:space="preserve"> un comparativo entre la Ley General de Responsabilidades Administrativas y la ley local impugnada, </w:t>
      </w:r>
      <w:r w:rsidR="00A66D37">
        <w:rPr>
          <w:sz w:val="26"/>
          <w:szCs w:val="26"/>
        </w:rPr>
        <w:t xml:space="preserve">y declarar </w:t>
      </w:r>
      <w:r w:rsidR="002E4B25">
        <w:rPr>
          <w:sz w:val="26"/>
          <w:szCs w:val="26"/>
        </w:rPr>
        <w:t xml:space="preserve">inválido </w:t>
      </w:r>
      <w:r w:rsidR="003A17C4" w:rsidRPr="001864B4">
        <w:rPr>
          <w:sz w:val="26"/>
          <w:szCs w:val="26"/>
        </w:rPr>
        <w:t>en esencia, todo aquello que es distinto a la Ley General, pues tal como se estableció</w:t>
      </w:r>
      <w:r w:rsidR="00652EA3">
        <w:rPr>
          <w:sz w:val="26"/>
          <w:szCs w:val="26"/>
        </w:rPr>
        <w:t xml:space="preserve"> en</w:t>
      </w:r>
      <w:r w:rsidR="003A17C4" w:rsidRPr="001864B4">
        <w:rPr>
          <w:sz w:val="26"/>
          <w:szCs w:val="26"/>
        </w:rPr>
        <w:t xml:space="preserve"> líneas precedentes</w:t>
      </w:r>
      <w:r w:rsidR="002E4B25">
        <w:rPr>
          <w:sz w:val="26"/>
          <w:szCs w:val="26"/>
        </w:rPr>
        <w:t>,</w:t>
      </w:r>
      <w:r w:rsidR="003A17C4" w:rsidRPr="001864B4">
        <w:rPr>
          <w:sz w:val="26"/>
          <w:szCs w:val="26"/>
        </w:rPr>
        <w:t xml:space="preserve"> la reforma constitucional en materia anticorrupción</w:t>
      </w:r>
      <w:r w:rsidR="00CF001C" w:rsidRPr="001864B4">
        <w:rPr>
          <w:sz w:val="26"/>
          <w:szCs w:val="26"/>
        </w:rPr>
        <w:t xml:space="preserve"> reservó a la Federación y a las entidades federativas la regulación de otras conductas que, atendiendo a la naturaleza y circunstancias específicas de cada uno de ellos, deban ser reguladas por la legislación federal o local. </w:t>
      </w:r>
    </w:p>
    <w:p w14:paraId="4366FC40" w14:textId="77777777" w:rsidR="00105B5B" w:rsidRPr="001864B4" w:rsidRDefault="00105B5B" w:rsidP="001864B4">
      <w:pPr>
        <w:pStyle w:val="Estilo"/>
        <w:spacing w:line="360" w:lineRule="auto"/>
        <w:rPr>
          <w:sz w:val="26"/>
          <w:szCs w:val="26"/>
        </w:rPr>
      </w:pPr>
    </w:p>
    <w:p w14:paraId="4E79FB91" w14:textId="6B6F0D38" w:rsidR="00777463" w:rsidRPr="001864B4" w:rsidRDefault="00777463" w:rsidP="001864B4">
      <w:pPr>
        <w:pStyle w:val="Estilo"/>
        <w:spacing w:line="360" w:lineRule="auto"/>
        <w:rPr>
          <w:sz w:val="26"/>
          <w:szCs w:val="26"/>
        </w:rPr>
      </w:pPr>
      <w:r w:rsidRPr="001864B4">
        <w:rPr>
          <w:sz w:val="26"/>
          <w:szCs w:val="26"/>
        </w:rPr>
        <w:lastRenderedPageBreak/>
        <w:t xml:space="preserve">Bajo este contexto, en mi opinión </w:t>
      </w:r>
      <w:r w:rsidRPr="001864B4">
        <w:rPr>
          <w:sz w:val="26"/>
          <w:szCs w:val="26"/>
          <w:u w:val="single"/>
        </w:rPr>
        <w:t>en la Constitución Federal o en la Ley General de Responsabilidades Administrativas no se prohíbe que se pueda ampliar el catálogo de conductas o de supuestos de responsabilidad administrativa</w:t>
      </w:r>
      <w:r w:rsidRPr="000E0F66">
        <w:rPr>
          <w:sz w:val="26"/>
          <w:szCs w:val="26"/>
        </w:rPr>
        <w:t>. Los catálogos no son limitativos, sino que son precisamente un mínimo que tiene que ser respetado tanto por la legislación federal como por las legislaturas locales</w:t>
      </w:r>
      <w:r w:rsidRPr="001864B4">
        <w:rPr>
          <w:sz w:val="26"/>
          <w:szCs w:val="26"/>
        </w:rPr>
        <w:t>.</w:t>
      </w:r>
    </w:p>
    <w:p w14:paraId="5B9A6DFA" w14:textId="77777777" w:rsidR="00777463" w:rsidRPr="001864B4" w:rsidRDefault="00777463" w:rsidP="001864B4">
      <w:pPr>
        <w:pStyle w:val="Estilo"/>
        <w:spacing w:line="360" w:lineRule="auto"/>
        <w:rPr>
          <w:sz w:val="26"/>
          <w:szCs w:val="26"/>
        </w:rPr>
      </w:pPr>
    </w:p>
    <w:p w14:paraId="1825A5E0" w14:textId="36DEF5E0" w:rsidR="00105B5B" w:rsidRDefault="000751F0" w:rsidP="002E4B25">
      <w:pPr>
        <w:pStyle w:val="Estilo"/>
        <w:spacing w:after="240" w:line="360" w:lineRule="auto"/>
        <w:rPr>
          <w:b/>
          <w:color w:val="000000"/>
          <w:sz w:val="26"/>
          <w:szCs w:val="26"/>
        </w:rPr>
      </w:pPr>
      <w:r w:rsidRPr="001864B4">
        <w:rPr>
          <w:rFonts w:eastAsia="Times New Roman"/>
          <w:b/>
          <w:sz w:val="26"/>
          <w:szCs w:val="26"/>
          <w:lang w:val="es-ES_tradnl" w:eastAsia="es-MX"/>
        </w:rPr>
        <w:t>Voto particular</w:t>
      </w:r>
      <w:r w:rsidR="00652EA3">
        <w:rPr>
          <w:rFonts w:eastAsia="Times New Roman"/>
          <w:b/>
          <w:sz w:val="26"/>
          <w:szCs w:val="26"/>
          <w:lang w:val="es-ES_tradnl" w:eastAsia="es-MX"/>
        </w:rPr>
        <w:t>.</w:t>
      </w:r>
    </w:p>
    <w:p w14:paraId="502E27CA" w14:textId="381B8E44" w:rsidR="00777463" w:rsidRPr="002E4B25" w:rsidRDefault="00652EA3" w:rsidP="00652EA3">
      <w:pPr>
        <w:pStyle w:val="Estilo"/>
        <w:spacing w:after="240" w:line="360" w:lineRule="auto"/>
        <w:rPr>
          <w:b/>
          <w:bCs/>
          <w:sz w:val="26"/>
          <w:szCs w:val="26"/>
        </w:rPr>
      </w:pPr>
      <w:r>
        <w:rPr>
          <w:b/>
          <w:color w:val="000000"/>
          <w:sz w:val="26"/>
          <w:szCs w:val="26"/>
        </w:rPr>
        <w:t xml:space="preserve">I. </w:t>
      </w:r>
      <w:r w:rsidR="005C2320" w:rsidRPr="002E4B25">
        <w:rPr>
          <w:b/>
          <w:color w:val="000000"/>
          <w:sz w:val="26"/>
          <w:szCs w:val="26"/>
        </w:rPr>
        <w:t>Parámetro diferenciado</w:t>
      </w:r>
      <w:r>
        <w:rPr>
          <w:b/>
          <w:color w:val="000000"/>
          <w:sz w:val="26"/>
          <w:szCs w:val="26"/>
        </w:rPr>
        <w:t>.</w:t>
      </w:r>
    </w:p>
    <w:p w14:paraId="43404ADF" w14:textId="292856AA" w:rsidR="008070DA" w:rsidRPr="00CA459A" w:rsidRDefault="002E4B25" w:rsidP="009D79C9">
      <w:pPr>
        <w:pStyle w:val="Estilo"/>
        <w:spacing w:line="360" w:lineRule="auto"/>
        <w:rPr>
          <w:sz w:val="26"/>
          <w:szCs w:val="26"/>
        </w:rPr>
      </w:pPr>
      <w:r>
        <w:rPr>
          <w:sz w:val="26"/>
          <w:szCs w:val="26"/>
        </w:rPr>
        <w:t>N</w:t>
      </w:r>
      <w:r w:rsidR="009D79C9" w:rsidRPr="00685DEC">
        <w:rPr>
          <w:sz w:val="26"/>
          <w:szCs w:val="26"/>
        </w:rPr>
        <w:t xml:space="preserve">o comparto la declaración de invalidez de las porciones normativas </w:t>
      </w:r>
      <w:r w:rsidR="00CA459A" w:rsidRPr="00685DEC">
        <w:rPr>
          <w:sz w:val="26"/>
          <w:szCs w:val="26"/>
        </w:rPr>
        <w:t>de los artículos 24, 75, 81 y 96 de la Ley impugnada</w:t>
      </w:r>
      <w:r w:rsidR="009D79C9" w:rsidRPr="00685DEC">
        <w:rPr>
          <w:sz w:val="26"/>
          <w:szCs w:val="26"/>
        </w:rPr>
        <w:t xml:space="preserve"> establecidas en la sentencia, debido que</w:t>
      </w:r>
      <w:r w:rsidR="00CA459A" w:rsidRPr="00685DEC">
        <w:rPr>
          <w:sz w:val="26"/>
          <w:szCs w:val="26"/>
        </w:rPr>
        <w:t xml:space="preserve"> </w:t>
      </w:r>
      <w:r w:rsidR="00D00364" w:rsidRPr="00685DEC">
        <w:rPr>
          <w:sz w:val="26"/>
          <w:szCs w:val="26"/>
          <w:u w:val="single"/>
        </w:rPr>
        <w:t>consider</w:t>
      </w:r>
      <w:r w:rsidR="00CA459A" w:rsidRPr="00685DEC">
        <w:rPr>
          <w:sz w:val="26"/>
          <w:szCs w:val="26"/>
          <w:u w:val="single"/>
        </w:rPr>
        <w:t>o</w:t>
      </w:r>
      <w:r w:rsidR="00D00364" w:rsidRPr="00685DEC">
        <w:rPr>
          <w:sz w:val="26"/>
          <w:szCs w:val="26"/>
          <w:u w:val="single"/>
        </w:rPr>
        <w:t xml:space="preserve"> que estos </w:t>
      </w:r>
      <w:r w:rsidR="00621A39" w:rsidRPr="00685DEC">
        <w:rPr>
          <w:sz w:val="26"/>
          <w:szCs w:val="26"/>
          <w:u w:val="single"/>
        </w:rPr>
        <w:t xml:space="preserve">únicamente </w:t>
      </w:r>
      <w:r w:rsidR="002469AB" w:rsidRPr="00685DEC">
        <w:rPr>
          <w:sz w:val="26"/>
          <w:szCs w:val="26"/>
          <w:u w:val="single"/>
        </w:rPr>
        <w:t>amplían</w:t>
      </w:r>
      <w:r w:rsidR="007F17A9" w:rsidRPr="00685DEC">
        <w:rPr>
          <w:sz w:val="26"/>
          <w:szCs w:val="26"/>
          <w:u w:val="single"/>
        </w:rPr>
        <w:t xml:space="preserve"> una conducta</w:t>
      </w:r>
      <w:r w:rsidR="00CA459A" w:rsidRPr="00685DEC">
        <w:rPr>
          <w:sz w:val="26"/>
          <w:szCs w:val="26"/>
          <w:u w:val="single"/>
        </w:rPr>
        <w:t xml:space="preserve"> o de supuestos de responsabilidad administrativa</w:t>
      </w:r>
      <w:r w:rsidR="00701A0B" w:rsidRPr="00685DEC">
        <w:rPr>
          <w:sz w:val="26"/>
          <w:szCs w:val="26"/>
          <w:u w:val="single"/>
        </w:rPr>
        <w:t>,</w:t>
      </w:r>
      <w:r w:rsidR="008070DA" w:rsidRPr="00685DEC">
        <w:rPr>
          <w:sz w:val="26"/>
          <w:szCs w:val="26"/>
          <w:u w:val="single"/>
        </w:rPr>
        <w:t xml:space="preserve"> sin que ello conlleve la alteración </w:t>
      </w:r>
      <w:r w:rsidR="008070DA" w:rsidRPr="00685DEC">
        <w:rPr>
          <w:bCs/>
          <w:sz w:val="26"/>
          <w:szCs w:val="26"/>
          <w:u w:val="single"/>
        </w:rPr>
        <w:t xml:space="preserve">o modificación del sistema de distribución de competencias previsto en la </w:t>
      </w:r>
      <w:r w:rsidR="00A352A8">
        <w:rPr>
          <w:bCs/>
          <w:sz w:val="26"/>
          <w:szCs w:val="26"/>
          <w:u w:val="single"/>
        </w:rPr>
        <w:t>L</w:t>
      </w:r>
      <w:r w:rsidR="008070DA" w:rsidRPr="00685DEC">
        <w:rPr>
          <w:bCs/>
          <w:sz w:val="26"/>
          <w:szCs w:val="26"/>
          <w:u w:val="single"/>
        </w:rPr>
        <w:t xml:space="preserve">ey </w:t>
      </w:r>
      <w:r w:rsidR="00A352A8">
        <w:rPr>
          <w:bCs/>
          <w:sz w:val="26"/>
          <w:szCs w:val="26"/>
          <w:u w:val="single"/>
        </w:rPr>
        <w:t>G</w:t>
      </w:r>
      <w:r w:rsidR="008070DA" w:rsidRPr="00685DEC">
        <w:rPr>
          <w:bCs/>
          <w:sz w:val="26"/>
          <w:szCs w:val="26"/>
          <w:u w:val="single"/>
        </w:rPr>
        <w:t>eneral</w:t>
      </w:r>
      <w:r w:rsidR="008070DA" w:rsidRPr="002D0885">
        <w:rPr>
          <w:bCs/>
          <w:sz w:val="26"/>
          <w:szCs w:val="26"/>
        </w:rPr>
        <w:t>.</w:t>
      </w:r>
    </w:p>
    <w:p w14:paraId="482679EC" w14:textId="77777777" w:rsidR="00DC52CC" w:rsidRPr="001864B4" w:rsidRDefault="00DC52CC" w:rsidP="001864B4">
      <w:pPr>
        <w:pStyle w:val="Estilo"/>
        <w:spacing w:line="360" w:lineRule="auto"/>
        <w:rPr>
          <w:sz w:val="26"/>
          <w:szCs w:val="26"/>
        </w:rPr>
      </w:pPr>
    </w:p>
    <w:p w14:paraId="48152E72" w14:textId="32D95958" w:rsidR="00875AB6" w:rsidRPr="001864B4" w:rsidRDefault="007F17A9" w:rsidP="001864B4">
      <w:pPr>
        <w:pStyle w:val="Estilo"/>
        <w:spacing w:line="360" w:lineRule="auto"/>
        <w:rPr>
          <w:sz w:val="26"/>
          <w:szCs w:val="26"/>
        </w:rPr>
      </w:pPr>
      <w:r w:rsidRPr="001864B4">
        <w:rPr>
          <w:sz w:val="26"/>
          <w:szCs w:val="26"/>
        </w:rPr>
        <w:t>Tal como se ilustra a continuación:</w:t>
      </w:r>
    </w:p>
    <w:p w14:paraId="73F6410F" w14:textId="77777777" w:rsidR="00875AB6" w:rsidRPr="001864B4" w:rsidRDefault="00875AB6" w:rsidP="001864B4">
      <w:pPr>
        <w:pStyle w:val="Estilo"/>
        <w:spacing w:line="360" w:lineRule="auto"/>
        <w:rPr>
          <w:sz w:val="26"/>
          <w:szCs w:val="26"/>
        </w:rPr>
      </w:pPr>
    </w:p>
    <w:tbl>
      <w:tblPr>
        <w:tblStyle w:val="Tablaconcuadrcula"/>
        <w:tblW w:w="0" w:type="auto"/>
        <w:tblLayout w:type="fixed"/>
        <w:tblLook w:val="04A0" w:firstRow="1" w:lastRow="0" w:firstColumn="1" w:lastColumn="0" w:noHBand="0" w:noVBand="1"/>
      </w:tblPr>
      <w:tblGrid>
        <w:gridCol w:w="4390"/>
        <w:gridCol w:w="4438"/>
      </w:tblGrid>
      <w:tr w:rsidR="00875AB6" w:rsidRPr="00E219A7" w14:paraId="394DFD87" w14:textId="77777777" w:rsidTr="005B5A76">
        <w:trPr>
          <w:trHeight w:val="424"/>
        </w:trPr>
        <w:tc>
          <w:tcPr>
            <w:tcW w:w="4390" w:type="dxa"/>
          </w:tcPr>
          <w:p w14:paraId="0D3E7FBC" w14:textId="4D4ECA84" w:rsidR="00E90BA9" w:rsidRPr="00105B5B" w:rsidRDefault="00E90BA9" w:rsidP="00875AB6">
            <w:pPr>
              <w:rPr>
                <w:rFonts w:ascii="Arial" w:hAnsi="Arial" w:cs="Arial"/>
                <w:b/>
                <w:bCs/>
              </w:rPr>
            </w:pPr>
            <w:r w:rsidRPr="00105B5B">
              <w:rPr>
                <w:rFonts w:ascii="Arial" w:hAnsi="Arial" w:cs="Arial"/>
                <w:b/>
                <w:bCs/>
              </w:rPr>
              <w:t>Ley de Responsabilidades Administrativas del Estado de Nuevo León</w:t>
            </w:r>
            <w:r w:rsidR="00E70D40" w:rsidRPr="00105B5B">
              <w:rPr>
                <w:rFonts w:ascii="Arial" w:hAnsi="Arial" w:cs="Arial"/>
                <w:b/>
                <w:bCs/>
              </w:rPr>
              <w:t xml:space="preserve"> (ley impugnada)</w:t>
            </w:r>
          </w:p>
          <w:p w14:paraId="00B73023" w14:textId="3201E1C1" w:rsidR="00E90BA9" w:rsidRPr="00105B5B" w:rsidRDefault="00E90BA9" w:rsidP="00875AB6">
            <w:pPr>
              <w:rPr>
                <w:rFonts w:ascii="Arial" w:hAnsi="Arial" w:cs="Arial"/>
              </w:rPr>
            </w:pPr>
          </w:p>
        </w:tc>
        <w:tc>
          <w:tcPr>
            <w:tcW w:w="4438" w:type="dxa"/>
          </w:tcPr>
          <w:p w14:paraId="551123EB" w14:textId="77777777" w:rsidR="00E90BA9" w:rsidRPr="00105B5B" w:rsidRDefault="00E90BA9" w:rsidP="00E90BA9">
            <w:pPr>
              <w:rPr>
                <w:rFonts w:ascii="Arial" w:hAnsi="Arial" w:cs="Arial"/>
                <w:b/>
                <w:bCs/>
              </w:rPr>
            </w:pPr>
            <w:r w:rsidRPr="00105B5B">
              <w:rPr>
                <w:rFonts w:ascii="Arial" w:hAnsi="Arial" w:cs="Arial"/>
                <w:b/>
                <w:bCs/>
              </w:rPr>
              <w:t>Ley General de Responsabilidades Administrativas</w:t>
            </w:r>
          </w:p>
          <w:p w14:paraId="0EBE65A4" w14:textId="32893709" w:rsidR="00875AB6" w:rsidRPr="00105B5B" w:rsidRDefault="00875AB6" w:rsidP="00875AB6">
            <w:pPr>
              <w:rPr>
                <w:rFonts w:ascii="Arial" w:hAnsi="Arial" w:cs="Arial"/>
              </w:rPr>
            </w:pPr>
          </w:p>
        </w:tc>
      </w:tr>
      <w:tr w:rsidR="00875AB6" w:rsidRPr="00E219A7" w14:paraId="6C875FA8" w14:textId="77777777" w:rsidTr="005B5A76">
        <w:trPr>
          <w:trHeight w:val="850"/>
        </w:trPr>
        <w:tc>
          <w:tcPr>
            <w:tcW w:w="4390" w:type="dxa"/>
          </w:tcPr>
          <w:p w14:paraId="368B9985" w14:textId="22E6D732" w:rsidR="00875AB6" w:rsidRPr="00105B5B" w:rsidRDefault="00442337" w:rsidP="00CA459A">
            <w:pPr>
              <w:pStyle w:val="Estilo"/>
              <w:rPr>
                <w:rFonts w:cs="Arial"/>
                <w:sz w:val="22"/>
              </w:rPr>
            </w:pPr>
            <w:r w:rsidRPr="00105B5B">
              <w:rPr>
                <w:rFonts w:cs="Arial"/>
                <w:b/>
                <w:sz w:val="22"/>
              </w:rPr>
              <w:t>Artículo 24.</w:t>
            </w:r>
            <w:r w:rsidRPr="00105B5B">
              <w:rPr>
                <w:rFonts w:cs="Arial"/>
                <w:sz w:val="22"/>
              </w:rPr>
              <w:t xml:space="preserve"> Las personas morales serán sancionadas en los términos de esta Ley, cuando los actos vinculados con faltas administrativas graves o hechos de corrupción sean realizados por personas físicas que </w:t>
            </w:r>
            <w:r w:rsidRPr="00105B5B">
              <w:rPr>
                <w:rFonts w:cs="Arial"/>
                <w:b/>
                <w:sz w:val="22"/>
              </w:rPr>
              <w:t>directa o indirectamente</w:t>
            </w:r>
            <w:r w:rsidRPr="00105B5B">
              <w:rPr>
                <w:rFonts w:cs="Arial"/>
                <w:sz w:val="22"/>
              </w:rPr>
              <w:t xml:space="preserve"> actúen a su nombre, representación y pretendan obtener mediante tales conductas, beneficios para dicha persona moral </w:t>
            </w:r>
            <w:r w:rsidRPr="00105B5B">
              <w:rPr>
                <w:rFonts w:cs="Arial"/>
                <w:b/>
                <w:sz w:val="22"/>
              </w:rPr>
              <w:t>o sus socios, accionistas, propietarios o personas que ejerzan control sobre ella, incluyendo respecto a éstas últimas las personas previstas en el artículo 52 de esta Ley</w:t>
            </w:r>
            <w:r w:rsidRPr="00105B5B">
              <w:rPr>
                <w:rFonts w:cs="Arial"/>
                <w:sz w:val="22"/>
              </w:rPr>
              <w:t>.</w:t>
            </w:r>
          </w:p>
        </w:tc>
        <w:tc>
          <w:tcPr>
            <w:tcW w:w="4438" w:type="dxa"/>
          </w:tcPr>
          <w:p w14:paraId="2059EA4C" w14:textId="77777777" w:rsidR="00442337" w:rsidRPr="00105B5B" w:rsidRDefault="00442337" w:rsidP="00442337">
            <w:pPr>
              <w:pStyle w:val="Estilo"/>
              <w:rPr>
                <w:rFonts w:cs="Arial"/>
                <w:sz w:val="22"/>
              </w:rPr>
            </w:pPr>
            <w:r w:rsidRPr="00105B5B">
              <w:rPr>
                <w:rFonts w:cs="Arial"/>
                <w:b/>
                <w:sz w:val="22"/>
              </w:rPr>
              <w:t>Artículo 24.</w:t>
            </w:r>
            <w:r w:rsidRPr="00105B5B">
              <w:rPr>
                <w:rFonts w:cs="Arial"/>
                <w:sz w:val="22"/>
              </w:rPr>
              <w:t xml:space="preserve"> Las personas morales serán sancionadas en los términos de esta Ley cuando los actos vinculados con faltas administrativas graves sean realizados por personas físicas que actúen a su nombre o representación de la persona moral y pretendan obtener mediante tales conductas beneficios para dicha persona moral.</w:t>
            </w:r>
          </w:p>
          <w:p w14:paraId="073DE503" w14:textId="3986260D" w:rsidR="00875AB6" w:rsidRPr="00105B5B" w:rsidRDefault="00875AB6" w:rsidP="00875AB6">
            <w:pPr>
              <w:rPr>
                <w:rFonts w:ascii="Arial" w:hAnsi="Arial" w:cs="Arial"/>
              </w:rPr>
            </w:pPr>
          </w:p>
        </w:tc>
      </w:tr>
      <w:tr w:rsidR="00442337" w:rsidRPr="00E219A7" w14:paraId="3DBC3D90" w14:textId="77777777" w:rsidTr="005B5A76">
        <w:trPr>
          <w:trHeight w:val="850"/>
        </w:trPr>
        <w:tc>
          <w:tcPr>
            <w:tcW w:w="4390" w:type="dxa"/>
          </w:tcPr>
          <w:p w14:paraId="287A286E" w14:textId="52D4A8D6" w:rsidR="00E70D40" w:rsidRPr="00105B5B" w:rsidRDefault="00E70D40" w:rsidP="00E70D40">
            <w:pPr>
              <w:pStyle w:val="Estilo"/>
              <w:rPr>
                <w:rFonts w:cs="Arial"/>
                <w:sz w:val="22"/>
              </w:rPr>
            </w:pPr>
            <w:r w:rsidRPr="00105B5B">
              <w:rPr>
                <w:rFonts w:cs="Arial"/>
                <w:b/>
                <w:sz w:val="22"/>
              </w:rPr>
              <w:t>Artículo 75.</w:t>
            </w:r>
            <w:r w:rsidRPr="00105B5B">
              <w:rPr>
                <w:rFonts w:cs="Arial"/>
                <w:sz w:val="22"/>
              </w:rPr>
              <w:t xml:space="preserve"> </w:t>
            </w:r>
          </w:p>
          <w:p w14:paraId="716DCDC3" w14:textId="77777777" w:rsidR="00E70D40" w:rsidRPr="00105B5B" w:rsidRDefault="00E70D40" w:rsidP="00E70D40">
            <w:pPr>
              <w:pStyle w:val="Estilo"/>
              <w:rPr>
                <w:rFonts w:cs="Arial"/>
                <w:sz w:val="22"/>
              </w:rPr>
            </w:pPr>
            <w:r w:rsidRPr="00105B5B">
              <w:rPr>
                <w:rFonts w:cs="Arial"/>
                <w:sz w:val="22"/>
              </w:rPr>
              <w:t>[Segundo párrafo]</w:t>
            </w:r>
          </w:p>
          <w:p w14:paraId="1C7BAED3" w14:textId="77777777" w:rsidR="00E70D40" w:rsidRPr="00105B5B" w:rsidRDefault="00E70D40" w:rsidP="00E70D40">
            <w:pPr>
              <w:pStyle w:val="Estilo"/>
              <w:rPr>
                <w:rFonts w:cs="Arial"/>
                <w:sz w:val="22"/>
              </w:rPr>
            </w:pPr>
          </w:p>
          <w:p w14:paraId="4FEE873A" w14:textId="77777777" w:rsidR="00E70D40" w:rsidRPr="00105B5B" w:rsidRDefault="00E70D40" w:rsidP="00E70D40">
            <w:pPr>
              <w:pStyle w:val="Estilo"/>
              <w:rPr>
                <w:rFonts w:cs="Arial"/>
                <w:sz w:val="22"/>
              </w:rPr>
            </w:pPr>
            <w:r w:rsidRPr="00105B5B">
              <w:rPr>
                <w:rFonts w:cs="Arial"/>
                <w:sz w:val="22"/>
              </w:rPr>
              <w:t xml:space="preserve">La Contraloría y los Órganos Internos de Control podrán, imponer una o más de las sanciones administrativas señaladas en este artículo, </w:t>
            </w:r>
            <w:r w:rsidRPr="00105B5B">
              <w:rPr>
                <w:rFonts w:cs="Arial"/>
                <w:b/>
                <w:sz w:val="22"/>
              </w:rPr>
              <w:t xml:space="preserve">siempre y cuando sean </w:t>
            </w:r>
            <w:r w:rsidRPr="00105B5B">
              <w:rPr>
                <w:rFonts w:cs="Arial"/>
                <w:b/>
                <w:sz w:val="22"/>
              </w:rPr>
              <w:lastRenderedPageBreak/>
              <w:t xml:space="preserve">viables para garantizar el debido proceso y </w:t>
            </w:r>
            <w:r w:rsidRPr="00105B5B">
              <w:rPr>
                <w:rFonts w:cs="Arial"/>
                <w:sz w:val="22"/>
              </w:rPr>
              <w:t>de acuerdo a la trascendencia de la falta administrativa no grave.</w:t>
            </w:r>
          </w:p>
          <w:p w14:paraId="5E360B51" w14:textId="77777777" w:rsidR="00442337" w:rsidRPr="00105B5B" w:rsidRDefault="00442337" w:rsidP="00442337">
            <w:pPr>
              <w:pStyle w:val="Estilo"/>
              <w:rPr>
                <w:rFonts w:cs="Arial"/>
                <w:b/>
                <w:sz w:val="22"/>
              </w:rPr>
            </w:pPr>
          </w:p>
        </w:tc>
        <w:tc>
          <w:tcPr>
            <w:tcW w:w="4438" w:type="dxa"/>
          </w:tcPr>
          <w:p w14:paraId="32A5E810" w14:textId="77777777" w:rsidR="00E70D40" w:rsidRPr="00105B5B" w:rsidRDefault="00E70D40" w:rsidP="00E70D40">
            <w:pPr>
              <w:pStyle w:val="Estilo"/>
              <w:rPr>
                <w:rFonts w:cs="Arial"/>
                <w:b/>
                <w:sz w:val="22"/>
              </w:rPr>
            </w:pPr>
            <w:r w:rsidRPr="00105B5B">
              <w:rPr>
                <w:rFonts w:cs="Arial"/>
                <w:b/>
                <w:sz w:val="22"/>
              </w:rPr>
              <w:lastRenderedPageBreak/>
              <w:t>Artículo 75.</w:t>
            </w:r>
          </w:p>
          <w:p w14:paraId="21C46F9A" w14:textId="34DDC0C9" w:rsidR="00E70D40" w:rsidRPr="00105B5B" w:rsidRDefault="00E70D40" w:rsidP="00E70D40">
            <w:pPr>
              <w:pStyle w:val="Estilo"/>
              <w:rPr>
                <w:rFonts w:cs="Arial"/>
                <w:sz w:val="22"/>
              </w:rPr>
            </w:pPr>
            <w:r w:rsidRPr="00105B5B">
              <w:rPr>
                <w:rFonts w:cs="Arial"/>
                <w:sz w:val="22"/>
              </w:rPr>
              <w:t>[Segundo párrafo]</w:t>
            </w:r>
          </w:p>
          <w:p w14:paraId="3A39B4AA" w14:textId="77777777" w:rsidR="00E70D40" w:rsidRPr="00105B5B" w:rsidRDefault="00E70D40" w:rsidP="00E70D40">
            <w:pPr>
              <w:pStyle w:val="Estilo"/>
              <w:rPr>
                <w:rFonts w:cs="Arial"/>
                <w:sz w:val="22"/>
              </w:rPr>
            </w:pPr>
          </w:p>
          <w:p w14:paraId="5A5D0601" w14:textId="07FA2CDB" w:rsidR="00442337" w:rsidRPr="00105B5B" w:rsidRDefault="00E70D40" w:rsidP="00E70D40">
            <w:pPr>
              <w:pStyle w:val="Estilo"/>
              <w:rPr>
                <w:rFonts w:cs="Arial"/>
                <w:b/>
                <w:sz w:val="22"/>
              </w:rPr>
            </w:pPr>
            <w:r w:rsidRPr="00105B5B">
              <w:rPr>
                <w:rFonts w:cs="Arial"/>
                <w:sz w:val="22"/>
              </w:rPr>
              <w:t xml:space="preserve">Las Secretarías y los Órganos internos de control podrán imponer una o más de las sanciones administrativas señaladas en este artículo, siempre y cuando sean </w:t>
            </w:r>
            <w:r w:rsidRPr="00105B5B">
              <w:rPr>
                <w:rFonts w:cs="Arial"/>
                <w:sz w:val="22"/>
              </w:rPr>
              <w:lastRenderedPageBreak/>
              <w:t>compatibles entre ellas y de acuerdo a la trascendencia de la Falta administrativa no grave.</w:t>
            </w:r>
          </w:p>
        </w:tc>
      </w:tr>
      <w:tr w:rsidR="00E70D40" w:rsidRPr="00E219A7" w14:paraId="777D5561" w14:textId="77777777" w:rsidTr="005B5A76">
        <w:trPr>
          <w:trHeight w:val="850"/>
        </w:trPr>
        <w:tc>
          <w:tcPr>
            <w:tcW w:w="4390" w:type="dxa"/>
          </w:tcPr>
          <w:p w14:paraId="68CF16D5" w14:textId="77777777" w:rsidR="00E70D40" w:rsidRPr="00105B5B" w:rsidRDefault="00E70D40" w:rsidP="00E70D40">
            <w:pPr>
              <w:pStyle w:val="Estilo"/>
              <w:rPr>
                <w:rFonts w:cs="Arial"/>
                <w:sz w:val="22"/>
              </w:rPr>
            </w:pPr>
            <w:r w:rsidRPr="00105B5B">
              <w:rPr>
                <w:rFonts w:cs="Arial"/>
                <w:b/>
                <w:sz w:val="22"/>
              </w:rPr>
              <w:lastRenderedPageBreak/>
              <w:t>Artículo 81.</w:t>
            </w:r>
            <w:r w:rsidRPr="00105B5B">
              <w:rPr>
                <w:rFonts w:cs="Arial"/>
                <w:sz w:val="22"/>
              </w:rPr>
              <w:t xml:space="preserve"> Las sanciones administrativas que deban imponerse por faltas de particulares por comisión de alguna de las conductas previstas en los Capítulos II, III y IV del Título Tercero de esta Ley, consistirán en:</w:t>
            </w:r>
          </w:p>
          <w:p w14:paraId="6BABC77D" w14:textId="77777777" w:rsidR="00E70D40" w:rsidRPr="00105B5B" w:rsidRDefault="00E70D40" w:rsidP="00E70D40">
            <w:pPr>
              <w:pStyle w:val="Estilo"/>
              <w:rPr>
                <w:rFonts w:cs="Arial"/>
                <w:sz w:val="22"/>
              </w:rPr>
            </w:pPr>
          </w:p>
          <w:p w14:paraId="3810E5A5" w14:textId="77777777" w:rsidR="00E70D40" w:rsidRPr="00105B5B" w:rsidRDefault="00E70D40" w:rsidP="00E70D40">
            <w:pPr>
              <w:pStyle w:val="Estilo"/>
              <w:rPr>
                <w:rFonts w:cs="Arial"/>
                <w:sz w:val="22"/>
              </w:rPr>
            </w:pPr>
            <w:r w:rsidRPr="00105B5B">
              <w:rPr>
                <w:rFonts w:cs="Arial"/>
                <w:sz w:val="22"/>
              </w:rPr>
              <w:t>I. Tratándose de personas físicas:</w:t>
            </w:r>
          </w:p>
          <w:p w14:paraId="7B46BFAF" w14:textId="77777777" w:rsidR="00E70D40" w:rsidRPr="00105B5B" w:rsidRDefault="00E70D40" w:rsidP="00E70D40">
            <w:pPr>
              <w:pStyle w:val="Estilo"/>
              <w:rPr>
                <w:rFonts w:cs="Arial"/>
                <w:sz w:val="22"/>
                <w:highlight w:val="red"/>
              </w:rPr>
            </w:pPr>
          </w:p>
          <w:p w14:paraId="6434871F" w14:textId="77777777" w:rsidR="00E70D40" w:rsidRPr="00105B5B" w:rsidRDefault="00E70D40" w:rsidP="00E70D40">
            <w:pPr>
              <w:pStyle w:val="Estilo"/>
              <w:rPr>
                <w:rFonts w:cs="Arial"/>
                <w:sz w:val="22"/>
              </w:rPr>
            </w:pPr>
            <w:r w:rsidRPr="00105B5B">
              <w:rPr>
                <w:rFonts w:cs="Arial"/>
                <w:sz w:val="22"/>
              </w:rPr>
              <w:t>a</w:t>
            </w:r>
            <w:r w:rsidRPr="00105B5B">
              <w:rPr>
                <w:rFonts w:cs="Arial"/>
                <w:b/>
                <w:sz w:val="22"/>
              </w:rPr>
              <w:t xml:space="preserve">) </w:t>
            </w:r>
            <w:r w:rsidRPr="00105B5B">
              <w:rPr>
                <w:rFonts w:cs="Arial"/>
                <w:sz w:val="22"/>
              </w:rPr>
              <w:t xml:space="preserve">Sanción económica </w:t>
            </w:r>
            <w:r w:rsidRPr="00105B5B">
              <w:rPr>
                <w:rFonts w:cs="Arial"/>
                <w:b/>
                <w:sz w:val="22"/>
              </w:rPr>
              <w:t>que podrá alcanzar hasta tres tantos de los beneficios obtenidos o, en caso de no haberlos obtenido, por el equivalente a la cantidad de cien hasta ciento cincuenta mil veces el valor diario de la Unidad de Medida y Actualización</w:t>
            </w:r>
            <w:r w:rsidRPr="00105B5B">
              <w:rPr>
                <w:rFonts w:cs="Arial"/>
                <w:sz w:val="22"/>
              </w:rPr>
              <w:t>;</w:t>
            </w:r>
          </w:p>
          <w:p w14:paraId="1C6F7D7A" w14:textId="77777777" w:rsidR="00E70D40" w:rsidRPr="00105B5B" w:rsidRDefault="00E70D40" w:rsidP="00E70D40">
            <w:pPr>
              <w:pStyle w:val="Estilo"/>
              <w:rPr>
                <w:rFonts w:cs="Arial"/>
                <w:b/>
                <w:sz w:val="22"/>
              </w:rPr>
            </w:pPr>
          </w:p>
        </w:tc>
        <w:tc>
          <w:tcPr>
            <w:tcW w:w="4438" w:type="dxa"/>
          </w:tcPr>
          <w:p w14:paraId="1E4153F7" w14:textId="1812AB24" w:rsidR="00E70D40" w:rsidRPr="00105B5B" w:rsidRDefault="00E70D40" w:rsidP="00E70D40">
            <w:pPr>
              <w:pStyle w:val="Estilo"/>
              <w:rPr>
                <w:rFonts w:cs="Arial"/>
                <w:sz w:val="22"/>
              </w:rPr>
            </w:pPr>
            <w:r w:rsidRPr="00105B5B">
              <w:rPr>
                <w:rFonts w:cs="Arial"/>
                <w:b/>
                <w:sz w:val="22"/>
              </w:rPr>
              <w:t>Artículo 81.</w:t>
            </w:r>
            <w:r w:rsidRPr="00105B5B">
              <w:rPr>
                <w:rFonts w:cs="Arial"/>
                <w:sz w:val="22"/>
              </w:rPr>
              <w:t xml:space="preserve"> Las sanciones administrativas que deban imponerse por Faltas de particulares por comisión de alguna de las conductas previstas en los Capítulos III y IV del Título Tercero de esta Ley, consistirán en:</w:t>
            </w:r>
          </w:p>
          <w:p w14:paraId="1F3C3801" w14:textId="77777777" w:rsidR="00AB0FE3" w:rsidRPr="00105B5B" w:rsidRDefault="00AB0FE3" w:rsidP="00E70D40">
            <w:pPr>
              <w:pStyle w:val="Estilo"/>
              <w:rPr>
                <w:rFonts w:cs="Arial"/>
                <w:sz w:val="22"/>
              </w:rPr>
            </w:pPr>
          </w:p>
          <w:p w14:paraId="4B3EE998" w14:textId="77777777" w:rsidR="00E70D40" w:rsidRPr="00105B5B" w:rsidRDefault="00E70D40" w:rsidP="00E70D40">
            <w:pPr>
              <w:pStyle w:val="Estilo"/>
              <w:rPr>
                <w:rFonts w:cs="Arial"/>
                <w:sz w:val="22"/>
              </w:rPr>
            </w:pPr>
          </w:p>
          <w:p w14:paraId="47945545" w14:textId="77777777" w:rsidR="00E70D40" w:rsidRPr="00105B5B" w:rsidRDefault="00E70D40" w:rsidP="00E70D40">
            <w:pPr>
              <w:pStyle w:val="Estilo"/>
              <w:rPr>
                <w:rFonts w:cs="Arial"/>
                <w:sz w:val="22"/>
              </w:rPr>
            </w:pPr>
            <w:r w:rsidRPr="00105B5B">
              <w:rPr>
                <w:rFonts w:cs="Arial"/>
                <w:sz w:val="22"/>
              </w:rPr>
              <w:t>I. Tratándose de personas físicas:</w:t>
            </w:r>
          </w:p>
          <w:p w14:paraId="209804DF" w14:textId="77777777" w:rsidR="00E70D40" w:rsidRPr="00105B5B" w:rsidRDefault="00E70D40" w:rsidP="00E70D40">
            <w:pPr>
              <w:pStyle w:val="Estilo"/>
              <w:rPr>
                <w:rFonts w:cs="Arial"/>
                <w:sz w:val="22"/>
              </w:rPr>
            </w:pPr>
          </w:p>
          <w:p w14:paraId="7C2D78B9" w14:textId="02FF9976" w:rsidR="00E70D40" w:rsidRPr="00105B5B" w:rsidRDefault="00E70D40" w:rsidP="00E70D40">
            <w:pPr>
              <w:pStyle w:val="Estilo"/>
              <w:rPr>
                <w:rFonts w:cs="Arial"/>
                <w:b/>
                <w:sz w:val="22"/>
              </w:rPr>
            </w:pPr>
            <w:r w:rsidRPr="00105B5B">
              <w:rPr>
                <w:rFonts w:cs="Arial"/>
                <w:sz w:val="22"/>
              </w:rPr>
              <w:t xml:space="preserve">a) Sanción económica que podrá alcanzar </w:t>
            </w:r>
            <w:r w:rsidRPr="00105B5B">
              <w:rPr>
                <w:rFonts w:cs="Arial"/>
                <w:b/>
                <w:sz w:val="22"/>
              </w:rPr>
              <w:t>hasta dos tantos</w:t>
            </w:r>
            <w:r w:rsidRPr="00105B5B">
              <w:rPr>
                <w:rFonts w:cs="Arial"/>
                <w:sz w:val="22"/>
              </w:rPr>
              <w:t xml:space="preserve"> de los beneficios obtenidos o, en caso de no haberlos obtenido, por el equivalente a la cantidad de cien hasta ciento cincuenta mil veces el valor diario de la Unidad de Medida y Actualización;</w:t>
            </w:r>
          </w:p>
        </w:tc>
      </w:tr>
      <w:tr w:rsidR="005464F7" w:rsidRPr="00E219A7" w14:paraId="73988DB2" w14:textId="77777777" w:rsidTr="00574FDD">
        <w:trPr>
          <w:trHeight w:val="850"/>
        </w:trPr>
        <w:tc>
          <w:tcPr>
            <w:tcW w:w="4390" w:type="dxa"/>
          </w:tcPr>
          <w:p w14:paraId="3CFC6B21" w14:textId="77777777" w:rsidR="005464F7" w:rsidRPr="00105B5B" w:rsidRDefault="005464F7" w:rsidP="005464F7">
            <w:pPr>
              <w:pStyle w:val="Estilo"/>
              <w:rPr>
                <w:rFonts w:cs="Arial"/>
                <w:sz w:val="22"/>
              </w:rPr>
            </w:pPr>
            <w:r w:rsidRPr="00105B5B">
              <w:rPr>
                <w:rFonts w:cs="Arial"/>
                <w:b/>
                <w:sz w:val="22"/>
              </w:rPr>
              <w:t>Artículo 96.</w:t>
            </w:r>
            <w:r w:rsidRPr="00105B5B">
              <w:rPr>
                <w:rFonts w:cs="Arial"/>
                <w:sz w:val="22"/>
              </w:rPr>
              <w:t xml:space="preserve"> Las personas físicas o morales, públicas o privadas, que sean sujetos de investigación por presuntas irregularidades cometidas en el ejercicio de sus funciones, deberán atender los requerimientos que, debidamente fundados y motivados, les formulen las autoridades investigadoras.</w:t>
            </w:r>
          </w:p>
          <w:p w14:paraId="3AA6AD3A" w14:textId="77777777" w:rsidR="005464F7" w:rsidRPr="00105B5B" w:rsidRDefault="005464F7" w:rsidP="005464F7">
            <w:pPr>
              <w:pStyle w:val="Estilo"/>
              <w:rPr>
                <w:rFonts w:cs="Arial"/>
                <w:sz w:val="22"/>
              </w:rPr>
            </w:pPr>
          </w:p>
          <w:p w14:paraId="2750548D" w14:textId="77777777" w:rsidR="005464F7" w:rsidRPr="00105B5B" w:rsidRDefault="005464F7" w:rsidP="005464F7">
            <w:pPr>
              <w:pStyle w:val="Estilo"/>
              <w:rPr>
                <w:rFonts w:cs="Arial"/>
                <w:sz w:val="22"/>
              </w:rPr>
            </w:pPr>
            <w:r w:rsidRPr="00105B5B">
              <w:rPr>
                <w:rFonts w:cs="Arial"/>
                <w:sz w:val="22"/>
              </w:rPr>
              <w:t>[Segundo Párrafo]:</w:t>
            </w:r>
          </w:p>
          <w:p w14:paraId="4FC86DD4" w14:textId="77777777" w:rsidR="005464F7" w:rsidRPr="00105B5B" w:rsidRDefault="005464F7" w:rsidP="005464F7">
            <w:pPr>
              <w:pStyle w:val="Estilo"/>
              <w:rPr>
                <w:rFonts w:cs="Arial"/>
                <w:b/>
                <w:sz w:val="22"/>
                <w:shd w:val="clear" w:color="auto" w:fill="D9D9D9"/>
              </w:rPr>
            </w:pPr>
            <w:r w:rsidRPr="00105B5B">
              <w:rPr>
                <w:rFonts w:cs="Arial"/>
                <w:sz w:val="22"/>
              </w:rPr>
              <w:t xml:space="preserve">La Autoridad investigadora otorgará un plazo de cinco hasta quince días hábiles para la atención de sus requerimientos, sin perjuicio de poder ampliarlo por causas debidamente justificadas, cuando así lo soliciten los interesados. </w:t>
            </w:r>
            <w:r w:rsidRPr="00105B5B">
              <w:rPr>
                <w:rFonts w:cs="Arial"/>
                <w:b/>
                <w:sz w:val="22"/>
              </w:rPr>
              <w:t>Esta ampliación no podrá exceder en ningún caso de quince días hábiles.</w:t>
            </w:r>
          </w:p>
          <w:p w14:paraId="13172EFE" w14:textId="77777777" w:rsidR="005464F7" w:rsidRPr="00105B5B" w:rsidRDefault="005464F7" w:rsidP="005464F7">
            <w:pPr>
              <w:pStyle w:val="Estilo"/>
              <w:rPr>
                <w:rFonts w:cs="Arial"/>
                <w:b/>
                <w:sz w:val="22"/>
              </w:rPr>
            </w:pPr>
          </w:p>
        </w:tc>
        <w:tc>
          <w:tcPr>
            <w:tcW w:w="4438" w:type="dxa"/>
            <w:shd w:val="clear" w:color="auto" w:fill="auto"/>
          </w:tcPr>
          <w:p w14:paraId="062A586F" w14:textId="77777777" w:rsidR="005464F7" w:rsidRPr="00105B5B" w:rsidRDefault="005464F7" w:rsidP="005464F7">
            <w:pPr>
              <w:pStyle w:val="Estilo"/>
              <w:rPr>
                <w:rFonts w:cs="Arial"/>
                <w:sz w:val="22"/>
              </w:rPr>
            </w:pPr>
            <w:r w:rsidRPr="00105B5B">
              <w:rPr>
                <w:rFonts w:cs="Arial"/>
                <w:b/>
                <w:sz w:val="22"/>
              </w:rPr>
              <w:t>Artículo 96.</w:t>
            </w:r>
            <w:r w:rsidRPr="00105B5B">
              <w:rPr>
                <w:rFonts w:cs="Arial"/>
                <w:sz w:val="22"/>
              </w:rPr>
              <w:t xml:space="preserve"> Las personas físicas o morales, públicas o privadas, que sean sujetos de investigación por presuntas irregularidades cometidas en el ejercicio de sus funciones, deberán atender los requerimientos que, debidamente fundados y motivados, les formulen las autoridades investigadoras.</w:t>
            </w:r>
          </w:p>
          <w:p w14:paraId="218F5C57" w14:textId="77777777" w:rsidR="005464F7" w:rsidRPr="00105B5B" w:rsidRDefault="005464F7" w:rsidP="005464F7">
            <w:pPr>
              <w:pStyle w:val="Estilo"/>
              <w:rPr>
                <w:rFonts w:cs="Arial"/>
                <w:sz w:val="22"/>
              </w:rPr>
            </w:pPr>
          </w:p>
          <w:p w14:paraId="13D62A0F" w14:textId="77777777" w:rsidR="005464F7" w:rsidRPr="00105B5B" w:rsidRDefault="005464F7" w:rsidP="005464F7">
            <w:pPr>
              <w:pStyle w:val="Estilo"/>
              <w:rPr>
                <w:rFonts w:cs="Arial"/>
                <w:sz w:val="22"/>
              </w:rPr>
            </w:pPr>
            <w:r w:rsidRPr="00105B5B">
              <w:rPr>
                <w:rFonts w:cs="Arial"/>
                <w:sz w:val="22"/>
              </w:rPr>
              <w:t>[Segundo Párrafo]:</w:t>
            </w:r>
          </w:p>
          <w:p w14:paraId="7B728656" w14:textId="1A183A9F" w:rsidR="005464F7" w:rsidRPr="00105B5B" w:rsidRDefault="005464F7" w:rsidP="005464F7">
            <w:pPr>
              <w:pStyle w:val="Estilo"/>
              <w:rPr>
                <w:rFonts w:cs="Arial"/>
                <w:b/>
                <w:sz w:val="22"/>
              </w:rPr>
            </w:pPr>
            <w:r w:rsidRPr="00105B5B">
              <w:rPr>
                <w:rFonts w:cs="Arial"/>
                <w:sz w:val="22"/>
              </w:rPr>
              <w:t xml:space="preserve">La Autoridad investigadora otorgará un plazo de cinco hasta quince días hábiles para la atención de sus requerimientos, sin perjuicio de poder ampliarlo por causas debidamente justificadas, cuando así lo soliciten los interesados. </w:t>
            </w:r>
            <w:r w:rsidRPr="00105B5B">
              <w:rPr>
                <w:rFonts w:cs="Arial"/>
                <w:b/>
                <w:sz w:val="22"/>
              </w:rPr>
              <w:t>Esta ampliación no podrá exceder en ningún caso la mitad del plazo previsto originalmente.</w:t>
            </w:r>
          </w:p>
        </w:tc>
      </w:tr>
      <w:tr w:rsidR="005464F7" w:rsidRPr="00E219A7" w14:paraId="1FDA69CC" w14:textId="77777777" w:rsidTr="005B5A76">
        <w:trPr>
          <w:trHeight w:val="850"/>
        </w:trPr>
        <w:tc>
          <w:tcPr>
            <w:tcW w:w="4390" w:type="dxa"/>
          </w:tcPr>
          <w:p w14:paraId="36C86B02" w14:textId="77777777" w:rsidR="005464F7" w:rsidRPr="00105B5B" w:rsidRDefault="005464F7" w:rsidP="005464F7">
            <w:pPr>
              <w:pStyle w:val="Estilo"/>
              <w:rPr>
                <w:rFonts w:cs="Arial"/>
                <w:sz w:val="22"/>
              </w:rPr>
            </w:pPr>
            <w:r w:rsidRPr="00105B5B">
              <w:rPr>
                <w:rFonts w:cs="Arial"/>
                <w:b/>
                <w:sz w:val="22"/>
              </w:rPr>
              <w:t>Artículo 96.</w:t>
            </w:r>
            <w:r w:rsidRPr="00105B5B">
              <w:rPr>
                <w:rFonts w:cs="Arial"/>
                <w:sz w:val="22"/>
              </w:rPr>
              <w:t xml:space="preserve"> Las personas físicas o morales, públicas o privadas, que sean sujetos de investigación por presuntas irregularidades cometidas en el ejercicio de sus funciones, deberán atender los requerimientos que, debidamente fundados y motivados, les formulen las autoridades investigadoras.</w:t>
            </w:r>
          </w:p>
          <w:p w14:paraId="41BE0078" w14:textId="77777777" w:rsidR="005464F7" w:rsidRPr="00105B5B" w:rsidRDefault="005464F7" w:rsidP="005464F7">
            <w:pPr>
              <w:pStyle w:val="Estilo"/>
              <w:rPr>
                <w:rFonts w:cs="Arial"/>
                <w:sz w:val="22"/>
              </w:rPr>
            </w:pPr>
          </w:p>
          <w:p w14:paraId="3124E625" w14:textId="77777777" w:rsidR="005464F7" w:rsidRPr="00105B5B" w:rsidRDefault="005464F7" w:rsidP="005464F7">
            <w:pPr>
              <w:pStyle w:val="Estilo"/>
              <w:rPr>
                <w:rFonts w:cs="Arial"/>
                <w:sz w:val="22"/>
              </w:rPr>
            </w:pPr>
            <w:r w:rsidRPr="00105B5B">
              <w:rPr>
                <w:rFonts w:cs="Arial"/>
                <w:sz w:val="22"/>
              </w:rPr>
              <w:t>[Cuarto Párrafo]:</w:t>
            </w:r>
          </w:p>
          <w:p w14:paraId="4C20C273" w14:textId="6F9DD827" w:rsidR="005464F7" w:rsidRPr="00105B5B" w:rsidRDefault="005464F7" w:rsidP="005464F7">
            <w:pPr>
              <w:pStyle w:val="Estilo"/>
              <w:rPr>
                <w:rFonts w:cs="Arial"/>
                <w:b/>
                <w:sz w:val="22"/>
              </w:rPr>
            </w:pPr>
            <w:r w:rsidRPr="00105B5B">
              <w:rPr>
                <w:rFonts w:cs="Arial"/>
                <w:sz w:val="22"/>
              </w:rPr>
              <w:t xml:space="preserve">Cuando los entes públicos, derivado de la complejidad de la información solicitada, requieran de un plazo mayor para su atención, deberán solicitar la prórroga debidamente justificada ante la Autoridad investigadora. De concederse la prórroga en los términos solicitados, el plazo que se otorgue será improrrogable. </w:t>
            </w:r>
            <w:r w:rsidRPr="00105B5B">
              <w:rPr>
                <w:rFonts w:cs="Arial"/>
                <w:b/>
                <w:sz w:val="22"/>
              </w:rPr>
              <w:t xml:space="preserve">Esta </w:t>
            </w:r>
            <w:r w:rsidRPr="00105B5B">
              <w:rPr>
                <w:rFonts w:cs="Arial"/>
                <w:b/>
                <w:sz w:val="22"/>
              </w:rPr>
              <w:lastRenderedPageBreak/>
              <w:t>ampliación no podrá exceder en ningún caso de quince días hábiles.</w:t>
            </w:r>
          </w:p>
        </w:tc>
        <w:tc>
          <w:tcPr>
            <w:tcW w:w="4438" w:type="dxa"/>
          </w:tcPr>
          <w:p w14:paraId="102348E5" w14:textId="77777777" w:rsidR="005464F7" w:rsidRPr="00105B5B" w:rsidRDefault="005464F7" w:rsidP="005464F7">
            <w:pPr>
              <w:pStyle w:val="Estilo"/>
              <w:rPr>
                <w:rFonts w:cs="Arial"/>
                <w:sz w:val="22"/>
              </w:rPr>
            </w:pPr>
            <w:r w:rsidRPr="00105B5B">
              <w:rPr>
                <w:rFonts w:cs="Arial"/>
                <w:b/>
                <w:sz w:val="22"/>
              </w:rPr>
              <w:lastRenderedPageBreak/>
              <w:t>Artículo 96.</w:t>
            </w:r>
            <w:r w:rsidRPr="00105B5B">
              <w:rPr>
                <w:rFonts w:cs="Arial"/>
                <w:sz w:val="22"/>
              </w:rPr>
              <w:t xml:space="preserve"> Las personas físicas o morales, públicas o privadas, que sean sujetos de investigación por presuntas irregularidades cometidas en el ejercicio de sus funciones, deberán atender los requerimientos que, debidamente fundados y motivados, les formulen las autoridades investigadoras.</w:t>
            </w:r>
          </w:p>
          <w:p w14:paraId="34B04133" w14:textId="77777777" w:rsidR="005464F7" w:rsidRPr="00105B5B" w:rsidRDefault="005464F7" w:rsidP="005464F7">
            <w:pPr>
              <w:pStyle w:val="Estilo"/>
              <w:rPr>
                <w:rFonts w:cs="Arial"/>
                <w:sz w:val="22"/>
              </w:rPr>
            </w:pPr>
          </w:p>
          <w:p w14:paraId="68C20A5B" w14:textId="77777777" w:rsidR="005464F7" w:rsidRPr="00105B5B" w:rsidRDefault="005464F7" w:rsidP="005464F7">
            <w:pPr>
              <w:pStyle w:val="Estilo"/>
              <w:rPr>
                <w:rFonts w:cs="Arial"/>
                <w:sz w:val="22"/>
              </w:rPr>
            </w:pPr>
            <w:r w:rsidRPr="00105B5B">
              <w:rPr>
                <w:rFonts w:cs="Arial"/>
                <w:sz w:val="22"/>
              </w:rPr>
              <w:t>[Cuarto Párrafo]:</w:t>
            </w:r>
          </w:p>
          <w:p w14:paraId="1FD0946A" w14:textId="7714342D" w:rsidR="005464F7" w:rsidRPr="00105B5B" w:rsidRDefault="005464F7" w:rsidP="005464F7">
            <w:pPr>
              <w:pStyle w:val="Estilo"/>
              <w:rPr>
                <w:rFonts w:cs="Arial"/>
                <w:b/>
                <w:sz w:val="22"/>
              </w:rPr>
            </w:pPr>
            <w:r w:rsidRPr="00105B5B">
              <w:rPr>
                <w:rFonts w:cs="Arial"/>
                <w:sz w:val="22"/>
              </w:rPr>
              <w:t xml:space="preserve">Cuando los entes públicos, derivado de la complejidad de la información solicitada, requieran de un plazo mayor para su atención, deberán solicitar la prórroga debidamente justificada ante la Autoridad investigadora; de concederse la prórroga en los términos solicitados, el plazo que se otorgue será improrrogable. Esta ampliación no podrá exceder en ningún </w:t>
            </w:r>
            <w:r w:rsidRPr="00105B5B">
              <w:rPr>
                <w:rFonts w:cs="Arial"/>
                <w:sz w:val="22"/>
              </w:rPr>
              <w:lastRenderedPageBreak/>
              <w:t>caso la mitad del plazo previsto originalmente.</w:t>
            </w:r>
          </w:p>
        </w:tc>
      </w:tr>
    </w:tbl>
    <w:p w14:paraId="20633424" w14:textId="77777777" w:rsidR="00875AB6" w:rsidRPr="00E219A7" w:rsidRDefault="00875AB6" w:rsidP="00AE44B1">
      <w:pPr>
        <w:spacing w:before="240" w:after="0" w:line="240" w:lineRule="auto"/>
        <w:ind w:right="-516"/>
        <w:jc w:val="both"/>
        <w:rPr>
          <w:rFonts w:ascii="Arial" w:hAnsi="Arial" w:cs="Arial"/>
          <w:sz w:val="26"/>
          <w:szCs w:val="26"/>
        </w:rPr>
      </w:pPr>
    </w:p>
    <w:p w14:paraId="7290C0B6" w14:textId="10705A1F" w:rsidR="009F0A78" w:rsidRPr="002E4B25" w:rsidRDefault="00652EA3" w:rsidP="00652EA3">
      <w:pPr>
        <w:pStyle w:val="Estilo"/>
        <w:spacing w:after="240" w:line="360" w:lineRule="auto"/>
        <w:rPr>
          <w:sz w:val="26"/>
          <w:szCs w:val="26"/>
        </w:rPr>
      </w:pPr>
      <w:r>
        <w:rPr>
          <w:b/>
          <w:bCs/>
          <w:sz w:val="26"/>
          <w:szCs w:val="26"/>
        </w:rPr>
        <w:t xml:space="preserve">II. </w:t>
      </w:r>
      <w:r w:rsidR="00F9022B" w:rsidRPr="002E4B25">
        <w:rPr>
          <w:b/>
          <w:bCs/>
          <w:sz w:val="26"/>
          <w:szCs w:val="26"/>
        </w:rPr>
        <w:t xml:space="preserve">Libertad configurativa de los Estados. </w:t>
      </w:r>
      <w:r w:rsidR="00F9022B" w:rsidRPr="002E4B25">
        <w:rPr>
          <w:b/>
          <w:bCs/>
          <w:sz w:val="26"/>
          <w:szCs w:val="26"/>
          <w:lang w:eastAsia="es-ES"/>
        </w:rPr>
        <w:t xml:space="preserve"> </w:t>
      </w:r>
      <w:r w:rsidR="00DC52CC" w:rsidRPr="002E4B25">
        <w:rPr>
          <w:b/>
          <w:bCs/>
          <w:sz w:val="26"/>
          <w:szCs w:val="26"/>
        </w:rPr>
        <w:t>A</w:t>
      </w:r>
      <w:r w:rsidR="00DC52CC" w:rsidRPr="002E4B25">
        <w:rPr>
          <w:b/>
          <w:bCs/>
          <w:sz w:val="26"/>
          <w:szCs w:val="26"/>
          <w:lang w:eastAsia="es-ES"/>
        </w:rPr>
        <w:t>umento del plazo para la caducidad de la instancia</w:t>
      </w:r>
      <w:r>
        <w:rPr>
          <w:b/>
          <w:bCs/>
          <w:sz w:val="26"/>
          <w:szCs w:val="26"/>
          <w:lang w:eastAsia="es-ES"/>
        </w:rPr>
        <w:t>.</w:t>
      </w:r>
    </w:p>
    <w:p w14:paraId="0D4FFEEB" w14:textId="0631DFD3" w:rsidR="00BC16DE" w:rsidRDefault="00223681" w:rsidP="00DC52CC">
      <w:pPr>
        <w:pStyle w:val="Estilo"/>
        <w:spacing w:line="360" w:lineRule="auto"/>
        <w:rPr>
          <w:bCs/>
          <w:sz w:val="26"/>
          <w:szCs w:val="26"/>
        </w:rPr>
      </w:pPr>
      <w:r w:rsidRPr="001864B4">
        <w:rPr>
          <w:sz w:val="26"/>
          <w:szCs w:val="26"/>
        </w:rPr>
        <w:t>En el considerando octavo de la sentencia, denom</w:t>
      </w:r>
      <w:r w:rsidRPr="00105B5B">
        <w:rPr>
          <w:sz w:val="26"/>
          <w:szCs w:val="26"/>
        </w:rPr>
        <w:t>inado “E</w:t>
      </w:r>
      <w:r w:rsidRPr="00105B5B">
        <w:rPr>
          <w:color w:val="000000"/>
          <w:sz w:val="26"/>
          <w:szCs w:val="26"/>
        </w:rPr>
        <w:t>studio de fondo de la cuestión B. [Seguridad Jurídica y Legalidad: Parámetro diferenciado]”</w:t>
      </w:r>
      <w:r w:rsidR="002469AB" w:rsidRPr="00DC52CC">
        <w:rPr>
          <w:rFonts w:eastAsia="Times New Roman"/>
          <w:bCs/>
          <w:sz w:val="26"/>
          <w:szCs w:val="26"/>
          <w:lang w:val="es-ES_tradnl" w:eastAsia="es-MX"/>
        </w:rPr>
        <w:t>, el</w:t>
      </w:r>
      <w:r w:rsidR="004604CD" w:rsidRPr="00DC52CC">
        <w:rPr>
          <w:rFonts w:eastAsia="Times New Roman"/>
          <w:bCs/>
          <w:sz w:val="26"/>
          <w:szCs w:val="26"/>
          <w:lang w:val="es-ES_tradnl" w:eastAsia="es-MX"/>
        </w:rPr>
        <w:t xml:space="preserve"> Tribunal Pleno determinó</w:t>
      </w:r>
      <w:r w:rsidR="004604CD" w:rsidRPr="00DC52CC">
        <w:rPr>
          <w:bCs/>
          <w:sz w:val="26"/>
          <w:szCs w:val="26"/>
        </w:rPr>
        <w:t xml:space="preserve"> por decisión mayoritaria </w:t>
      </w:r>
      <w:r w:rsidR="00BC16DE" w:rsidRPr="00DC52CC">
        <w:rPr>
          <w:rFonts w:eastAsia="Times New Roman"/>
          <w:bCs/>
          <w:sz w:val="26"/>
          <w:szCs w:val="26"/>
          <w:lang w:val="es-ES_tradnl" w:eastAsia="es-MX"/>
        </w:rPr>
        <w:t>reconocer la validez</w:t>
      </w:r>
      <w:r w:rsidR="00BC16DE" w:rsidRPr="00DC52CC">
        <w:rPr>
          <w:bCs/>
          <w:sz w:val="26"/>
          <w:szCs w:val="26"/>
          <w:lang w:val="es-ES"/>
        </w:rPr>
        <w:t xml:space="preserve"> del artículo 74, párrafo quinto, salvo su porción normativa </w:t>
      </w:r>
      <w:r w:rsidR="00F267EB">
        <w:rPr>
          <w:bCs/>
          <w:i/>
          <w:iCs/>
          <w:sz w:val="26"/>
          <w:szCs w:val="26"/>
          <w:lang w:val="es-ES"/>
        </w:rPr>
        <w:t>“</w:t>
      </w:r>
      <w:r w:rsidR="00BC16DE" w:rsidRPr="00F267EB">
        <w:rPr>
          <w:bCs/>
          <w:i/>
          <w:iCs/>
          <w:sz w:val="26"/>
          <w:szCs w:val="26"/>
          <w:lang w:val="es-ES"/>
        </w:rPr>
        <w:t>por más de un año</w:t>
      </w:r>
      <w:r w:rsidR="00F267EB">
        <w:rPr>
          <w:bCs/>
          <w:i/>
          <w:iCs/>
          <w:sz w:val="26"/>
          <w:szCs w:val="26"/>
          <w:lang w:val="es-ES"/>
        </w:rPr>
        <w:t>”</w:t>
      </w:r>
      <w:r w:rsidR="00F267EB">
        <w:rPr>
          <w:rStyle w:val="Refdenotaalpie"/>
          <w:bCs/>
          <w:i/>
          <w:iCs/>
          <w:sz w:val="26"/>
          <w:szCs w:val="26"/>
          <w:lang w:val="es-ES"/>
        </w:rPr>
        <w:footnoteReference w:id="1"/>
      </w:r>
      <w:r w:rsidR="003B0A38" w:rsidRPr="00DC52CC">
        <w:rPr>
          <w:bCs/>
          <w:sz w:val="26"/>
          <w:szCs w:val="26"/>
          <w:lang w:val="es-ES"/>
        </w:rPr>
        <w:t>, cuya porción se declaró invalida</w:t>
      </w:r>
      <w:r w:rsidR="003B0A38" w:rsidRPr="00DC52CC">
        <w:rPr>
          <w:bCs/>
          <w:sz w:val="26"/>
          <w:szCs w:val="26"/>
        </w:rPr>
        <w:t xml:space="preserve"> por decisión mayoritaria</w:t>
      </w:r>
      <w:r w:rsidR="003B0A38" w:rsidRPr="00DC52CC">
        <w:rPr>
          <w:bCs/>
          <w:sz w:val="26"/>
          <w:szCs w:val="26"/>
          <w:lang w:val="es-ES"/>
        </w:rPr>
        <w:t>,</w:t>
      </w:r>
      <w:r w:rsidR="004604CD" w:rsidRPr="00DC52CC">
        <w:rPr>
          <w:bCs/>
          <w:sz w:val="26"/>
          <w:szCs w:val="26"/>
          <w:lang w:val="es-ES"/>
        </w:rPr>
        <w:t xml:space="preserve"> al</w:t>
      </w:r>
      <w:r w:rsidR="00BC16DE" w:rsidRPr="00DC52CC">
        <w:rPr>
          <w:bCs/>
          <w:sz w:val="26"/>
          <w:szCs w:val="26"/>
        </w:rPr>
        <w:t xml:space="preserve"> establece</w:t>
      </w:r>
      <w:r w:rsidR="004604CD" w:rsidRPr="00DC52CC">
        <w:rPr>
          <w:bCs/>
          <w:sz w:val="26"/>
          <w:szCs w:val="26"/>
        </w:rPr>
        <w:t>r</w:t>
      </w:r>
      <w:r w:rsidR="00BC16DE" w:rsidRPr="00DC52CC">
        <w:rPr>
          <w:bCs/>
          <w:sz w:val="26"/>
          <w:szCs w:val="26"/>
        </w:rPr>
        <w:t xml:space="preserve"> que </w:t>
      </w:r>
      <w:r w:rsidR="004604CD" w:rsidRPr="00DC52CC">
        <w:rPr>
          <w:bCs/>
          <w:sz w:val="26"/>
          <w:szCs w:val="26"/>
        </w:rPr>
        <w:t xml:space="preserve">la </w:t>
      </w:r>
      <w:r w:rsidR="00BC16DE" w:rsidRPr="00DC52CC">
        <w:rPr>
          <w:bCs/>
          <w:sz w:val="26"/>
          <w:szCs w:val="26"/>
        </w:rPr>
        <w:t xml:space="preserve">Ley General conservó una reserva en materia de cuestiones procesales, por lo que, salvo las excepciones expresamente previstas en dicha ley, en cuanto se refiere, por ejemplo, a la aplicación de disposiciones locales, e incluso de supletoriedad, las legislaturas locales no pueden afectar o alterar las instituciones de orden procesal o adjetivo, menos aún los plazos. </w:t>
      </w:r>
    </w:p>
    <w:p w14:paraId="2EB7382E" w14:textId="77777777" w:rsidR="00DC52CC" w:rsidRPr="00DC52CC" w:rsidRDefault="00DC52CC" w:rsidP="00DC52CC">
      <w:pPr>
        <w:pStyle w:val="Estilo"/>
        <w:spacing w:line="360" w:lineRule="auto"/>
        <w:rPr>
          <w:sz w:val="26"/>
          <w:szCs w:val="26"/>
        </w:rPr>
      </w:pPr>
    </w:p>
    <w:p w14:paraId="498BA544" w14:textId="04D125A2" w:rsidR="00BC16DE" w:rsidRDefault="00685DEC" w:rsidP="00DC52CC">
      <w:pPr>
        <w:pStyle w:val="Estilo"/>
        <w:spacing w:line="360" w:lineRule="auto"/>
        <w:rPr>
          <w:bCs/>
          <w:sz w:val="26"/>
          <w:szCs w:val="26"/>
        </w:rPr>
      </w:pPr>
      <w:r>
        <w:rPr>
          <w:rFonts w:eastAsia="Times New Roman"/>
          <w:bCs/>
          <w:sz w:val="26"/>
          <w:szCs w:val="26"/>
          <w:lang w:val="es-ES_tradnl" w:eastAsia="es-MX"/>
        </w:rPr>
        <w:t>Si</w:t>
      </w:r>
      <w:r w:rsidR="00291BDC" w:rsidRPr="00DC52CC">
        <w:rPr>
          <w:rFonts w:eastAsia="Times New Roman"/>
          <w:bCs/>
          <w:sz w:val="26"/>
          <w:szCs w:val="26"/>
          <w:lang w:val="es-ES_tradnl" w:eastAsia="es-MX"/>
        </w:rPr>
        <w:t xml:space="preserve"> bien coincido con la sentencia en reconocer la validez del precepto antes señalado, </w:t>
      </w:r>
      <w:r w:rsidR="003B0A38" w:rsidRPr="00DC52CC">
        <w:rPr>
          <w:rFonts w:eastAsia="Times New Roman"/>
          <w:bCs/>
          <w:sz w:val="26"/>
          <w:szCs w:val="26"/>
          <w:lang w:val="es-ES_tradnl" w:eastAsia="es-MX"/>
        </w:rPr>
        <w:t xml:space="preserve">respetuosamente no lo hago respecto de la invalidez de la porción normativa </w:t>
      </w:r>
      <w:r w:rsidR="00941549" w:rsidRPr="00941549">
        <w:rPr>
          <w:i/>
          <w:iCs/>
          <w:sz w:val="26"/>
          <w:szCs w:val="26"/>
          <w:lang w:val="es-ES"/>
        </w:rPr>
        <w:t>“</w:t>
      </w:r>
      <w:r w:rsidR="003B0A38" w:rsidRPr="00941549">
        <w:rPr>
          <w:i/>
          <w:iCs/>
          <w:sz w:val="26"/>
          <w:szCs w:val="26"/>
          <w:lang w:val="es-ES"/>
        </w:rPr>
        <w:t>por más de un año</w:t>
      </w:r>
      <w:r w:rsidR="00941549" w:rsidRPr="00941549">
        <w:rPr>
          <w:i/>
          <w:iCs/>
          <w:sz w:val="26"/>
          <w:szCs w:val="26"/>
          <w:lang w:val="es-ES"/>
        </w:rPr>
        <w:t>”</w:t>
      </w:r>
      <w:r w:rsidR="003B0A38" w:rsidRPr="00DC52CC">
        <w:rPr>
          <w:sz w:val="26"/>
          <w:szCs w:val="26"/>
          <w:lang w:val="es-ES"/>
        </w:rPr>
        <w:t xml:space="preserve">, </w:t>
      </w:r>
      <w:r w:rsidR="00CA43EB" w:rsidRPr="00DC52CC">
        <w:rPr>
          <w:rFonts w:eastAsia="Times New Roman"/>
          <w:bCs/>
          <w:sz w:val="26"/>
          <w:szCs w:val="26"/>
          <w:lang w:val="es-ES_tradnl" w:eastAsia="es-MX"/>
        </w:rPr>
        <w:t xml:space="preserve">y; en </w:t>
      </w:r>
      <w:r w:rsidR="00A55FBF" w:rsidRPr="00DC52CC">
        <w:rPr>
          <w:rFonts w:eastAsia="Times New Roman"/>
          <w:bCs/>
          <w:sz w:val="26"/>
          <w:szCs w:val="26"/>
          <w:lang w:val="es-ES_tradnl" w:eastAsia="es-MX"/>
        </w:rPr>
        <w:t>consecuencia,</w:t>
      </w:r>
      <w:r w:rsidR="00CA43EB" w:rsidRPr="00DC52CC">
        <w:rPr>
          <w:rFonts w:eastAsia="Times New Roman"/>
          <w:bCs/>
          <w:sz w:val="26"/>
          <w:szCs w:val="26"/>
          <w:lang w:val="es-ES_tradnl" w:eastAsia="es-MX"/>
        </w:rPr>
        <w:t xml:space="preserve"> </w:t>
      </w:r>
      <w:r w:rsidR="00291BDC" w:rsidRPr="00DC52CC">
        <w:rPr>
          <w:rFonts w:eastAsia="Times New Roman"/>
          <w:bCs/>
          <w:sz w:val="26"/>
          <w:szCs w:val="26"/>
          <w:lang w:val="es-ES_tradnl" w:eastAsia="es-MX"/>
        </w:rPr>
        <w:t>de las consideraciones</w:t>
      </w:r>
      <w:r w:rsidR="00291BDC" w:rsidRPr="00DC52CC">
        <w:rPr>
          <w:bCs/>
          <w:sz w:val="26"/>
          <w:szCs w:val="26"/>
        </w:rPr>
        <w:t xml:space="preserve"> relativas a que las legislaturas locales no pueden ampliar el plazo de caducidad.</w:t>
      </w:r>
    </w:p>
    <w:p w14:paraId="49B9CADF" w14:textId="77777777" w:rsidR="00DC52CC" w:rsidRPr="00DC52CC" w:rsidRDefault="00DC52CC" w:rsidP="00DC52CC">
      <w:pPr>
        <w:pStyle w:val="Estilo"/>
        <w:spacing w:line="360" w:lineRule="auto"/>
        <w:rPr>
          <w:rFonts w:eastAsia="Times New Roman"/>
          <w:bCs/>
          <w:sz w:val="26"/>
          <w:szCs w:val="26"/>
          <w:lang w:val="es-ES_tradnl" w:eastAsia="es-MX"/>
        </w:rPr>
      </w:pPr>
    </w:p>
    <w:p w14:paraId="3F4D63CA" w14:textId="1F2DF3A3" w:rsidR="00C464DC" w:rsidRPr="00DC52CC" w:rsidRDefault="007B4812" w:rsidP="00DC52CC">
      <w:pPr>
        <w:pStyle w:val="Estilo"/>
        <w:spacing w:line="360" w:lineRule="auto"/>
        <w:rPr>
          <w:bCs/>
          <w:sz w:val="26"/>
          <w:szCs w:val="26"/>
        </w:rPr>
      </w:pPr>
      <w:r w:rsidRPr="00DC52CC">
        <w:rPr>
          <w:bCs/>
          <w:sz w:val="26"/>
          <w:szCs w:val="26"/>
        </w:rPr>
        <w:t xml:space="preserve">Lo anterior debido a que como se estableció </w:t>
      </w:r>
      <w:r w:rsidR="0029244C">
        <w:rPr>
          <w:bCs/>
          <w:sz w:val="26"/>
          <w:szCs w:val="26"/>
        </w:rPr>
        <w:t xml:space="preserve">en </w:t>
      </w:r>
      <w:r w:rsidRPr="00DC52CC">
        <w:rPr>
          <w:bCs/>
          <w:sz w:val="26"/>
          <w:szCs w:val="26"/>
        </w:rPr>
        <w:t xml:space="preserve">líneas precedentes </w:t>
      </w:r>
      <w:r w:rsidR="00E83C6F" w:rsidRPr="00DC52CC">
        <w:rPr>
          <w:bCs/>
          <w:sz w:val="26"/>
          <w:szCs w:val="26"/>
        </w:rPr>
        <w:t xml:space="preserve">los Estados sí pueden legislar en materia de responsabilidades administrativas y por tanto, el legislador local al emitir el </w:t>
      </w:r>
      <w:r w:rsidR="002E4B25">
        <w:rPr>
          <w:bCs/>
          <w:sz w:val="26"/>
          <w:szCs w:val="26"/>
        </w:rPr>
        <w:t xml:space="preserve">artículo </w:t>
      </w:r>
      <w:r w:rsidR="00E83C6F" w:rsidRPr="00DC52CC">
        <w:rPr>
          <w:bCs/>
          <w:sz w:val="26"/>
          <w:szCs w:val="26"/>
        </w:rPr>
        <w:t>74</w:t>
      </w:r>
      <w:r w:rsidR="002E4B25">
        <w:rPr>
          <w:bCs/>
          <w:sz w:val="26"/>
          <w:szCs w:val="26"/>
        </w:rPr>
        <w:t>,</w:t>
      </w:r>
      <w:r w:rsidR="00E83C6F" w:rsidRPr="00DC52CC">
        <w:rPr>
          <w:bCs/>
          <w:sz w:val="26"/>
          <w:szCs w:val="26"/>
        </w:rPr>
        <w:t xml:space="preserve"> en la porci</w:t>
      </w:r>
      <w:r w:rsidR="008B6A44" w:rsidRPr="00DC52CC">
        <w:rPr>
          <w:bCs/>
          <w:sz w:val="26"/>
          <w:szCs w:val="26"/>
        </w:rPr>
        <w:t>ón</w:t>
      </w:r>
      <w:r w:rsidR="00E83C6F" w:rsidRPr="00DC52CC">
        <w:rPr>
          <w:bCs/>
          <w:sz w:val="26"/>
          <w:szCs w:val="26"/>
        </w:rPr>
        <w:t xml:space="preserve"> </w:t>
      </w:r>
      <w:r w:rsidR="008B6A44" w:rsidRPr="00DC52CC">
        <w:rPr>
          <w:bCs/>
          <w:sz w:val="26"/>
          <w:szCs w:val="26"/>
        </w:rPr>
        <w:t>normativa</w:t>
      </w:r>
      <w:r w:rsidR="008B6A44" w:rsidRPr="00DC52CC">
        <w:rPr>
          <w:sz w:val="26"/>
          <w:szCs w:val="26"/>
        </w:rPr>
        <w:t xml:space="preserve"> </w:t>
      </w:r>
      <w:r w:rsidR="008B6A44" w:rsidRPr="00941549">
        <w:rPr>
          <w:i/>
          <w:iCs/>
          <w:sz w:val="26"/>
          <w:szCs w:val="26"/>
        </w:rPr>
        <w:t>“por más de un año”</w:t>
      </w:r>
      <w:r w:rsidR="00E83C6F" w:rsidRPr="00DC52CC">
        <w:rPr>
          <w:bCs/>
          <w:sz w:val="26"/>
          <w:szCs w:val="26"/>
        </w:rPr>
        <w:t xml:space="preserve">, sí puede </w:t>
      </w:r>
      <w:r w:rsidR="008B6A44" w:rsidRPr="00DC52CC">
        <w:rPr>
          <w:bCs/>
          <w:sz w:val="26"/>
          <w:szCs w:val="26"/>
        </w:rPr>
        <w:t>ampliar el plazo de caducidad</w:t>
      </w:r>
      <w:r w:rsidR="00E83C6F" w:rsidRPr="00DC52CC">
        <w:rPr>
          <w:bCs/>
          <w:sz w:val="26"/>
          <w:szCs w:val="26"/>
        </w:rPr>
        <w:t>, puesto que tiene libertad configurativa para ello</w:t>
      </w:r>
      <w:r w:rsidR="00C464DC" w:rsidRPr="00DC52CC">
        <w:rPr>
          <w:bCs/>
          <w:sz w:val="26"/>
          <w:szCs w:val="26"/>
        </w:rPr>
        <w:t xml:space="preserve">, </w:t>
      </w:r>
      <w:r w:rsidR="00C464DC" w:rsidRPr="00DC52CC">
        <w:rPr>
          <w:sz w:val="26"/>
          <w:szCs w:val="26"/>
        </w:rPr>
        <w:t xml:space="preserve">sin que ello conlleve la alteración </w:t>
      </w:r>
      <w:r w:rsidR="00C464DC" w:rsidRPr="00DC52CC">
        <w:rPr>
          <w:bCs/>
          <w:sz w:val="26"/>
          <w:szCs w:val="26"/>
        </w:rPr>
        <w:t xml:space="preserve">o </w:t>
      </w:r>
      <w:r w:rsidR="00C464DC" w:rsidRPr="00DC52CC">
        <w:rPr>
          <w:bCs/>
          <w:sz w:val="26"/>
          <w:szCs w:val="26"/>
        </w:rPr>
        <w:lastRenderedPageBreak/>
        <w:t xml:space="preserve">modificación del sistema de distribución de competencias previsto en la </w:t>
      </w:r>
      <w:r w:rsidR="0029244C">
        <w:rPr>
          <w:bCs/>
          <w:sz w:val="26"/>
          <w:szCs w:val="26"/>
        </w:rPr>
        <w:t>L</w:t>
      </w:r>
      <w:r w:rsidR="00C464DC" w:rsidRPr="00DC52CC">
        <w:rPr>
          <w:bCs/>
          <w:sz w:val="26"/>
          <w:szCs w:val="26"/>
        </w:rPr>
        <w:t xml:space="preserve">ey </w:t>
      </w:r>
      <w:r w:rsidR="0029244C">
        <w:rPr>
          <w:bCs/>
          <w:sz w:val="26"/>
          <w:szCs w:val="26"/>
        </w:rPr>
        <w:t>G</w:t>
      </w:r>
      <w:r w:rsidR="00C464DC" w:rsidRPr="00DC52CC">
        <w:rPr>
          <w:bCs/>
          <w:sz w:val="26"/>
          <w:szCs w:val="26"/>
        </w:rPr>
        <w:t>eneral.</w:t>
      </w:r>
    </w:p>
    <w:p w14:paraId="3233DD19" w14:textId="0AB5CAD9" w:rsidR="00291BDC" w:rsidRPr="00DC52CC" w:rsidRDefault="00291BDC" w:rsidP="00DC52CC">
      <w:pPr>
        <w:pStyle w:val="Estilo"/>
        <w:spacing w:line="360" w:lineRule="auto"/>
        <w:rPr>
          <w:bCs/>
          <w:sz w:val="26"/>
          <w:szCs w:val="26"/>
        </w:rPr>
      </w:pPr>
    </w:p>
    <w:p w14:paraId="1A9CB048" w14:textId="4A18B767" w:rsidR="0000269F" w:rsidRDefault="00652EA3" w:rsidP="00652EA3">
      <w:pPr>
        <w:pStyle w:val="Estilo"/>
        <w:spacing w:after="240" w:line="360" w:lineRule="auto"/>
        <w:rPr>
          <w:b/>
          <w:sz w:val="26"/>
          <w:szCs w:val="26"/>
        </w:rPr>
      </w:pPr>
      <w:r>
        <w:rPr>
          <w:b/>
          <w:sz w:val="26"/>
          <w:szCs w:val="26"/>
        </w:rPr>
        <w:t xml:space="preserve">III. </w:t>
      </w:r>
      <w:r w:rsidR="0000269F" w:rsidRPr="00DC52CC">
        <w:rPr>
          <w:b/>
          <w:sz w:val="26"/>
          <w:szCs w:val="26"/>
        </w:rPr>
        <w:t>En relación con la extensión de efectos</w:t>
      </w:r>
      <w:r>
        <w:rPr>
          <w:b/>
          <w:sz w:val="26"/>
          <w:szCs w:val="26"/>
        </w:rPr>
        <w:t>.</w:t>
      </w:r>
    </w:p>
    <w:p w14:paraId="30C246CF" w14:textId="6FB00E3D" w:rsidR="00064AF7" w:rsidRDefault="00197496" w:rsidP="00DC52CC">
      <w:pPr>
        <w:pStyle w:val="Estilo"/>
        <w:spacing w:line="360" w:lineRule="auto"/>
        <w:rPr>
          <w:sz w:val="26"/>
          <w:szCs w:val="26"/>
        </w:rPr>
      </w:pPr>
      <w:r w:rsidRPr="00DC52CC">
        <w:rPr>
          <w:sz w:val="26"/>
          <w:szCs w:val="26"/>
        </w:rPr>
        <w:t>En el considerando décimo segundo</w:t>
      </w:r>
      <w:r w:rsidR="0024781F" w:rsidRPr="00DC52CC">
        <w:rPr>
          <w:sz w:val="26"/>
          <w:szCs w:val="26"/>
        </w:rPr>
        <w:t xml:space="preserve">, apartado 12.1, </w:t>
      </w:r>
      <w:r w:rsidRPr="00DC52CC">
        <w:rPr>
          <w:sz w:val="26"/>
          <w:szCs w:val="26"/>
        </w:rPr>
        <w:t>se declaró la invalidez, por vía de extensión</w:t>
      </w:r>
      <w:r w:rsidR="00CD6A5C" w:rsidRPr="00DC52CC">
        <w:rPr>
          <w:sz w:val="26"/>
          <w:szCs w:val="26"/>
        </w:rPr>
        <w:t xml:space="preserve"> de efectos</w:t>
      </w:r>
      <w:r w:rsidRPr="00DC52CC">
        <w:rPr>
          <w:sz w:val="26"/>
          <w:szCs w:val="26"/>
        </w:rPr>
        <w:t xml:space="preserve"> de los artículos 33, párrafo sexto</w:t>
      </w:r>
      <w:r w:rsidR="00641FD2">
        <w:rPr>
          <w:sz w:val="26"/>
          <w:szCs w:val="26"/>
        </w:rPr>
        <w:t>,</w:t>
      </w:r>
      <w:r w:rsidRPr="00DC52CC">
        <w:rPr>
          <w:sz w:val="26"/>
          <w:szCs w:val="26"/>
        </w:rPr>
        <w:t xml:space="preserve"> de la Ley impugnada</w:t>
      </w:r>
      <w:r w:rsidR="00941549">
        <w:rPr>
          <w:rStyle w:val="Refdenotaalpie"/>
          <w:sz w:val="26"/>
          <w:szCs w:val="26"/>
        </w:rPr>
        <w:footnoteReference w:id="2"/>
      </w:r>
      <w:r w:rsidRPr="00DC52CC">
        <w:rPr>
          <w:sz w:val="26"/>
          <w:szCs w:val="26"/>
        </w:rPr>
        <w:t xml:space="preserve"> y 107, fracción V, en las porciones </w:t>
      </w:r>
      <w:r w:rsidRPr="00941549">
        <w:rPr>
          <w:i/>
          <w:iCs/>
          <w:sz w:val="26"/>
          <w:szCs w:val="26"/>
        </w:rPr>
        <w:t xml:space="preserve">“o permanente” </w:t>
      </w:r>
      <w:r w:rsidRPr="00DC52CC">
        <w:rPr>
          <w:sz w:val="26"/>
          <w:szCs w:val="26"/>
        </w:rPr>
        <w:t xml:space="preserve">y </w:t>
      </w:r>
      <w:r w:rsidRPr="00941549">
        <w:rPr>
          <w:i/>
          <w:iCs/>
          <w:sz w:val="26"/>
          <w:szCs w:val="26"/>
        </w:rPr>
        <w:t>“Las sanciones administrativas aplicables a las personas jurídicas, se extenderán en el ámbito administrativo a los propietarios, tenedores, y administradores y personas con poder de mando.”</w:t>
      </w:r>
      <w:bookmarkStart w:id="4" w:name="_Hlk98960006"/>
      <w:r w:rsidRPr="00DC52CC">
        <w:rPr>
          <w:sz w:val="26"/>
          <w:szCs w:val="26"/>
        </w:rPr>
        <w:t>, de la Constitución Política del Estado Libre y Soberano de Nuevo León</w:t>
      </w:r>
      <w:bookmarkEnd w:id="4"/>
      <w:r w:rsidR="003F67B1">
        <w:rPr>
          <w:rStyle w:val="Refdenotaalpie"/>
          <w:sz w:val="26"/>
          <w:szCs w:val="26"/>
        </w:rPr>
        <w:footnoteReference w:id="3"/>
      </w:r>
      <w:r w:rsidR="00064AF7" w:rsidRPr="00DC52CC">
        <w:rPr>
          <w:bCs/>
          <w:sz w:val="26"/>
          <w:szCs w:val="26"/>
        </w:rPr>
        <w:t>, al inferir</w:t>
      </w:r>
      <w:r w:rsidR="00064AF7" w:rsidRPr="00DC52CC">
        <w:rPr>
          <w:sz w:val="26"/>
          <w:szCs w:val="26"/>
        </w:rPr>
        <w:t xml:space="preserve"> la posibilidad de </w:t>
      </w:r>
      <w:r w:rsidR="00064AF7" w:rsidRPr="00DC52CC">
        <w:rPr>
          <w:bCs/>
          <w:sz w:val="26"/>
          <w:szCs w:val="26"/>
        </w:rPr>
        <w:t>imponer como sanción una inhabilitación definitiva</w:t>
      </w:r>
      <w:r w:rsidR="00064AF7" w:rsidRPr="00DC52CC">
        <w:rPr>
          <w:sz w:val="26"/>
          <w:szCs w:val="26"/>
        </w:rPr>
        <w:t xml:space="preserve">, o la necesidad de que los particulares </w:t>
      </w:r>
      <w:r w:rsidR="00064AF7" w:rsidRPr="00DC52CC">
        <w:rPr>
          <w:bCs/>
          <w:sz w:val="26"/>
          <w:szCs w:val="26"/>
        </w:rPr>
        <w:t>rindan declaraciones de situación patrimonial</w:t>
      </w:r>
      <w:r w:rsidR="00064AF7" w:rsidRPr="00DC52CC">
        <w:rPr>
          <w:sz w:val="26"/>
          <w:szCs w:val="26"/>
        </w:rPr>
        <w:t xml:space="preserve"> y de intereses.</w:t>
      </w:r>
    </w:p>
    <w:p w14:paraId="2028D1B9" w14:textId="77777777" w:rsidR="00A55FBF" w:rsidRPr="00DC52CC" w:rsidRDefault="00A55FBF" w:rsidP="00DC52CC">
      <w:pPr>
        <w:pStyle w:val="Estilo"/>
        <w:spacing w:line="360" w:lineRule="auto"/>
        <w:rPr>
          <w:sz w:val="26"/>
          <w:szCs w:val="26"/>
        </w:rPr>
      </w:pPr>
    </w:p>
    <w:p w14:paraId="5287EDA5" w14:textId="7A7F4AD1" w:rsidR="0000269F" w:rsidRDefault="00470CD8" w:rsidP="00DC52CC">
      <w:pPr>
        <w:pStyle w:val="Estilo"/>
        <w:spacing w:line="360" w:lineRule="auto"/>
        <w:rPr>
          <w:sz w:val="26"/>
          <w:szCs w:val="26"/>
        </w:rPr>
      </w:pPr>
      <w:r w:rsidRPr="00DC52CC">
        <w:rPr>
          <w:sz w:val="26"/>
          <w:szCs w:val="26"/>
        </w:rPr>
        <w:t>En la discusión manifesté estar en contra de la extensión de invalidez propuesta</w:t>
      </w:r>
      <w:r w:rsidR="002E4B25">
        <w:rPr>
          <w:sz w:val="26"/>
          <w:szCs w:val="26"/>
        </w:rPr>
        <w:t xml:space="preserve"> porque m</w:t>
      </w:r>
      <w:r w:rsidR="006944CA" w:rsidRPr="00DC52CC">
        <w:rPr>
          <w:sz w:val="26"/>
          <w:szCs w:val="26"/>
        </w:rPr>
        <w:t xml:space="preserve">i </w:t>
      </w:r>
      <w:r w:rsidR="0000269F" w:rsidRPr="00DC52CC">
        <w:rPr>
          <w:sz w:val="26"/>
          <w:szCs w:val="26"/>
        </w:rPr>
        <w:t xml:space="preserve">criterio es que la extensión de invalidez a normas no </w:t>
      </w:r>
      <w:r w:rsidR="0000269F" w:rsidRPr="00DC52CC">
        <w:rPr>
          <w:sz w:val="26"/>
          <w:szCs w:val="26"/>
        </w:rPr>
        <w:lastRenderedPageBreak/>
        <w:t>impugnadas debe ser excepcional. El hecho de que dicha extensión se justifique únicamente por la existencia del “mismo vicio” puede llevar a desnaturalizar la acción de inconstitucionalidad si se tiene en cuenta que constituye un medio de control abstracto que se sigue siempre a instancia de una parte y con reglas procesales específicas. Por ello, la extensión debe entenderse como consecuencia de la relación de dependencia y no un medio para que el Tribunal revise de forma oficiosa e irrestricta cualquier norma, aun cuando su constitucionalidad no se cuestionó por quienes están legitimados.</w:t>
      </w:r>
    </w:p>
    <w:p w14:paraId="6F54253B" w14:textId="77777777" w:rsidR="0052268C" w:rsidRPr="00DC52CC" w:rsidRDefault="0052268C" w:rsidP="00DC52CC">
      <w:pPr>
        <w:pStyle w:val="Estilo"/>
        <w:spacing w:line="360" w:lineRule="auto"/>
        <w:rPr>
          <w:sz w:val="26"/>
          <w:szCs w:val="26"/>
        </w:rPr>
      </w:pPr>
    </w:p>
    <w:p w14:paraId="66AE2D52" w14:textId="4D926BEC" w:rsidR="00D921B1" w:rsidRPr="00DC52CC" w:rsidRDefault="0052268C" w:rsidP="00DC52CC">
      <w:pPr>
        <w:pStyle w:val="Estilo"/>
        <w:spacing w:line="360" w:lineRule="auto"/>
        <w:rPr>
          <w:sz w:val="26"/>
          <w:szCs w:val="26"/>
        </w:rPr>
      </w:pPr>
      <w:r>
        <w:rPr>
          <w:sz w:val="26"/>
          <w:szCs w:val="26"/>
        </w:rPr>
        <w:t>E</w:t>
      </w:r>
      <w:r w:rsidR="00D867EE" w:rsidRPr="00DC52CC">
        <w:rPr>
          <w:sz w:val="26"/>
          <w:szCs w:val="26"/>
        </w:rPr>
        <w:t xml:space="preserve">n el caso, </w:t>
      </w:r>
      <w:r w:rsidR="00D921B1" w:rsidRPr="00DC52CC">
        <w:rPr>
          <w:sz w:val="26"/>
          <w:szCs w:val="26"/>
        </w:rPr>
        <w:t>l</w:t>
      </w:r>
      <w:r>
        <w:rPr>
          <w:sz w:val="26"/>
          <w:szCs w:val="26"/>
        </w:rPr>
        <w:t xml:space="preserve">as porciones normativas </w:t>
      </w:r>
      <w:r w:rsidR="00D921B1" w:rsidRPr="00DC52CC">
        <w:rPr>
          <w:sz w:val="26"/>
          <w:szCs w:val="26"/>
        </w:rPr>
        <w:t xml:space="preserve">se invalidaron </w:t>
      </w:r>
      <w:r w:rsidR="00D867EE" w:rsidRPr="00DC52CC">
        <w:rPr>
          <w:sz w:val="26"/>
          <w:szCs w:val="26"/>
        </w:rPr>
        <w:t>por actualizar el mismo vicio de inconstitucionali</w:t>
      </w:r>
      <w:r w:rsidR="00D921B1" w:rsidRPr="00DC52CC">
        <w:rPr>
          <w:sz w:val="26"/>
          <w:szCs w:val="26"/>
        </w:rPr>
        <w:t>dad y no como consecuencia de la relación de dependencia de</w:t>
      </w:r>
      <w:r w:rsidR="00D867EE" w:rsidRPr="00DC52CC">
        <w:rPr>
          <w:sz w:val="26"/>
          <w:szCs w:val="26"/>
        </w:rPr>
        <w:t xml:space="preserve"> los artículos impugnados</w:t>
      </w:r>
      <w:r w:rsidR="001C6DE1" w:rsidRPr="00DC52CC">
        <w:rPr>
          <w:sz w:val="26"/>
          <w:szCs w:val="26"/>
        </w:rPr>
        <w:t xml:space="preserve">, lo que </w:t>
      </w:r>
      <w:r w:rsidR="00D035A7">
        <w:rPr>
          <w:sz w:val="26"/>
          <w:szCs w:val="26"/>
        </w:rPr>
        <w:t>desde mi opinión</w:t>
      </w:r>
      <w:r w:rsidR="001C6DE1" w:rsidRPr="00DC52CC">
        <w:rPr>
          <w:sz w:val="26"/>
          <w:szCs w:val="26"/>
        </w:rPr>
        <w:t xml:space="preserve"> lleva a desnaturalizar la acción de inconstitucionalidad que se sigue a instancia de parte y con reglas procesales específicas.</w:t>
      </w:r>
    </w:p>
    <w:p w14:paraId="02763B08" w14:textId="77777777" w:rsidR="0000269F" w:rsidRPr="00DC52CC" w:rsidRDefault="0000269F" w:rsidP="00DC52CC">
      <w:pPr>
        <w:pStyle w:val="Estilo"/>
        <w:spacing w:line="360" w:lineRule="auto"/>
        <w:rPr>
          <w:bCs/>
          <w:sz w:val="26"/>
          <w:szCs w:val="26"/>
        </w:rPr>
      </w:pPr>
    </w:p>
    <w:p w14:paraId="0CC3432E" w14:textId="77777777" w:rsidR="0000269F" w:rsidRPr="00E219A7" w:rsidRDefault="0000269F" w:rsidP="0000269F">
      <w:pPr>
        <w:spacing w:line="360" w:lineRule="auto"/>
        <w:ind w:left="-709" w:right="-518"/>
        <w:jc w:val="both"/>
        <w:rPr>
          <w:rFonts w:ascii="Arial" w:hAnsi="Arial" w:cs="Arial"/>
          <w:b/>
          <w:bCs/>
          <w:sz w:val="26"/>
          <w:szCs w:val="26"/>
        </w:rPr>
      </w:pPr>
    </w:p>
    <w:p w14:paraId="39F4E1B4" w14:textId="77777777" w:rsidR="0000269F" w:rsidRPr="00E219A7" w:rsidRDefault="0000269F" w:rsidP="0000269F">
      <w:pPr>
        <w:spacing w:line="360" w:lineRule="auto"/>
        <w:ind w:left="-709" w:right="-518"/>
        <w:jc w:val="both"/>
        <w:rPr>
          <w:rFonts w:ascii="Arial" w:hAnsi="Arial" w:cs="Arial"/>
          <w:b/>
          <w:bCs/>
          <w:sz w:val="26"/>
          <w:szCs w:val="26"/>
        </w:rPr>
      </w:pPr>
    </w:p>
    <w:p w14:paraId="02838463" w14:textId="77777777" w:rsidR="0000269F" w:rsidRPr="00E219A7" w:rsidRDefault="0000269F" w:rsidP="0000269F">
      <w:pPr>
        <w:spacing w:line="360" w:lineRule="auto"/>
        <w:jc w:val="center"/>
        <w:rPr>
          <w:rFonts w:ascii="Arial" w:hAnsi="Arial" w:cs="Arial"/>
          <w:b/>
          <w:sz w:val="26"/>
          <w:szCs w:val="26"/>
        </w:rPr>
      </w:pPr>
      <w:r w:rsidRPr="00E219A7">
        <w:rPr>
          <w:rFonts w:ascii="Arial" w:hAnsi="Arial" w:cs="Arial"/>
          <w:b/>
          <w:sz w:val="26"/>
          <w:szCs w:val="26"/>
        </w:rPr>
        <w:t>MINISTRO JAVIER LAYNEZ POTISEK</w:t>
      </w:r>
    </w:p>
    <w:p w14:paraId="0A7A7188" w14:textId="77777777" w:rsidR="0000269F" w:rsidRPr="00E219A7" w:rsidRDefault="0000269F" w:rsidP="0000269F">
      <w:pPr>
        <w:spacing w:line="360" w:lineRule="auto"/>
        <w:rPr>
          <w:rFonts w:ascii="Arial" w:hAnsi="Arial" w:cs="Arial"/>
          <w:b/>
          <w:sz w:val="26"/>
          <w:szCs w:val="26"/>
        </w:rPr>
      </w:pPr>
    </w:p>
    <w:p w14:paraId="018909A8" w14:textId="2F5BBD4B" w:rsidR="001257C0" w:rsidRPr="00E219A7" w:rsidRDefault="0000269F" w:rsidP="002E4B25">
      <w:pPr>
        <w:spacing w:line="360" w:lineRule="auto"/>
        <w:jc w:val="right"/>
        <w:rPr>
          <w:rFonts w:ascii="Arial" w:hAnsi="Arial" w:cs="Arial"/>
          <w:sz w:val="26"/>
          <w:szCs w:val="26"/>
        </w:rPr>
      </w:pPr>
      <w:r w:rsidRPr="00E219A7">
        <w:rPr>
          <w:rFonts w:ascii="Arial" w:hAnsi="Arial" w:cs="Arial"/>
          <w:b/>
          <w:sz w:val="26"/>
          <w:szCs w:val="26"/>
        </w:rPr>
        <w:tab/>
      </w:r>
      <w:r w:rsidRPr="00E219A7">
        <w:rPr>
          <w:rFonts w:ascii="Arial" w:hAnsi="Arial" w:cs="Arial"/>
          <w:b/>
          <w:sz w:val="26"/>
          <w:szCs w:val="26"/>
        </w:rPr>
        <w:tab/>
      </w:r>
      <w:r w:rsidRPr="00E219A7">
        <w:rPr>
          <w:rFonts w:ascii="Arial" w:hAnsi="Arial" w:cs="Arial"/>
          <w:b/>
          <w:sz w:val="26"/>
          <w:szCs w:val="26"/>
        </w:rPr>
        <w:tab/>
      </w:r>
      <w:r w:rsidRPr="00E219A7">
        <w:rPr>
          <w:rFonts w:ascii="Arial" w:hAnsi="Arial" w:cs="Arial"/>
          <w:b/>
          <w:sz w:val="26"/>
          <w:szCs w:val="26"/>
        </w:rPr>
        <w:tab/>
      </w:r>
      <w:r w:rsidRPr="00E219A7">
        <w:rPr>
          <w:rFonts w:ascii="Arial" w:hAnsi="Arial" w:cs="Arial"/>
          <w:b/>
          <w:sz w:val="26"/>
          <w:szCs w:val="26"/>
        </w:rPr>
        <w:tab/>
      </w:r>
      <w:r w:rsidRPr="00E219A7">
        <w:rPr>
          <w:rFonts w:ascii="Arial" w:hAnsi="Arial" w:cs="Arial"/>
          <w:b/>
          <w:sz w:val="26"/>
          <w:szCs w:val="26"/>
        </w:rPr>
        <w:tab/>
      </w:r>
      <w:r w:rsidRPr="00E219A7">
        <w:rPr>
          <w:rFonts w:ascii="Arial" w:hAnsi="Arial" w:cs="Arial"/>
          <w:b/>
          <w:sz w:val="26"/>
          <w:szCs w:val="26"/>
        </w:rPr>
        <w:tab/>
      </w:r>
      <w:r w:rsidRPr="00E219A7">
        <w:rPr>
          <w:rFonts w:ascii="Arial" w:hAnsi="Arial" w:cs="Arial"/>
          <w:b/>
          <w:sz w:val="26"/>
          <w:szCs w:val="26"/>
        </w:rPr>
        <w:tab/>
      </w:r>
      <w:r w:rsidRPr="00E219A7">
        <w:rPr>
          <w:rFonts w:ascii="Arial" w:hAnsi="Arial" w:cs="Arial"/>
          <w:b/>
          <w:sz w:val="26"/>
          <w:szCs w:val="26"/>
        </w:rPr>
        <w:tab/>
      </w:r>
      <w:r w:rsidRPr="00E219A7">
        <w:rPr>
          <w:rFonts w:ascii="Arial" w:hAnsi="Arial" w:cs="Arial"/>
          <w:b/>
          <w:sz w:val="26"/>
          <w:szCs w:val="26"/>
        </w:rPr>
        <w:tab/>
      </w:r>
      <w:r w:rsidRPr="00E219A7">
        <w:rPr>
          <w:rFonts w:ascii="Arial" w:hAnsi="Arial" w:cs="Arial"/>
          <w:b/>
          <w:sz w:val="26"/>
          <w:szCs w:val="26"/>
        </w:rPr>
        <w:tab/>
        <w:t>EZ</w:t>
      </w:r>
    </w:p>
    <w:sectPr w:rsidR="001257C0" w:rsidRPr="00E219A7" w:rsidSect="007B4485">
      <w:headerReference w:type="default" r:id="rId8"/>
      <w:footerReference w:type="default" r:id="rId9"/>
      <w:footerReference w:type="first" r:id="rId10"/>
      <w:pgSz w:w="12240" w:h="18720" w:code="14"/>
      <w:pgMar w:top="212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988D6" w14:textId="77777777" w:rsidR="00BB6372" w:rsidRDefault="00BB6372" w:rsidP="00737C42">
      <w:pPr>
        <w:spacing w:after="0" w:line="240" w:lineRule="auto"/>
      </w:pPr>
      <w:r>
        <w:separator/>
      </w:r>
    </w:p>
  </w:endnote>
  <w:endnote w:type="continuationSeparator" w:id="0">
    <w:p w14:paraId="27EF32FE" w14:textId="77777777" w:rsidR="00BB6372" w:rsidRDefault="00BB6372" w:rsidP="0073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324097"/>
      <w:docPartObj>
        <w:docPartGallery w:val="Page Numbers (Bottom of Page)"/>
        <w:docPartUnique/>
      </w:docPartObj>
    </w:sdtPr>
    <w:sdtContent>
      <w:p w14:paraId="3776F701" w14:textId="074E4308" w:rsidR="003203E9" w:rsidRDefault="003203E9">
        <w:pPr>
          <w:pStyle w:val="Piedepgina"/>
          <w:jc w:val="center"/>
        </w:pPr>
        <w:r>
          <w:fldChar w:fldCharType="begin"/>
        </w:r>
        <w:r>
          <w:instrText>PAGE   \* MERGEFORMAT</w:instrText>
        </w:r>
        <w:r>
          <w:fldChar w:fldCharType="separate"/>
        </w:r>
        <w:r>
          <w:rPr>
            <w:lang w:val="es-ES"/>
          </w:rPr>
          <w:t>2</w:t>
        </w:r>
        <w:r>
          <w:fldChar w:fldCharType="end"/>
        </w:r>
      </w:p>
    </w:sdtContent>
  </w:sdt>
  <w:p w14:paraId="2AE48CFB" w14:textId="77777777" w:rsidR="009660EA" w:rsidRDefault="009660E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209699"/>
      <w:docPartObj>
        <w:docPartGallery w:val="Page Numbers (Bottom of Page)"/>
        <w:docPartUnique/>
      </w:docPartObj>
    </w:sdtPr>
    <w:sdtContent>
      <w:p w14:paraId="284B5FA5" w14:textId="348C4CFC" w:rsidR="00340B35" w:rsidRDefault="00340B35">
        <w:pPr>
          <w:pStyle w:val="Piedepgina"/>
          <w:jc w:val="right"/>
        </w:pPr>
        <w:r>
          <w:fldChar w:fldCharType="begin"/>
        </w:r>
        <w:r>
          <w:instrText>PAGE   \* MERGEFORMAT</w:instrText>
        </w:r>
        <w:r>
          <w:fldChar w:fldCharType="separate"/>
        </w:r>
        <w:r>
          <w:rPr>
            <w:lang w:val="es-ES"/>
          </w:rPr>
          <w:t>2</w:t>
        </w:r>
        <w:r>
          <w:fldChar w:fldCharType="end"/>
        </w:r>
      </w:p>
    </w:sdtContent>
  </w:sdt>
  <w:p w14:paraId="37FBAE59" w14:textId="77777777" w:rsidR="00340B35" w:rsidRDefault="00340B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E4BEB" w14:textId="77777777" w:rsidR="00BB6372" w:rsidRDefault="00BB6372" w:rsidP="00737C42">
      <w:pPr>
        <w:spacing w:after="0" w:line="240" w:lineRule="auto"/>
      </w:pPr>
      <w:r>
        <w:separator/>
      </w:r>
    </w:p>
  </w:footnote>
  <w:footnote w:type="continuationSeparator" w:id="0">
    <w:p w14:paraId="7C18874F" w14:textId="77777777" w:rsidR="00BB6372" w:rsidRDefault="00BB6372" w:rsidP="00737C42">
      <w:pPr>
        <w:spacing w:after="0" w:line="240" w:lineRule="auto"/>
      </w:pPr>
      <w:r>
        <w:continuationSeparator/>
      </w:r>
    </w:p>
  </w:footnote>
  <w:footnote w:id="1">
    <w:p w14:paraId="75D133DE" w14:textId="77777777" w:rsidR="00FD73B4" w:rsidRPr="00F00180" w:rsidRDefault="00F267EB" w:rsidP="00FD73B4">
      <w:pPr>
        <w:pStyle w:val="Estilo"/>
        <w:rPr>
          <w:rFonts w:cs="Arial"/>
          <w:sz w:val="21"/>
          <w:szCs w:val="21"/>
        </w:rPr>
      </w:pPr>
      <w:r>
        <w:rPr>
          <w:rStyle w:val="Refdenotaalpie"/>
        </w:rPr>
        <w:footnoteRef/>
      </w:r>
      <w:r>
        <w:t xml:space="preserve"> </w:t>
      </w:r>
      <w:r w:rsidR="00FD73B4" w:rsidRPr="00F00180">
        <w:rPr>
          <w:rFonts w:cs="Arial"/>
          <w:b/>
          <w:sz w:val="21"/>
          <w:szCs w:val="21"/>
        </w:rPr>
        <w:t>Artículo 74.</w:t>
      </w:r>
      <w:r w:rsidR="00FD73B4" w:rsidRPr="00F00180">
        <w:rPr>
          <w:rFonts w:cs="Arial"/>
          <w:sz w:val="21"/>
          <w:szCs w:val="21"/>
        </w:rPr>
        <w:t xml:space="preserve"> </w:t>
      </w:r>
    </w:p>
    <w:p w14:paraId="75BFD00B" w14:textId="77777777" w:rsidR="00FD73B4" w:rsidRPr="00F00180" w:rsidRDefault="00FD73B4" w:rsidP="00FD73B4">
      <w:pPr>
        <w:pStyle w:val="Estilo"/>
        <w:rPr>
          <w:rFonts w:cs="Arial"/>
          <w:sz w:val="21"/>
          <w:szCs w:val="21"/>
        </w:rPr>
      </w:pPr>
    </w:p>
    <w:p w14:paraId="5A9D34B3" w14:textId="77777777" w:rsidR="00FD73B4" w:rsidRPr="00F00180" w:rsidRDefault="00FD73B4" w:rsidP="00FD73B4">
      <w:pPr>
        <w:pStyle w:val="Estilo"/>
        <w:rPr>
          <w:rFonts w:cs="Arial"/>
          <w:sz w:val="21"/>
          <w:szCs w:val="21"/>
        </w:rPr>
      </w:pPr>
      <w:r w:rsidRPr="00F00180">
        <w:rPr>
          <w:rFonts w:cs="Arial"/>
          <w:sz w:val="21"/>
          <w:szCs w:val="21"/>
        </w:rPr>
        <w:t>[Quinto párrafo]:</w:t>
      </w:r>
    </w:p>
    <w:p w14:paraId="5BFB96DC" w14:textId="77777777" w:rsidR="00FD73B4" w:rsidRPr="00F00180" w:rsidRDefault="00FD73B4" w:rsidP="00FD73B4">
      <w:pPr>
        <w:pStyle w:val="Estilo"/>
        <w:rPr>
          <w:rFonts w:cs="Arial"/>
          <w:b/>
          <w:sz w:val="21"/>
          <w:szCs w:val="21"/>
        </w:rPr>
      </w:pPr>
    </w:p>
    <w:p w14:paraId="7187D2B6" w14:textId="5DD75BF9" w:rsidR="00F267EB" w:rsidRPr="00FD73B4" w:rsidRDefault="00FD73B4" w:rsidP="00FD73B4">
      <w:pPr>
        <w:pStyle w:val="Textonotapie"/>
        <w:jc w:val="both"/>
        <w:rPr>
          <w:rFonts w:ascii="Arial" w:hAnsi="Arial" w:cs="Arial"/>
          <w:sz w:val="22"/>
          <w:szCs w:val="22"/>
        </w:rPr>
      </w:pPr>
      <w:r w:rsidRPr="00FD73B4">
        <w:rPr>
          <w:rFonts w:ascii="Arial" w:hAnsi="Arial" w:cs="Arial"/>
          <w:sz w:val="22"/>
          <w:szCs w:val="22"/>
        </w:rPr>
        <w:t xml:space="preserve">En ningún caso, en los procedimientos de responsabilidad administrativa podrá dejar de actuarse </w:t>
      </w:r>
      <w:bookmarkStart w:id="3" w:name="_Hlk98950907"/>
      <w:r w:rsidRPr="00FD73B4">
        <w:rPr>
          <w:rFonts w:ascii="Arial" w:hAnsi="Arial" w:cs="Arial"/>
          <w:b/>
          <w:sz w:val="22"/>
          <w:szCs w:val="22"/>
        </w:rPr>
        <w:t>por más de un año</w:t>
      </w:r>
      <w:r w:rsidRPr="00FD73B4">
        <w:rPr>
          <w:rFonts w:ascii="Arial" w:hAnsi="Arial" w:cs="Arial"/>
          <w:sz w:val="22"/>
          <w:szCs w:val="22"/>
        </w:rPr>
        <w:t xml:space="preserve"> </w:t>
      </w:r>
      <w:bookmarkEnd w:id="3"/>
      <w:r w:rsidRPr="00FD73B4">
        <w:rPr>
          <w:rFonts w:ascii="Arial" w:hAnsi="Arial" w:cs="Arial"/>
          <w:sz w:val="22"/>
          <w:szCs w:val="22"/>
        </w:rPr>
        <w:t>sin causa justificada; en caso de actualizarse dicha inactividad, se decretará, a solicitud del presunto infractor la caducidad de la instancia.</w:t>
      </w:r>
    </w:p>
  </w:footnote>
  <w:footnote w:id="2">
    <w:p w14:paraId="51C2C92B" w14:textId="77777777" w:rsidR="00941549" w:rsidRPr="007B4485" w:rsidRDefault="00941549" w:rsidP="00941549">
      <w:pPr>
        <w:pStyle w:val="Estilo"/>
        <w:rPr>
          <w:rFonts w:cs="Arial"/>
          <w:sz w:val="20"/>
          <w:szCs w:val="20"/>
        </w:rPr>
      </w:pPr>
      <w:r>
        <w:rPr>
          <w:rStyle w:val="Refdenotaalpie"/>
        </w:rPr>
        <w:footnoteRef/>
      </w:r>
      <w:r>
        <w:t xml:space="preserve"> </w:t>
      </w:r>
      <w:r w:rsidRPr="007B4485">
        <w:rPr>
          <w:rFonts w:cs="Arial"/>
          <w:b/>
          <w:sz w:val="20"/>
          <w:szCs w:val="20"/>
        </w:rPr>
        <w:t xml:space="preserve">Artículo 33. </w:t>
      </w:r>
      <w:r w:rsidRPr="007B4485">
        <w:rPr>
          <w:rFonts w:cs="Arial"/>
          <w:sz w:val="20"/>
          <w:szCs w:val="20"/>
        </w:rPr>
        <w:t>La declaración de situación patrimonial deberá presentarse en los siguientes plazos:</w:t>
      </w:r>
    </w:p>
    <w:p w14:paraId="38AC48E5" w14:textId="3BD918A5" w:rsidR="00941549" w:rsidRPr="007B4485" w:rsidRDefault="00941549" w:rsidP="00941549">
      <w:pPr>
        <w:pStyle w:val="Estilo"/>
        <w:rPr>
          <w:rFonts w:cs="Arial"/>
          <w:sz w:val="20"/>
          <w:szCs w:val="20"/>
        </w:rPr>
      </w:pPr>
      <w:r w:rsidRPr="007B4485">
        <w:rPr>
          <w:rFonts w:cs="Arial"/>
          <w:sz w:val="20"/>
          <w:szCs w:val="20"/>
        </w:rPr>
        <w:t>(…)</w:t>
      </w:r>
    </w:p>
    <w:p w14:paraId="75AC80C3" w14:textId="4058B9D4" w:rsidR="00941549" w:rsidRPr="007B4485" w:rsidRDefault="00941549" w:rsidP="00941549">
      <w:pPr>
        <w:pStyle w:val="Estilo"/>
        <w:rPr>
          <w:rFonts w:cs="Arial"/>
          <w:sz w:val="20"/>
          <w:szCs w:val="20"/>
          <w:lang w:val="es-ES"/>
        </w:rPr>
      </w:pPr>
      <w:r w:rsidRPr="007B4485">
        <w:rPr>
          <w:rFonts w:cs="Arial"/>
          <w:sz w:val="20"/>
          <w:szCs w:val="20"/>
          <w:lang w:val="es-ES"/>
        </w:rPr>
        <w:t>[Párrafo sexto]:</w:t>
      </w:r>
    </w:p>
    <w:p w14:paraId="0CC509D0" w14:textId="26DDDCC6" w:rsidR="00941549" w:rsidRPr="007B4485" w:rsidRDefault="00941549" w:rsidP="00941549">
      <w:pPr>
        <w:pStyle w:val="Textonotapie"/>
        <w:jc w:val="both"/>
        <w:rPr>
          <w:rFonts w:ascii="Arial" w:hAnsi="Arial" w:cs="Arial"/>
        </w:rPr>
      </w:pPr>
      <w:r w:rsidRPr="007B4485">
        <w:rPr>
          <w:rFonts w:ascii="Arial" w:hAnsi="Arial" w:cs="Arial"/>
          <w:b/>
        </w:rPr>
        <w:t>Tratándose de los particulares señalados en el artículo 32 de la presente Ley, cuando el incumplimiento sea a la fracción I de este artículo, así como a la presentación de las declaraciones de intereses y fiscal, la Contraloría u Órgano Interno de Control notificarán al infractor y a la dependencia encargada de la correspondiente contratación, que dicho particular no es apto para ser contratado o ser concesionario o permisionario de un servicio público, en virtud del incumplimiento mencionado</w:t>
      </w:r>
      <w:r w:rsidR="003F67B1" w:rsidRPr="007B4485">
        <w:rPr>
          <w:rFonts w:ascii="Arial" w:hAnsi="Arial" w:cs="Arial"/>
          <w:b/>
        </w:rPr>
        <w:t>.</w:t>
      </w:r>
    </w:p>
  </w:footnote>
  <w:footnote w:id="3">
    <w:p w14:paraId="2C0F6CD4" w14:textId="77777777" w:rsidR="003F67B1" w:rsidRPr="007B4485" w:rsidRDefault="003F67B1" w:rsidP="003F67B1">
      <w:pPr>
        <w:pStyle w:val="Estilo"/>
        <w:rPr>
          <w:rFonts w:cs="Arial"/>
          <w:sz w:val="20"/>
          <w:szCs w:val="20"/>
        </w:rPr>
      </w:pPr>
      <w:r w:rsidRPr="007B4485">
        <w:rPr>
          <w:rStyle w:val="Refdenotaalpie"/>
          <w:rFonts w:cs="Arial"/>
          <w:sz w:val="20"/>
          <w:szCs w:val="20"/>
        </w:rPr>
        <w:footnoteRef/>
      </w:r>
      <w:r w:rsidRPr="007B4485">
        <w:rPr>
          <w:rFonts w:cs="Arial"/>
          <w:sz w:val="20"/>
          <w:szCs w:val="20"/>
        </w:rPr>
        <w:t xml:space="preserve"> </w:t>
      </w:r>
      <w:r w:rsidRPr="007B4485">
        <w:rPr>
          <w:rFonts w:cs="Arial"/>
          <w:b/>
          <w:sz w:val="20"/>
          <w:szCs w:val="20"/>
        </w:rPr>
        <w:t xml:space="preserve">Art. 107.- </w:t>
      </w:r>
      <w:r w:rsidRPr="007B4485">
        <w:rPr>
          <w:rFonts w:cs="Arial"/>
          <w:sz w:val="20"/>
          <w:szCs w:val="20"/>
        </w:rPr>
        <w:t>El Congreso del Estado expedirá la Ley de Responsabilidades de los Servidores Públicos y Patrimonial de la Administración Pública, y las demás normas conducentes para sancionar a quienes, teniendo éste carácter, incurran en responsabilidad, de conformidad con las siguientes prevenciones:</w:t>
      </w:r>
    </w:p>
    <w:p w14:paraId="245C2706" w14:textId="7000C69E" w:rsidR="003F67B1" w:rsidRPr="007B4485" w:rsidRDefault="003F67B1" w:rsidP="003F67B1">
      <w:pPr>
        <w:pStyle w:val="Estilo"/>
        <w:rPr>
          <w:rFonts w:cs="Arial"/>
          <w:sz w:val="20"/>
          <w:szCs w:val="20"/>
        </w:rPr>
      </w:pPr>
      <w:r w:rsidRPr="007B4485">
        <w:rPr>
          <w:rFonts w:cs="Arial"/>
          <w:sz w:val="20"/>
          <w:szCs w:val="20"/>
        </w:rPr>
        <w:t>(…)</w:t>
      </w:r>
    </w:p>
    <w:p w14:paraId="3988CBD0" w14:textId="7E51D1EA" w:rsidR="003F67B1" w:rsidRPr="007B4485" w:rsidRDefault="003F67B1" w:rsidP="003F67B1">
      <w:pPr>
        <w:pStyle w:val="Textonotapie"/>
        <w:jc w:val="both"/>
        <w:rPr>
          <w:rFonts w:ascii="Arial" w:hAnsi="Arial" w:cs="Arial"/>
        </w:rPr>
      </w:pPr>
      <w:r w:rsidRPr="007B4485">
        <w:rPr>
          <w:rFonts w:ascii="Arial" w:hAnsi="Arial" w:cs="Arial"/>
        </w:rPr>
        <w:t xml:space="preserve">V.- El Tribunal de Justicia Administrativa impondrá a los particulares que intervengan en hechos de corrupción o actos vinculados con faltas administrativas graves, con independencia de otro tipo de responsabilidades, las sanciones económicas; inhabilitación temporal </w:t>
      </w:r>
      <w:bookmarkStart w:id="5" w:name="_Hlk98959934"/>
      <w:r w:rsidRPr="007B4485">
        <w:rPr>
          <w:rFonts w:ascii="Arial" w:hAnsi="Arial" w:cs="Arial"/>
          <w:b/>
        </w:rPr>
        <w:t>o permanente</w:t>
      </w:r>
      <w:r w:rsidRPr="007B4485">
        <w:rPr>
          <w:rFonts w:ascii="Arial" w:hAnsi="Arial" w:cs="Arial"/>
        </w:rPr>
        <w:t xml:space="preserve"> </w:t>
      </w:r>
      <w:bookmarkEnd w:id="5"/>
      <w:r w:rsidRPr="007B4485">
        <w:rPr>
          <w:rFonts w:ascii="Arial" w:hAnsi="Arial" w:cs="Arial"/>
        </w:rPr>
        <w:t xml:space="preserve">para participar en adquisiciones, arrendamientos, servicios u obras públicas; así como el resarcimiento de los daños y perjuicios ocasionados a la Hacienda Pública o a los entes públicos federales, locales o municipales. </w:t>
      </w:r>
      <w:bookmarkStart w:id="6" w:name="_Hlk98959953"/>
      <w:r w:rsidRPr="007B4485">
        <w:rPr>
          <w:rFonts w:ascii="Arial" w:hAnsi="Arial" w:cs="Arial"/>
          <w:b/>
        </w:rPr>
        <w:t>Las sanciones administrativas aplicables a las personas jurídicas, se extenderán en el ámbito administrativo a los propietarios, tenedores, y administradores y personas con poder de mando.</w:t>
      </w:r>
      <w:r w:rsidRPr="007B4485">
        <w:rPr>
          <w:rFonts w:ascii="Arial" w:hAnsi="Arial" w:cs="Arial"/>
        </w:rPr>
        <w:t xml:space="preserve"> </w:t>
      </w:r>
      <w:bookmarkEnd w:id="6"/>
      <w:r w:rsidRPr="007B4485">
        <w:rPr>
          <w:rFonts w:ascii="Arial" w:hAnsi="Arial" w:cs="Arial"/>
        </w:rPr>
        <w:t>También podrá ordenarse la suspensión de actividades, disolución o intervención de la persona jurídica cuando se trate de hechos de corrupción o faltas administrativas graves que causen perjuicio a la Hacienda Pública o a los entes públicos, federales, locales o municipales, siempre que se acredite la participación de sus órganos de administración, decisión o vigilancia, o de sus socios, accionistas, dueños o personas con poder de mando, en aquellos casos en que se advierta que la persona jurídica es utilizada de manera sistemática para participar en la comisión de hechos de corrupción o faltas administrativas graves; en estos supuestos la sanción se ejecutará hasta que la resolución sea definitiva. Para sancionar los hechos de corrupción cometidos por particulares y personas jurídicas, la ley considerara la capacidad económica de los responsables y la cuantía de la afectación.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F1C8" w14:textId="33D5DC5E" w:rsidR="00E37B1F" w:rsidRPr="00E37B1F" w:rsidRDefault="00D1092F" w:rsidP="00E37B1F">
    <w:pPr>
      <w:pStyle w:val="Encabezado"/>
      <w:ind w:left="3544"/>
      <w:jc w:val="both"/>
      <w:rPr>
        <w:rFonts w:ascii="Arial" w:hAnsi="Arial" w:cs="Arial"/>
        <w:b/>
        <w:bCs/>
        <w:szCs w:val="28"/>
        <w:lang w:val="es-ES_tradnl"/>
      </w:rPr>
    </w:pPr>
    <w:r w:rsidRPr="00D1092F">
      <w:rPr>
        <w:rFonts w:ascii="Arial" w:hAnsi="Arial" w:cs="Arial"/>
        <w:b/>
        <w:szCs w:val="28"/>
      </w:rPr>
      <w:t>VOTO PARTICULAR Y CONCURRENTE QUE FORMULA EL MINISTRO JAVIER LAYNEZ POTISEK EN LA ACCIÓN DE INCONSTITUCIONALIDAD 69/2019 Y SUS ACUMULADAS 71/2019 Y 75/2019</w:t>
    </w:r>
    <w:r w:rsidR="00A63620">
      <w:rPr>
        <w:rFonts w:ascii="Arial" w:hAnsi="Arial" w:cs="Arial"/>
        <w:b/>
        <w:szCs w:val="28"/>
      </w:rPr>
      <w:t>.</w:t>
    </w:r>
  </w:p>
  <w:p w14:paraId="6453D414" w14:textId="77777777" w:rsidR="00E37B1F" w:rsidRPr="009556EC" w:rsidRDefault="00E37B1F" w:rsidP="00E37B1F">
    <w:pPr>
      <w:pStyle w:val="Encabezado"/>
      <w:jc w:val="both"/>
      <w:rPr>
        <w:rFonts w:ascii="Arial" w:hAnsi="Arial" w:cs="Arial"/>
        <w:b/>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C94"/>
    <w:multiLevelType w:val="hybridMultilevel"/>
    <w:tmpl w:val="17E4F53A"/>
    <w:lvl w:ilvl="0" w:tplc="087E0438">
      <w:start w:val="6"/>
      <w:numFmt w:val="bullet"/>
      <w:lvlText w:val="-"/>
      <w:lvlJc w:val="left"/>
      <w:pPr>
        <w:ind w:left="720" w:hanging="360"/>
      </w:pPr>
      <w:rPr>
        <w:rFonts w:ascii="Calibri" w:eastAsiaTheme="minorHAns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D3AA4"/>
    <w:multiLevelType w:val="hybridMultilevel"/>
    <w:tmpl w:val="38FEBCC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A133A7"/>
    <w:multiLevelType w:val="hybridMultilevel"/>
    <w:tmpl w:val="24DC509C"/>
    <w:lvl w:ilvl="0" w:tplc="C2CA32C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9B6DF2"/>
    <w:multiLevelType w:val="hybridMultilevel"/>
    <w:tmpl w:val="66BA6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322312"/>
    <w:multiLevelType w:val="hybridMultilevel"/>
    <w:tmpl w:val="241A4D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777008"/>
    <w:multiLevelType w:val="hybridMultilevel"/>
    <w:tmpl w:val="2E8AC4E0"/>
    <w:lvl w:ilvl="0" w:tplc="AE9ACBD2">
      <w:start w:val="1"/>
      <w:numFmt w:val="upperRoman"/>
      <w:lvlText w:val="%1."/>
      <w:lvlJc w:val="left"/>
      <w:pPr>
        <w:ind w:left="1080" w:hanging="720"/>
      </w:pPr>
      <w:rPr>
        <w:rFonts w:ascii="Arial" w:hAnsi="Arial" w:cs="Arial" w:hint="default"/>
        <w:b/>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C8234BB"/>
    <w:multiLevelType w:val="multilevel"/>
    <w:tmpl w:val="BDE23358"/>
    <w:lvl w:ilvl="0">
      <w:start w:val="1"/>
      <w:numFmt w:val="decimal"/>
      <w:lvlText w:val="%1."/>
      <w:lvlJc w:val="left"/>
      <w:pPr>
        <w:ind w:left="1070" w:hanging="360"/>
      </w:pPr>
      <w:rPr>
        <w:rFonts w:hint="default"/>
        <w:b w:val="0"/>
        <w:i w:val="0"/>
        <w:strike w:val="0"/>
        <w:color w:val="auto"/>
        <w:sz w:val="20"/>
        <w:szCs w:val="16"/>
        <w:lang w:val="es-E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940944"/>
    <w:multiLevelType w:val="hybridMultilevel"/>
    <w:tmpl w:val="F6BE9330"/>
    <w:lvl w:ilvl="0" w:tplc="34309802">
      <w:start w:val="1"/>
      <w:numFmt w:val="decimal"/>
      <w:lvlText w:val="%1."/>
      <w:lvlJc w:val="left"/>
      <w:pPr>
        <w:ind w:left="502" w:hanging="360"/>
      </w:pPr>
      <w:rPr>
        <w:rFonts w:ascii="Arial" w:hAnsi="Arial" w:cs="Arial" w:hint="default"/>
        <w:b w:val="0"/>
        <w:i w:val="0"/>
        <w:sz w:val="26"/>
      </w:rPr>
    </w:lvl>
    <w:lvl w:ilvl="1" w:tplc="D0528FA0">
      <w:start w:val="1"/>
      <w:numFmt w:val="lowerRoman"/>
      <w:lvlText w:val="%2."/>
      <w:lvlJc w:val="right"/>
      <w:pPr>
        <w:ind w:left="654" w:hanging="360"/>
      </w:pPr>
      <w:rPr>
        <w:rFonts w:hint="default"/>
        <w:b/>
      </w:rPr>
    </w:lvl>
    <w:lvl w:ilvl="2" w:tplc="D0528FA0">
      <w:start w:val="1"/>
      <w:numFmt w:val="lowerRoman"/>
      <w:lvlText w:val="%3."/>
      <w:lvlJc w:val="right"/>
      <w:pPr>
        <w:ind w:left="1374" w:hanging="180"/>
      </w:pPr>
      <w:rPr>
        <w:b/>
      </w:r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8" w15:restartNumberingAfterBreak="0">
    <w:nsid w:val="6C4B48BC"/>
    <w:multiLevelType w:val="hybridMultilevel"/>
    <w:tmpl w:val="AFCE166C"/>
    <w:lvl w:ilvl="0" w:tplc="FFFFFFFF">
      <w:start w:val="1"/>
      <w:numFmt w:val="upperRoman"/>
      <w:lvlText w:val="%1."/>
      <w:lvlJc w:val="left"/>
      <w:pPr>
        <w:ind w:left="1080" w:hanging="720"/>
      </w:pPr>
      <w:rPr>
        <w:rFonts w:ascii="Arial" w:hAnsi="Arial" w:cs="Arial" w:hint="default"/>
        <w:b/>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8720E90"/>
    <w:multiLevelType w:val="hybridMultilevel"/>
    <w:tmpl w:val="CBC60A0C"/>
    <w:lvl w:ilvl="0" w:tplc="ECA28F4C">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69511157">
    <w:abstractNumId w:val="0"/>
  </w:num>
  <w:num w:numId="2" w16cid:durableId="1435176611">
    <w:abstractNumId w:val="1"/>
  </w:num>
  <w:num w:numId="3" w16cid:durableId="246885723">
    <w:abstractNumId w:val="3"/>
  </w:num>
  <w:num w:numId="4" w16cid:durableId="1458111173">
    <w:abstractNumId w:val="4"/>
  </w:num>
  <w:num w:numId="5" w16cid:durableId="488980709">
    <w:abstractNumId w:val="7"/>
  </w:num>
  <w:num w:numId="6" w16cid:durableId="486214556">
    <w:abstractNumId w:val="6"/>
  </w:num>
  <w:num w:numId="7" w16cid:durableId="2138180714">
    <w:abstractNumId w:val="5"/>
  </w:num>
  <w:num w:numId="8" w16cid:durableId="339889558">
    <w:abstractNumId w:val="8"/>
  </w:num>
  <w:num w:numId="9" w16cid:durableId="805784431">
    <w:abstractNumId w:val="2"/>
  </w:num>
  <w:num w:numId="10" w16cid:durableId="17569745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537"/>
    <w:rsid w:val="0000269F"/>
    <w:rsid w:val="00002C78"/>
    <w:rsid w:val="00020F39"/>
    <w:rsid w:val="0002412D"/>
    <w:rsid w:val="000275FB"/>
    <w:rsid w:val="0003264B"/>
    <w:rsid w:val="00041FC2"/>
    <w:rsid w:val="00043CAC"/>
    <w:rsid w:val="00047984"/>
    <w:rsid w:val="0005239D"/>
    <w:rsid w:val="000548E1"/>
    <w:rsid w:val="00064AF7"/>
    <w:rsid w:val="000751F0"/>
    <w:rsid w:val="00081C93"/>
    <w:rsid w:val="000833DF"/>
    <w:rsid w:val="00091E47"/>
    <w:rsid w:val="000A2D10"/>
    <w:rsid w:val="000D6EAC"/>
    <w:rsid w:val="000E0F66"/>
    <w:rsid w:val="000E3DEE"/>
    <w:rsid w:val="000F50D1"/>
    <w:rsid w:val="00105B5B"/>
    <w:rsid w:val="001119B6"/>
    <w:rsid w:val="00115012"/>
    <w:rsid w:val="00116DA8"/>
    <w:rsid w:val="00117E75"/>
    <w:rsid w:val="001257C0"/>
    <w:rsid w:val="0015163D"/>
    <w:rsid w:val="00160AAC"/>
    <w:rsid w:val="0017120A"/>
    <w:rsid w:val="00184D78"/>
    <w:rsid w:val="001864B4"/>
    <w:rsid w:val="00194198"/>
    <w:rsid w:val="00197496"/>
    <w:rsid w:val="00197E05"/>
    <w:rsid w:val="001A2B55"/>
    <w:rsid w:val="001A69E3"/>
    <w:rsid w:val="001B69B7"/>
    <w:rsid w:val="001C6081"/>
    <w:rsid w:val="001C6DE1"/>
    <w:rsid w:val="001C6EBC"/>
    <w:rsid w:val="001E6166"/>
    <w:rsid w:val="001F754E"/>
    <w:rsid w:val="0020450E"/>
    <w:rsid w:val="0020799E"/>
    <w:rsid w:val="00211F46"/>
    <w:rsid w:val="00215326"/>
    <w:rsid w:val="0022287C"/>
    <w:rsid w:val="00223681"/>
    <w:rsid w:val="00236FCE"/>
    <w:rsid w:val="002405A1"/>
    <w:rsid w:val="0024134A"/>
    <w:rsid w:val="0024366C"/>
    <w:rsid w:val="002469AB"/>
    <w:rsid w:val="00247636"/>
    <w:rsid w:val="0024781F"/>
    <w:rsid w:val="00265799"/>
    <w:rsid w:val="00271F0C"/>
    <w:rsid w:val="0027455D"/>
    <w:rsid w:val="00286716"/>
    <w:rsid w:val="00290822"/>
    <w:rsid w:val="00291BDC"/>
    <w:rsid w:val="0029244C"/>
    <w:rsid w:val="002963AB"/>
    <w:rsid w:val="002D0885"/>
    <w:rsid w:val="002D7789"/>
    <w:rsid w:val="002E16D5"/>
    <w:rsid w:val="002E2685"/>
    <w:rsid w:val="002E4B25"/>
    <w:rsid w:val="0030268C"/>
    <w:rsid w:val="003203E9"/>
    <w:rsid w:val="003278BE"/>
    <w:rsid w:val="00330F8E"/>
    <w:rsid w:val="00331CCE"/>
    <w:rsid w:val="00334771"/>
    <w:rsid w:val="00336837"/>
    <w:rsid w:val="00340B35"/>
    <w:rsid w:val="00356093"/>
    <w:rsid w:val="00357F19"/>
    <w:rsid w:val="00381333"/>
    <w:rsid w:val="00384D2E"/>
    <w:rsid w:val="00385C08"/>
    <w:rsid w:val="0039451C"/>
    <w:rsid w:val="0039598E"/>
    <w:rsid w:val="003A0ED0"/>
    <w:rsid w:val="003A17C4"/>
    <w:rsid w:val="003B0A38"/>
    <w:rsid w:val="003B1842"/>
    <w:rsid w:val="003C35B4"/>
    <w:rsid w:val="003D07FC"/>
    <w:rsid w:val="003E2059"/>
    <w:rsid w:val="003F0CC6"/>
    <w:rsid w:val="003F14BB"/>
    <w:rsid w:val="003F2B2A"/>
    <w:rsid w:val="003F2D18"/>
    <w:rsid w:val="003F67B1"/>
    <w:rsid w:val="00406210"/>
    <w:rsid w:val="00406300"/>
    <w:rsid w:val="00416FE0"/>
    <w:rsid w:val="00442337"/>
    <w:rsid w:val="004573BA"/>
    <w:rsid w:val="004604CD"/>
    <w:rsid w:val="004660C9"/>
    <w:rsid w:val="00470CD8"/>
    <w:rsid w:val="00471A66"/>
    <w:rsid w:val="004747C3"/>
    <w:rsid w:val="0047787F"/>
    <w:rsid w:val="00481216"/>
    <w:rsid w:val="00482D86"/>
    <w:rsid w:val="0048546E"/>
    <w:rsid w:val="00485A43"/>
    <w:rsid w:val="004B7A8F"/>
    <w:rsid w:val="004C4CBB"/>
    <w:rsid w:val="004D5576"/>
    <w:rsid w:val="004E61A9"/>
    <w:rsid w:val="004F02B4"/>
    <w:rsid w:val="00500E8A"/>
    <w:rsid w:val="00500F41"/>
    <w:rsid w:val="0052268C"/>
    <w:rsid w:val="00523017"/>
    <w:rsid w:val="0052737C"/>
    <w:rsid w:val="00542E7E"/>
    <w:rsid w:val="005464F7"/>
    <w:rsid w:val="0057139C"/>
    <w:rsid w:val="005810DC"/>
    <w:rsid w:val="00587636"/>
    <w:rsid w:val="00590AB9"/>
    <w:rsid w:val="005C2320"/>
    <w:rsid w:val="005D7D2C"/>
    <w:rsid w:val="00600B1B"/>
    <w:rsid w:val="006061F3"/>
    <w:rsid w:val="006116C1"/>
    <w:rsid w:val="00621A39"/>
    <w:rsid w:val="00636B16"/>
    <w:rsid w:val="0063778F"/>
    <w:rsid w:val="00641FD2"/>
    <w:rsid w:val="00652EA3"/>
    <w:rsid w:val="0067501A"/>
    <w:rsid w:val="00684784"/>
    <w:rsid w:val="0068508D"/>
    <w:rsid w:val="00685DEC"/>
    <w:rsid w:val="006944CA"/>
    <w:rsid w:val="006A733A"/>
    <w:rsid w:val="006C783B"/>
    <w:rsid w:val="007003E0"/>
    <w:rsid w:val="00701A0B"/>
    <w:rsid w:val="0070615A"/>
    <w:rsid w:val="00716E2C"/>
    <w:rsid w:val="007208C6"/>
    <w:rsid w:val="00737C42"/>
    <w:rsid w:val="007431D8"/>
    <w:rsid w:val="0074507C"/>
    <w:rsid w:val="0075394D"/>
    <w:rsid w:val="0076287F"/>
    <w:rsid w:val="00777463"/>
    <w:rsid w:val="00782300"/>
    <w:rsid w:val="007900E7"/>
    <w:rsid w:val="00790813"/>
    <w:rsid w:val="007B3248"/>
    <w:rsid w:val="007B4485"/>
    <w:rsid w:val="007B4812"/>
    <w:rsid w:val="007B7406"/>
    <w:rsid w:val="007C5893"/>
    <w:rsid w:val="007C65F7"/>
    <w:rsid w:val="007C7DBC"/>
    <w:rsid w:val="007D64AD"/>
    <w:rsid w:val="007E0FA1"/>
    <w:rsid w:val="007E3E31"/>
    <w:rsid w:val="007F0B83"/>
    <w:rsid w:val="007F17A9"/>
    <w:rsid w:val="007F7751"/>
    <w:rsid w:val="008070DA"/>
    <w:rsid w:val="00822A5F"/>
    <w:rsid w:val="00846E70"/>
    <w:rsid w:val="00847767"/>
    <w:rsid w:val="008608EC"/>
    <w:rsid w:val="00860ED2"/>
    <w:rsid w:val="00875AB6"/>
    <w:rsid w:val="00880EFE"/>
    <w:rsid w:val="008A511C"/>
    <w:rsid w:val="008B0A60"/>
    <w:rsid w:val="008B4188"/>
    <w:rsid w:val="008B6A44"/>
    <w:rsid w:val="008C474B"/>
    <w:rsid w:val="008D1F08"/>
    <w:rsid w:val="00905E36"/>
    <w:rsid w:val="00906670"/>
    <w:rsid w:val="0091488B"/>
    <w:rsid w:val="00930F3E"/>
    <w:rsid w:val="009409F1"/>
    <w:rsid w:val="00941549"/>
    <w:rsid w:val="009556EC"/>
    <w:rsid w:val="009660EA"/>
    <w:rsid w:val="00976ED0"/>
    <w:rsid w:val="009D077F"/>
    <w:rsid w:val="009D0D52"/>
    <w:rsid w:val="009D79C9"/>
    <w:rsid w:val="009E2602"/>
    <w:rsid w:val="009E47AC"/>
    <w:rsid w:val="009F0A78"/>
    <w:rsid w:val="00A23D0D"/>
    <w:rsid w:val="00A352A8"/>
    <w:rsid w:val="00A44369"/>
    <w:rsid w:val="00A55FBF"/>
    <w:rsid w:val="00A63620"/>
    <w:rsid w:val="00A66D37"/>
    <w:rsid w:val="00A77CE9"/>
    <w:rsid w:val="00AB0FE3"/>
    <w:rsid w:val="00AC1C70"/>
    <w:rsid w:val="00AC40D6"/>
    <w:rsid w:val="00AE0A34"/>
    <w:rsid w:val="00AE44B1"/>
    <w:rsid w:val="00AF3A51"/>
    <w:rsid w:val="00B02537"/>
    <w:rsid w:val="00B12950"/>
    <w:rsid w:val="00B273D4"/>
    <w:rsid w:val="00B33978"/>
    <w:rsid w:val="00B33BB7"/>
    <w:rsid w:val="00B61372"/>
    <w:rsid w:val="00B879EA"/>
    <w:rsid w:val="00BA146E"/>
    <w:rsid w:val="00BB422B"/>
    <w:rsid w:val="00BB6372"/>
    <w:rsid w:val="00BC16DE"/>
    <w:rsid w:val="00BC282E"/>
    <w:rsid w:val="00BD3ADB"/>
    <w:rsid w:val="00BD3D1B"/>
    <w:rsid w:val="00BD5D92"/>
    <w:rsid w:val="00BE14EB"/>
    <w:rsid w:val="00BE52FA"/>
    <w:rsid w:val="00BF4A77"/>
    <w:rsid w:val="00BF5DAD"/>
    <w:rsid w:val="00C0018A"/>
    <w:rsid w:val="00C27756"/>
    <w:rsid w:val="00C36358"/>
    <w:rsid w:val="00C407E8"/>
    <w:rsid w:val="00C464DC"/>
    <w:rsid w:val="00C56C7B"/>
    <w:rsid w:val="00C9226B"/>
    <w:rsid w:val="00CA41CB"/>
    <w:rsid w:val="00CA43EB"/>
    <w:rsid w:val="00CA459A"/>
    <w:rsid w:val="00CB0237"/>
    <w:rsid w:val="00CC505D"/>
    <w:rsid w:val="00CD5334"/>
    <w:rsid w:val="00CD6A5C"/>
    <w:rsid w:val="00CE040C"/>
    <w:rsid w:val="00CE14D7"/>
    <w:rsid w:val="00CF001C"/>
    <w:rsid w:val="00CF5F57"/>
    <w:rsid w:val="00D00364"/>
    <w:rsid w:val="00D01E85"/>
    <w:rsid w:val="00D035A7"/>
    <w:rsid w:val="00D05341"/>
    <w:rsid w:val="00D05944"/>
    <w:rsid w:val="00D1092F"/>
    <w:rsid w:val="00D15CC6"/>
    <w:rsid w:val="00D163EE"/>
    <w:rsid w:val="00D301BD"/>
    <w:rsid w:val="00D43D84"/>
    <w:rsid w:val="00D61032"/>
    <w:rsid w:val="00D76E55"/>
    <w:rsid w:val="00D867EE"/>
    <w:rsid w:val="00D921B1"/>
    <w:rsid w:val="00DA5678"/>
    <w:rsid w:val="00DB4AA4"/>
    <w:rsid w:val="00DC52CC"/>
    <w:rsid w:val="00DE437E"/>
    <w:rsid w:val="00DF0448"/>
    <w:rsid w:val="00E02152"/>
    <w:rsid w:val="00E048B1"/>
    <w:rsid w:val="00E219A7"/>
    <w:rsid w:val="00E24064"/>
    <w:rsid w:val="00E27C6E"/>
    <w:rsid w:val="00E31431"/>
    <w:rsid w:val="00E326BD"/>
    <w:rsid w:val="00E37B1F"/>
    <w:rsid w:val="00E45190"/>
    <w:rsid w:val="00E511A0"/>
    <w:rsid w:val="00E56419"/>
    <w:rsid w:val="00E56F09"/>
    <w:rsid w:val="00E70D40"/>
    <w:rsid w:val="00E7422B"/>
    <w:rsid w:val="00E8100A"/>
    <w:rsid w:val="00E83C6F"/>
    <w:rsid w:val="00E84A9B"/>
    <w:rsid w:val="00E87FC3"/>
    <w:rsid w:val="00E90BA9"/>
    <w:rsid w:val="00E90CF8"/>
    <w:rsid w:val="00E929F2"/>
    <w:rsid w:val="00E94D46"/>
    <w:rsid w:val="00EA6811"/>
    <w:rsid w:val="00EB2713"/>
    <w:rsid w:val="00F10D6B"/>
    <w:rsid w:val="00F1279A"/>
    <w:rsid w:val="00F214A2"/>
    <w:rsid w:val="00F267EB"/>
    <w:rsid w:val="00F54EB7"/>
    <w:rsid w:val="00F551C9"/>
    <w:rsid w:val="00F6650F"/>
    <w:rsid w:val="00F9022B"/>
    <w:rsid w:val="00F91FA8"/>
    <w:rsid w:val="00FA57B3"/>
    <w:rsid w:val="00FA76D5"/>
    <w:rsid w:val="00FC2760"/>
    <w:rsid w:val="00FC2D30"/>
    <w:rsid w:val="00FC71C5"/>
    <w:rsid w:val="00FD5726"/>
    <w:rsid w:val="00FD73B4"/>
    <w:rsid w:val="00FF416C"/>
    <w:rsid w:val="00FF56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A0C0D"/>
  <w15:chartTrackingRefBased/>
  <w15:docId w15:val="{F5769DB3-196B-4F49-A5FA-8902AC86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 texto,Footnote,List Paragraph1,Colorful List - Accent 11,Cuadrícula clara - Énfasis 31,Párrafo de lista1"/>
    <w:basedOn w:val="Normal"/>
    <w:link w:val="PrrafodelistaCar"/>
    <w:uiPriority w:val="34"/>
    <w:qFormat/>
    <w:rsid w:val="00500E8A"/>
    <w:pPr>
      <w:ind w:left="720"/>
      <w:contextualSpacing/>
    </w:pPr>
  </w:style>
  <w:style w:type="character" w:styleId="Refdecomentario">
    <w:name w:val="annotation reference"/>
    <w:basedOn w:val="Fuentedeprrafopredeter"/>
    <w:uiPriority w:val="99"/>
    <w:semiHidden/>
    <w:unhideWhenUsed/>
    <w:rsid w:val="00F6650F"/>
    <w:rPr>
      <w:sz w:val="16"/>
      <w:szCs w:val="16"/>
    </w:rPr>
  </w:style>
  <w:style w:type="paragraph" w:styleId="Textocomentario">
    <w:name w:val="annotation text"/>
    <w:basedOn w:val="Normal"/>
    <w:link w:val="TextocomentarioCar"/>
    <w:uiPriority w:val="99"/>
    <w:semiHidden/>
    <w:unhideWhenUsed/>
    <w:rsid w:val="00F665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650F"/>
    <w:rPr>
      <w:sz w:val="20"/>
      <w:szCs w:val="20"/>
    </w:rPr>
  </w:style>
  <w:style w:type="paragraph" w:styleId="Asuntodelcomentario">
    <w:name w:val="annotation subject"/>
    <w:basedOn w:val="Textocomentario"/>
    <w:next w:val="Textocomentario"/>
    <w:link w:val="AsuntodelcomentarioCar"/>
    <w:uiPriority w:val="99"/>
    <w:semiHidden/>
    <w:unhideWhenUsed/>
    <w:rsid w:val="00F6650F"/>
    <w:rPr>
      <w:b/>
      <w:bCs/>
    </w:rPr>
  </w:style>
  <w:style w:type="character" w:customStyle="1" w:styleId="AsuntodelcomentarioCar">
    <w:name w:val="Asunto del comentario Car"/>
    <w:basedOn w:val="TextocomentarioCar"/>
    <w:link w:val="Asuntodelcomentario"/>
    <w:uiPriority w:val="99"/>
    <w:semiHidden/>
    <w:rsid w:val="00F6650F"/>
    <w:rPr>
      <w:b/>
      <w:bCs/>
      <w:sz w:val="20"/>
      <w:szCs w:val="20"/>
    </w:rPr>
  </w:style>
  <w:style w:type="paragraph" w:styleId="Textodeglobo">
    <w:name w:val="Balloon Text"/>
    <w:basedOn w:val="Normal"/>
    <w:link w:val="TextodegloboCar"/>
    <w:uiPriority w:val="99"/>
    <w:semiHidden/>
    <w:unhideWhenUsed/>
    <w:rsid w:val="00F665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650F"/>
    <w:rPr>
      <w:rFonts w:ascii="Segoe UI" w:hAnsi="Segoe UI" w:cs="Segoe UI"/>
      <w:sz w:val="18"/>
      <w:szCs w:val="18"/>
    </w:rPr>
  </w:style>
  <w:style w:type="paragraph" w:styleId="Encabezado">
    <w:name w:val="header"/>
    <w:basedOn w:val="Normal"/>
    <w:link w:val="EncabezadoCar"/>
    <w:uiPriority w:val="99"/>
    <w:unhideWhenUsed/>
    <w:rsid w:val="00737C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7C42"/>
  </w:style>
  <w:style w:type="paragraph" w:styleId="Piedepgina">
    <w:name w:val="footer"/>
    <w:basedOn w:val="Normal"/>
    <w:link w:val="PiedepginaCar"/>
    <w:uiPriority w:val="99"/>
    <w:unhideWhenUsed/>
    <w:rsid w:val="00737C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7C42"/>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C"/>
    <w:basedOn w:val="Normal"/>
    <w:link w:val="TextonotapieCar"/>
    <w:unhideWhenUsed/>
    <w:qFormat/>
    <w:rsid w:val="007E0FA1"/>
    <w:pPr>
      <w:spacing w:after="0" w:line="240" w:lineRule="auto"/>
    </w:pPr>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7E0FA1"/>
    <w:rPr>
      <w:sz w:val="20"/>
      <w:szCs w:val="20"/>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Ref,de nota al pie,ftre"/>
    <w:basedOn w:val="Fuentedeprrafopredeter"/>
    <w:link w:val="4GChar"/>
    <w:unhideWhenUsed/>
    <w:qFormat/>
    <w:rsid w:val="007E0FA1"/>
    <w:rPr>
      <w:vertAlign w:val="superscript"/>
    </w:rPr>
  </w:style>
  <w:style w:type="character" w:customStyle="1" w:styleId="PrrafodelistaCar">
    <w:name w:val="Párrafo de lista Car"/>
    <w:aliases w:val="Cita texto Car,Footnote Car,List Paragraph1 Car,Colorful List - Accent 11 Car,Cuadrícula clara - Énfasis 31 Car,Párrafo de lista1 Car"/>
    <w:link w:val="Prrafodelista"/>
    <w:uiPriority w:val="34"/>
    <w:locked/>
    <w:rsid w:val="003F2D18"/>
  </w:style>
  <w:style w:type="paragraph" w:customStyle="1" w:styleId="corte4fondo">
    <w:name w:val="corte4 fondo"/>
    <w:basedOn w:val="Normal"/>
    <w:link w:val="corte4fondoCar1"/>
    <w:qFormat/>
    <w:rsid w:val="009660EA"/>
    <w:pPr>
      <w:spacing w:after="0" w:line="300" w:lineRule="auto"/>
      <w:ind w:firstLine="709"/>
      <w:jc w:val="both"/>
    </w:pPr>
    <w:rPr>
      <w:rFonts w:ascii="Arial" w:eastAsia="Times New Roman" w:hAnsi="Arial" w:cs="Times New Roman"/>
      <w:sz w:val="30"/>
      <w:szCs w:val="20"/>
      <w:lang w:val="es-ES_tradnl" w:eastAsia="x-none"/>
    </w:rPr>
  </w:style>
  <w:style w:type="character" w:customStyle="1" w:styleId="corte4fondoCar1">
    <w:name w:val="corte4 fondo Car1"/>
    <w:link w:val="corte4fondo"/>
    <w:locked/>
    <w:rsid w:val="009660EA"/>
    <w:rPr>
      <w:rFonts w:ascii="Arial" w:eastAsia="Times New Roman" w:hAnsi="Arial" w:cs="Times New Roman"/>
      <w:sz w:val="30"/>
      <w:szCs w:val="20"/>
      <w:lang w:val="es-ES_tradnl" w:eastAsia="x-non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03264B"/>
    <w:pPr>
      <w:spacing w:after="0" w:line="240" w:lineRule="auto"/>
      <w:jc w:val="both"/>
    </w:pPr>
    <w:rPr>
      <w:vertAlign w:val="superscript"/>
    </w:rPr>
  </w:style>
  <w:style w:type="paragraph" w:customStyle="1" w:styleId="Estilo">
    <w:name w:val="Estilo"/>
    <w:basedOn w:val="Sinespaciado"/>
    <w:link w:val="EstiloCar"/>
    <w:qFormat/>
    <w:rsid w:val="00247636"/>
    <w:pPr>
      <w:jc w:val="both"/>
    </w:pPr>
    <w:rPr>
      <w:rFonts w:ascii="Arial" w:hAnsi="Arial"/>
      <w:sz w:val="24"/>
    </w:rPr>
  </w:style>
  <w:style w:type="character" w:customStyle="1" w:styleId="EstiloCar">
    <w:name w:val="Estilo Car"/>
    <w:basedOn w:val="Fuentedeprrafopredeter"/>
    <w:link w:val="Estilo"/>
    <w:rsid w:val="00247636"/>
    <w:rPr>
      <w:rFonts w:ascii="Arial" w:hAnsi="Arial"/>
      <w:sz w:val="24"/>
    </w:rPr>
  </w:style>
  <w:style w:type="paragraph" w:styleId="Sinespaciado">
    <w:name w:val="No Spacing"/>
    <w:uiPriority w:val="1"/>
    <w:qFormat/>
    <w:rsid w:val="00247636"/>
    <w:pPr>
      <w:spacing w:after="0" w:line="240" w:lineRule="auto"/>
    </w:pPr>
  </w:style>
  <w:style w:type="table" w:styleId="Tablaconcuadrcula">
    <w:name w:val="Table Grid"/>
    <w:basedOn w:val="Tablanormal"/>
    <w:uiPriority w:val="39"/>
    <w:rsid w:val="00875AB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aliases w:val="Body Text resoluciones"/>
    <w:basedOn w:val="Normal"/>
    <w:link w:val="TextoindependienteCar"/>
    <w:rsid w:val="00442337"/>
    <w:pPr>
      <w:spacing w:after="0" w:line="360" w:lineRule="auto"/>
      <w:jc w:val="both"/>
    </w:pPr>
    <w:rPr>
      <w:rFonts w:ascii="Times New Roman" w:eastAsia="Times New Roman" w:hAnsi="Times New Roman" w:cs="Times New Roman"/>
      <w:sz w:val="30"/>
      <w:szCs w:val="20"/>
      <w:lang w:val="es-ES" w:eastAsia="es-MX"/>
    </w:rPr>
  </w:style>
  <w:style w:type="character" w:customStyle="1" w:styleId="TextoindependienteCar">
    <w:name w:val="Texto independiente Car"/>
    <w:aliases w:val="Body Text resoluciones Car"/>
    <w:basedOn w:val="Fuentedeprrafopredeter"/>
    <w:link w:val="Textoindependiente"/>
    <w:rsid w:val="00442337"/>
    <w:rPr>
      <w:rFonts w:ascii="Times New Roman" w:eastAsia="Times New Roman" w:hAnsi="Times New Roman" w:cs="Times New Roman"/>
      <w:sz w:val="30"/>
      <w:szCs w:val="20"/>
      <w:lang w:val="es-ES" w:eastAsia="es-MX"/>
    </w:rPr>
  </w:style>
  <w:style w:type="character" w:customStyle="1" w:styleId="corte4fondoCar2">
    <w:name w:val="corte4 fondo Car2"/>
    <w:rsid w:val="00BC16DE"/>
    <w:rPr>
      <w:rFonts w:ascii="Arial" w:eastAsia="Times New Roman" w:hAnsi="Arial" w:cs="Times New Roman"/>
      <w:sz w:val="30"/>
      <w:szCs w:val="20"/>
      <w:lang w:val="es-ES_tradnl" w:eastAsia="es-ES"/>
    </w:rPr>
  </w:style>
  <w:style w:type="paragraph" w:customStyle="1" w:styleId="corte5transcripcionCarCar">
    <w:name w:val="corte5 transcripcion Car Car"/>
    <w:basedOn w:val="Normal"/>
    <w:link w:val="corte5transcripcionCarCarCar"/>
    <w:rsid w:val="00FD73B4"/>
    <w:pPr>
      <w:spacing w:after="0" w:line="360" w:lineRule="auto"/>
      <w:ind w:left="709" w:right="709"/>
      <w:jc w:val="both"/>
    </w:pPr>
    <w:rPr>
      <w:rFonts w:ascii="Arial" w:eastAsia="Times New Roman" w:hAnsi="Arial" w:cs="Times New Roman"/>
      <w:b/>
      <w:i/>
      <w:sz w:val="30"/>
      <w:szCs w:val="20"/>
      <w:lang w:val="es-ES_tradnl" w:eastAsia="es-MX"/>
    </w:rPr>
  </w:style>
  <w:style w:type="character" w:customStyle="1" w:styleId="corte5transcripcionCarCarCar">
    <w:name w:val="corte5 transcripcion Car Car Car"/>
    <w:link w:val="corte5transcripcionCarCar"/>
    <w:rsid w:val="00FD73B4"/>
    <w:rPr>
      <w:rFonts w:ascii="Arial" w:eastAsia="Times New Roman" w:hAnsi="Arial" w:cs="Times New Roman"/>
      <w:b/>
      <w:i/>
      <w:sz w:val="3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AEE68-FFF4-4D89-94F0-BAB70D86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2334</Words>
  <Characters>12838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Contro Rodriguez</dc:creator>
  <cp:keywords/>
  <dc:description/>
  <cp:lastModifiedBy>MIGUEL ANGEL ANDRADE SOLANA</cp:lastModifiedBy>
  <cp:revision>10</cp:revision>
  <dcterms:created xsi:type="dcterms:W3CDTF">2023-09-24T15:55:00Z</dcterms:created>
  <dcterms:modified xsi:type="dcterms:W3CDTF">2023-09-25T03:53:00Z</dcterms:modified>
</cp:coreProperties>
</file>