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A5FB" w14:textId="731E9388" w:rsidR="006B70AA" w:rsidRPr="00773336" w:rsidRDefault="009E2BB9" w:rsidP="003C7F93">
      <w:pPr>
        <w:spacing w:line="360" w:lineRule="auto"/>
        <w:jc w:val="both"/>
        <w:rPr>
          <w:rFonts w:ascii="Arial" w:hAnsi="Arial" w:cs="Arial"/>
          <w:b/>
          <w:sz w:val="28"/>
          <w:szCs w:val="28"/>
        </w:rPr>
      </w:pPr>
      <w:r w:rsidRPr="00773336">
        <w:rPr>
          <w:rFonts w:ascii="Arial" w:hAnsi="Arial" w:cs="Arial"/>
          <w:b/>
          <w:sz w:val="28"/>
          <w:szCs w:val="28"/>
        </w:rPr>
        <w:t xml:space="preserve">VOTO </w:t>
      </w:r>
      <w:bookmarkStart w:id="0" w:name="_Hlk130839917"/>
      <w:r w:rsidR="004F3A89">
        <w:rPr>
          <w:rFonts w:ascii="Arial" w:hAnsi="Arial" w:cs="Arial"/>
          <w:b/>
          <w:sz w:val="28"/>
          <w:szCs w:val="28"/>
        </w:rPr>
        <w:t>PARTICULAR Y CONCURRENTE</w:t>
      </w:r>
      <w:bookmarkEnd w:id="0"/>
      <w:r w:rsidR="007E1618" w:rsidRPr="00773336">
        <w:rPr>
          <w:rFonts w:ascii="Arial" w:hAnsi="Arial" w:cs="Arial"/>
          <w:b/>
          <w:sz w:val="28"/>
          <w:szCs w:val="28"/>
        </w:rPr>
        <w:t xml:space="preserve"> QUE FORMULA EL MINISTRO JUAN LUIS G</w:t>
      </w:r>
      <w:r w:rsidR="00C22358" w:rsidRPr="00773336">
        <w:rPr>
          <w:rFonts w:ascii="Arial" w:hAnsi="Arial" w:cs="Arial"/>
          <w:b/>
          <w:sz w:val="28"/>
          <w:szCs w:val="28"/>
        </w:rPr>
        <w:t>ON</w:t>
      </w:r>
      <w:r w:rsidR="007E1618" w:rsidRPr="00773336">
        <w:rPr>
          <w:rFonts w:ascii="Arial" w:hAnsi="Arial" w:cs="Arial"/>
          <w:b/>
          <w:sz w:val="28"/>
          <w:szCs w:val="28"/>
        </w:rPr>
        <w:t xml:space="preserve">ZÁLEZ ALCÁNTARA CARRANCÁ EN LA </w:t>
      </w:r>
      <w:r w:rsidR="00FA625C" w:rsidRPr="00773336">
        <w:rPr>
          <w:rFonts w:ascii="Arial" w:hAnsi="Arial" w:cs="Arial"/>
          <w:b/>
          <w:sz w:val="28"/>
          <w:szCs w:val="28"/>
        </w:rPr>
        <w:t xml:space="preserve">ACCIÓN DE INCONSTITUCIONALIDAD </w:t>
      </w:r>
      <w:r w:rsidR="00022434" w:rsidRPr="00773336">
        <w:rPr>
          <w:rFonts w:ascii="Arial" w:hAnsi="Arial" w:cs="Arial"/>
          <w:b/>
          <w:sz w:val="28"/>
          <w:szCs w:val="28"/>
        </w:rPr>
        <w:t>1</w:t>
      </w:r>
      <w:r w:rsidR="00773336" w:rsidRPr="00773336">
        <w:rPr>
          <w:rFonts w:ascii="Arial" w:hAnsi="Arial" w:cs="Arial"/>
          <w:b/>
          <w:sz w:val="28"/>
          <w:szCs w:val="28"/>
        </w:rPr>
        <w:t>06</w:t>
      </w:r>
      <w:r w:rsidR="000208BF" w:rsidRPr="00773336">
        <w:rPr>
          <w:rFonts w:ascii="Arial" w:hAnsi="Arial" w:cs="Arial"/>
          <w:b/>
          <w:sz w:val="28"/>
          <w:szCs w:val="28"/>
        </w:rPr>
        <w:t>/20</w:t>
      </w:r>
      <w:r w:rsidR="00773336" w:rsidRPr="00773336">
        <w:rPr>
          <w:rFonts w:ascii="Arial" w:hAnsi="Arial" w:cs="Arial"/>
          <w:b/>
          <w:sz w:val="28"/>
          <w:szCs w:val="28"/>
        </w:rPr>
        <w:t>19</w:t>
      </w:r>
      <w:r w:rsidR="00601BA6">
        <w:rPr>
          <w:rFonts w:ascii="Arial" w:hAnsi="Arial" w:cs="Arial"/>
          <w:b/>
          <w:sz w:val="28"/>
          <w:szCs w:val="28"/>
        </w:rPr>
        <w:t>.</w:t>
      </w:r>
    </w:p>
    <w:p w14:paraId="395125C9" w14:textId="77777777" w:rsidR="00C22358" w:rsidRPr="004A39B6" w:rsidRDefault="00C22358" w:rsidP="003C7F93">
      <w:pPr>
        <w:spacing w:line="360" w:lineRule="auto"/>
        <w:jc w:val="right"/>
        <w:rPr>
          <w:rFonts w:ascii="Arial" w:hAnsi="Arial" w:cs="Arial"/>
          <w:b/>
          <w:sz w:val="28"/>
          <w:szCs w:val="28"/>
        </w:rPr>
      </w:pPr>
    </w:p>
    <w:p w14:paraId="2697307A" w14:textId="241CDF46" w:rsidR="006560D5" w:rsidRPr="004A39B6" w:rsidRDefault="007E1618" w:rsidP="006560D5">
      <w:pPr>
        <w:pStyle w:val="Prrafodelista"/>
        <w:numPr>
          <w:ilvl w:val="0"/>
          <w:numId w:val="15"/>
        </w:numPr>
        <w:spacing w:line="360" w:lineRule="auto"/>
        <w:ind w:left="0" w:hanging="567"/>
        <w:jc w:val="both"/>
        <w:rPr>
          <w:rFonts w:ascii="Arial" w:hAnsi="Arial" w:cs="Arial"/>
          <w:sz w:val="28"/>
          <w:szCs w:val="28"/>
        </w:rPr>
      </w:pPr>
      <w:r w:rsidRPr="004A39B6">
        <w:rPr>
          <w:rFonts w:ascii="Arial" w:hAnsi="Arial" w:cs="Arial"/>
          <w:sz w:val="28"/>
          <w:szCs w:val="28"/>
        </w:rPr>
        <w:t xml:space="preserve">En sesión </w:t>
      </w:r>
      <w:r w:rsidR="003A7FC8" w:rsidRPr="004A39B6">
        <w:rPr>
          <w:rFonts w:ascii="Arial" w:hAnsi="Arial" w:cs="Arial"/>
          <w:sz w:val="28"/>
          <w:szCs w:val="28"/>
        </w:rPr>
        <w:t xml:space="preserve">pública </w:t>
      </w:r>
      <w:r w:rsidRPr="004A39B6">
        <w:rPr>
          <w:rFonts w:ascii="Arial" w:hAnsi="Arial" w:cs="Arial"/>
          <w:sz w:val="28"/>
          <w:szCs w:val="28"/>
        </w:rPr>
        <w:t xml:space="preserve">de </w:t>
      </w:r>
      <w:r w:rsidR="005B66D8" w:rsidRPr="004A39B6">
        <w:rPr>
          <w:rFonts w:ascii="Arial" w:hAnsi="Arial" w:cs="Arial"/>
          <w:sz w:val="28"/>
          <w:szCs w:val="28"/>
          <w:lang w:val="es-MX"/>
        </w:rPr>
        <w:t>diecinueve de abril de dos mil veintiuno</w:t>
      </w:r>
      <w:r w:rsidRPr="004A39B6">
        <w:rPr>
          <w:rFonts w:ascii="Arial" w:hAnsi="Arial" w:cs="Arial"/>
          <w:sz w:val="28"/>
          <w:szCs w:val="28"/>
        </w:rPr>
        <w:t xml:space="preserve">, el Pleno de la Suprema Corte resolvió la </w:t>
      </w:r>
      <w:r w:rsidR="00FA625C" w:rsidRPr="004A39B6">
        <w:rPr>
          <w:rFonts w:ascii="Arial" w:hAnsi="Arial" w:cs="Arial"/>
          <w:sz w:val="28"/>
          <w:szCs w:val="28"/>
        </w:rPr>
        <w:t>acción de</w:t>
      </w:r>
      <w:r w:rsidRPr="004A39B6">
        <w:rPr>
          <w:rFonts w:ascii="Arial" w:hAnsi="Arial" w:cs="Arial"/>
          <w:sz w:val="28"/>
          <w:szCs w:val="28"/>
        </w:rPr>
        <w:t xml:space="preserve"> </w:t>
      </w:r>
      <w:r w:rsidR="00121631" w:rsidRPr="004A39B6">
        <w:rPr>
          <w:rFonts w:ascii="Arial" w:hAnsi="Arial" w:cs="Arial"/>
          <w:sz w:val="28"/>
          <w:szCs w:val="28"/>
        </w:rPr>
        <w:t>inconstitucional</w:t>
      </w:r>
      <w:r w:rsidR="003B2F69" w:rsidRPr="004A39B6">
        <w:rPr>
          <w:rFonts w:ascii="Arial" w:hAnsi="Arial" w:cs="Arial"/>
          <w:sz w:val="28"/>
          <w:szCs w:val="28"/>
        </w:rPr>
        <w:t xml:space="preserve">idad </w:t>
      </w:r>
      <w:r w:rsidR="0056645E" w:rsidRPr="004A39B6">
        <w:rPr>
          <w:rFonts w:ascii="Arial" w:hAnsi="Arial" w:cs="Arial"/>
          <w:sz w:val="28"/>
          <w:szCs w:val="28"/>
        </w:rPr>
        <w:t>10</w:t>
      </w:r>
      <w:r w:rsidR="005B66D8" w:rsidRPr="004A39B6">
        <w:rPr>
          <w:rFonts w:ascii="Arial" w:hAnsi="Arial" w:cs="Arial"/>
          <w:sz w:val="28"/>
          <w:szCs w:val="28"/>
        </w:rPr>
        <w:t>6</w:t>
      </w:r>
      <w:r w:rsidR="000208BF" w:rsidRPr="004A39B6">
        <w:rPr>
          <w:rFonts w:ascii="Arial" w:hAnsi="Arial" w:cs="Arial"/>
          <w:sz w:val="28"/>
          <w:szCs w:val="28"/>
        </w:rPr>
        <w:t>/20</w:t>
      </w:r>
      <w:r w:rsidR="005B66D8" w:rsidRPr="004A39B6">
        <w:rPr>
          <w:rFonts w:ascii="Arial" w:hAnsi="Arial" w:cs="Arial"/>
          <w:sz w:val="28"/>
          <w:szCs w:val="28"/>
        </w:rPr>
        <w:t>19</w:t>
      </w:r>
      <w:r w:rsidRPr="004A39B6">
        <w:rPr>
          <w:rFonts w:ascii="Arial" w:hAnsi="Arial" w:cs="Arial"/>
          <w:sz w:val="28"/>
          <w:szCs w:val="28"/>
        </w:rPr>
        <w:t xml:space="preserve">, promovida por </w:t>
      </w:r>
      <w:r w:rsidR="003A7FC8" w:rsidRPr="004A39B6">
        <w:rPr>
          <w:rFonts w:ascii="Arial" w:hAnsi="Arial" w:cs="Arial"/>
          <w:sz w:val="28"/>
          <w:szCs w:val="28"/>
        </w:rPr>
        <w:t xml:space="preserve">la Comisión Nacional de los Derechos Humanos, en contra </w:t>
      </w:r>
      <w:r w:rsidR="004C401E" w:rsidRPr="004A39B6">
        <w:rPr>
          <w:rFonts w:ascii="Arial" w:hAnsi="Arial" w:cs="Arial"/>
          <w:sz w:val="28"/>
          <w:szCs w:val="28"/>
        </w:rPr>
        <w:t xml:space="preserve">de diversas normas de </w:t>
      </w:r>
      <w:r w:rsidR="004C401E" w:rsidRPr="004A39B6">
        <w:rPr>
          <w:rFonts w:ascii="Arial" w:hAnsi="Arial" w:cs="Arial"/>
          <w:sz w:val="28"/>
          <w:szCs w:val="28"/>
          <w:lang w:val="es-MX"/>
        </w:rPr>
        <w:t>la Ley Orgánica de la Fiscalía General de Justicia del Estado de Tamaulipas</w:t>
      </w:r>
      <w:r w:rsidR="003A3117" w:rsidRPr="004A39B6">
        <w:rPr>
          <w:rFonts w:ascii="Arial" w:hAnsi="Arial" w:cs="Arial"/>
          <w:sz w:val="28"/>
          <w:szCs w:val="28"/>
          <w:lang w:val="es-MX"/>
        </w:rPr>
        <w:t>,</w:t>
      </w:r>
      <w:r w:rsidR="00525B33" w:rsidRPr="004A39B6">
        <w:rPr>
          <w:rFonts w:ascii="Arial" w:hAnsi="Arial" w:cs="Arial"/>
          <w:sz w:val="28"/>
          <w:szCs w:val="28"/>
          <w:lang w:val="es-MX"/>
        </w:rPr>
        <w:t xml:space="preserve"> </w:t>
      </w:r>
      <w:r w:rsidR="00DE7422" w:rsidRPr="004A39B6">
        <w:rPr>
          <w:rFonts w:ascii="Arial" w:hAnsi="Arial" w:cs="Arial"/>
          <w:sz w:val="28"/>
          <w:szCs w:val="28"/>
          <w:lang w:val="es-MX"/>
        </w:rPr>
        <w:t>publicada</w:t>
      </w:r>
      <w:r w:rsidR="00360FFC" w:rsidRPr="004A39B6">
        <w:rPr>
          <w:rFonts w:ascii="Arial" w:hAnsi="Arial" w:cs="Arial"/>
          <w:sz w:val="28"/>
          <w:szCs w:val="28"/>
          <w:lang w:val="es-MX"/>
        </w:rPr>
        <w:t>s</w:t>
      </w:r>
      <w:r w:rsidR="00360FFC" w:rsidRPr="004A39B6">
        <w:rPr>
          <w:rFonts w:ascii="Arial" w:hAnsi="Arial" w:cs="Arial"/>
          <w:sz w:val="28"/>
          <w:szCs w:val="28"/>
        </w:rPr>
        <w:t xml:space="preserve"> </w:t>
      </w:r>
      <w:r w:rsidR="00360FFC" w:rsidRPr="004A39B6">
        <w:rPr>
          <w:rFonts w:ascii="Arial" w:hAnsi="Arial" w:cs="Arial"/>
          <w:sz w:val="28"/>
          <w:szCs w:val="28"/>
          <w:lang w:val="es-MX"/>
        </w:rPr>
        <w:t>el veinte de agosto de dos mil diecinueve</w:t>
      </w:r>
      <w:r w:rsidR="004C401E" w:rsidRPr="004A39B6">
        <w:rPr>
          <w:rFonts w:ascii="Arial" w:hAnsi="Arial" w:cs="Arial"/>
          <w:sz w:val="28"/>
          <w:szCs w:val="28"/>
          <w:lang w:val="es-MX"/>
        </w:rPr>
        <w:t xml:space="preserve">, entre ellas, </w:t>
      </w:r>
      <w:r w:rsidR="004C401E" w:rsidRPr="004A39B6">
        <w:rPr>
          <w:rFonts w:ascii="Arial" w:hAnsi="Arial" w:cs="Arial"/>
          <w:sz w:val="28"/>
          <w:szCs w:val="28"/>
        </w:rPr>
        <w:t>los</w:t>
      </w:r>
      <w:r w:rsidR="004C401E" w:rsidRPr="004A39B6">
        <w:rPr>
          <w:rFonts w:ascii="Arial" w:hAnsi="Arial" w:cs="Arial"/>
          <w:sz w:val="28"/>
          <w:szCs w:val="28"/>
          <w:lang w:val="es-MX"/>
        </w:rPr>
        <w:t xml:space="preserve"> artículos 21, fracciones IV y VI, y 24, fracciones IV y VI, que prevén diversos </w:t>
      </w:r>
      <w:r w:rsidR="004C401E" w:rsidRPr="004A39B6">
        <w:rPr>
          <w:rFonts w:ascii="Arial" w:hAnsi="Arial" w:cs="Arial"/>
          <w:bCs/>
          <w:sz w:val="28"/>
          <w:szCs w:val="28"/>
        </w:rPr>
        <w:t>requisitos para ocupar los cargos de Vicefiscal y Fiscal Especializado en dicha entidad</w:t>
      </w:r>
      <w:r w:rsidR="00292F0D" w:rsidRPr="004A39B6">
        <w:rPr>
          <w:rFonts w:ascii="Arial" w:hAnsi="Arial" w:cs="Arial"/>
          <w:bCs/>
          <w:sz w:val="28"/>
          <w:szCs w:val="28"/>
        </w:rPr>
        <w:t>,</w:t>
      </w:r>
      <w:r w:rsidR="00292F0D" w:rsidRPr="004A39B6">
        <w:rPr>
          <w:rFonts w:ascii="Arial" w:hAnsi="Arial" w:cs="Arial"/>
          <w:b/>
          <w:sz w:val="28"/>
          <w:szCs w:val="28"/>
        </w:rPr>
        <w:t xml:space="preserve"> </w:t>
      </w:r>
      <w:r w:rsidR="005207B3" w:rsidRPr="004A39B6">
        <w:rPr>
          <w:rFonts w:ascii="Arial" w:hAnsi="Arial" w:cs="Arial"/>
          <w:sz w:val="28"/>
          <w:szCs w:val="28"/>
          <w:lang w:val="es-MX"/>
        </w:rPr>
        <w:t xml:space="preserve">así como el </w:t>
      </w:r>
      <w:r w:rsidR="00601BA6">
        <w:rPr>
          <w:rFonts w:ascii="Arial" w:hAnsi="Arial" w:cs="Arial"/>
          <w:sz w:val="28"/>
          <w:szCs w:val="28"/>
          <w:lang w:val="es-MX"/>
        </w:rPr>
        <w:t>diverso</w:t>
      </w:r>
      <w:r w:rsidR="005207B3" w:rsidRPr="004A39B6">
        <w:rPr>
          <w:rFonts w:ascii="Arial" w:hAnsi="Arial" w:cs="Arial"/>
          <w:sz w:val="28"/>
          <w:szCs w:val="28"/>
          <w:lang w:val="es-MX"/>
        </w:rPr>
        <w:t xml:space="preserve"> 67</w:t>
      </w:r>
      <w:r w:rsidR="00F2684D" w:rsidRPr="004A39B6">
        <w:rPr>
          <w:rFonts w:ascii="Arial" w:hAnsi="Arial" w:cs="Arial"/>
          <w:sz w:val="28"/>
          <w:szCs w:val="28"/>
          <w:lang w:val="es-MX"/>
        </w:rPr>
        <w:t xml:space="preserve"> al prever una reserva de información</w:t>
      </w:r>
      <w:r w:rsidR="006560D5" w:rsidRPr="004A39B6">
        <w:rPr>
          <w:rFonts w:ascii="Arial" w:hAnsi="Arial" w:cs="Arial"/>
          <w:sz w:val="28"/>
          <w:szCs w:val="28"/>
          <w:lang w:val="es-MX"/>
        </w:rPr>
        <w:t xml:space="preserve"> en los expedientes y reportes de resultados de los exámenes de evaluación</w:t>
      </w:r>
      <w:r w:rsidR="00EE089C" w:rsidRPr="004A39B6">
        <w:rPr>
          <w:rFonts w:ascii="Arial" w:hAnsi="Arial" w:cs="Arial"/>
          <w:sz w:val="28"/>
          <w:szCs w:val="28"/>
          <w:lang w:val="es-MX"/>
        </w:rPr>
        <w:t>.</w:t>
      </w:r>
    </w:p>
    <w:p w14:paraId="046E031B" w14:textId="0B79C415" w:rsidR="007E1618" w:rsidRPr="004A39B6" w:rsidRDefault="007E1618" w:rsidP="003C7F93">
      <w:pPr>
        <w:spacing w:line="360" w:lineRule="auto"/>
        <w:jc w:val="both"/>
        <w:rPr>
          <w:rFonts w:ascii="Arial" w:hAnsi="Arial" w:cs="Arial"/>
          <w:sz w:val="28"/>
          <w:szCs w:val="28"/>
        </w:rPr>
      </w:pPr>
    </w:p>
    <w:p w14:paraId="5963FF9E" w14:textId="4D6BD1E4" w:rsidR="007E1618" w:rsidRPr="004A39B6" w:rsidRDefault="007E1618" w:rsidP="00223F3F">
      <w:pPr>
        <w:pStyle w:val="Prrafodelista"/>
        <w:numPr>
          <w:ilvl w:val="0"/>
          <w:numId w:val="28"/>
        </w:numPr>
        <w:spacing w:line="276" w:lineRule="auto"/>
        <w:jc w:val="both"/>
        <w:rPr>
          <w:rFonts w:ascii="Arial" w:hAnsi="Arial" w:cs="Arial"/>
          <w:b/>
          <w:sz w:val="28"/>
          <w:szCs w:val="28"/>
        </w:rPr>
      </w:pPr>
      <w:r w:rsidRPr="004A39B6">
        <w:rPr>
          <w:rFonts w:ascii="Arial" w:hAnsi="Arial" w:cs="Arial"/>
          <w:b/>
          <w:sz w:val="28"/>
          <w:szCs w:val="28"/>
        </w:rPr>
        <w:t>Postura mayoritaria</w:t>
      </w:r>
      <w:r w:rsidR="00601BA6">
        <w:rPr>
          <w:rFonts w:ascii="Arial" w:hAnsi="Arial" w:cs="Arial"/>
          <w:b/>
          <w:sz w:val="28"/>
          <w:szCs w:val="28"/>
        </w:rPr>
        <w:t>.</w:t>
      </w:r>
    </w:p>
    <w:p w14:paraId="06323882" w14:textId="36FEE610" w:rsidR="007E1618" w:rsidRPr="004A39B6" w:rsidRDefault="007E1618" w:rsidP="007E1618">
      <w:pPr>
        <w:spacing w:line="276" w:lineRule="auto"/>
        <w:jc w:val="both"/>
        <w:rPr>
          <w:rFonts w:ascii="Arial" w:hAnsi="Arial" w:cs="Arial"/>
          <w:sz w:val="28"/>
          <w:szCs w:val="28"/>
        </w:rPr>
      </w:pPr>
    </w:p>
    <w:p w14:paraId="331094D3" w14:textId="39270A58" w:rsidR="001A0731" w:rsidRPr="004A39B6" w:rsidRDefault="007E1618" w:rsidP="001A0731">
      <w:pPr>
        <w:pStyle w:val="Prrafodelista"/>
        <w:numPr>
          <w:ilvl w:val="0"/>
          <w:numId w:val="15"/>
        </w:numPr>
        <w:spacing w:line="360" w:lineRule="auto"/>
        <w:ind w:left="0" w:hanging="567"/>
        <w:jc w:val="both"/>
        <w:rPr>
          <w:rFonts w:ascii="Arial" w:hAnsi="Arial" w:cs="Arial"/>
          <w:sz w:val="28"/>
          <w:szCs w:val="28"/>
        </w:rPr>
      </w:pPr>
      <w:r w:rsidRPr="004A39B6">
        <w:rPr>
          <w:rFonts w:ascii="Arial" w:hAnsi="Arial" w:cs="Arial"/>
          <w:sz w:val="28"/>
          <w:szCs w:val="28"/>
        </w:rPr>
        <w:t>E</w:t>
      </w:r>
      <w:r w:rsidR="0026696D" w:rsidRPr="004A39B6">
        <w:rPr>
          <w:rFonts w:ascii="Arial" w:hAnsi="Arial" w:cs="Arial"/>
          <w:sz w:val="28"/>
          <w:szCs w:val="28"/>
        </w:rPr>
        <w:t>n lo que interesa a este voto,</w:t>
      </w:r>
      <w:r w:rsidR="004F332D">
        <w:rPr>
          <w:rFonts w:ascii="Arial" w:hAnsi="Arial" w:cs="Arial"/>
          <w:sz w:val="28"/>
          <w:szCs w:val="28"/>
        </w:rPr>
        <w:t xml:space="preserve"> en el considerando sext</w:t>
      </w:r>
      <w:r w:rsidR="00210864">
        <w:rPr>
          <w:rFonts w:ascii="Arial" w:hAnsi="Arial" w:cs="Arial"/>
          <w:sz w:val="28"/>
          <w:szCs w:val="28"/>
        </w:rPr>
        <w:t>o,</w:t>
      </w:r>
      <w:r w:rsidR="00351083" w:rsidRPr="004A39B6">
        <w:rPr>
          <w:rFonts w:ascii="Arial" w:hAnsi="Arial" w:cs="Arial"/>
          <w:sz w:val="28"/>
          <w:szCs w:val="28"/>
        </w:rPr>
        <w:t xml:space="preserve"> </w:t>
      </w:r>
      <w:r w:rsidR="001A0731" w:rsidRPr="004A39B6">
        <w:rPr>
          <w:rFonts w:ascii="Arial" w:hAnsi="Arial" w:cs="Arial"/>
          <w:sz w:val="28"/>
          <w:szCs w:val="28"/>
        </w:rPr>
        <w:t xml:space="preserve">concretamente en el </w:t>
      </w:r>
      <w:r w:rsidR="001A0731" w:rsidRPr="004A39B6">
        <w:rPr>
          <w:rFonts w:ascii="Arial" w:hAnsi="Arial" w:cs="Arial"/>
          <w:b/>
          <w:bCs/>
          <w:sz w:val="28"/>
          <w:szCs w:val="28"/>
        </w:rPr>
        <w:t>Tema 6.2.</w:t>
      </w:r>
      <w:r w:rsidR="00FA7B39" w:rsidRPr="004A39B6">
        <w:rPr>
          <w:rFonts w:ascii="Arial" w:hAnsi="Arial" w:cs="Arial"/>
          <w:sz w:val="28"/>
          <w:szCs w:val="28"/>
        </w:rPr>
        <w:t>, el</w:t>
      </w:r>
      <w:r w:rsidR="001A0731" w:rsidRPr="004A39B6">
        <w:rPr>
          <w:rFonts w:ascii="Arial" w:hAnsi="Arial" w:cs="Arial"/>
          <w:sz w:val="28"/>
          <w:szCs w:val="28"/>
        </w:rPr>
        <w:t xml:space="preserve"> </w:t>
      </w:r>
      <w:r w:rsidR="00A15AD9" w:rsidRPr="004A39B6">
        <w:rPr>
          <w:rFonts w:ascii="Arial" w:hAnsi="Arial" w:cs="Arial"/>
          <w:sz w:val="28"/>
          <w:szCs w:val="28"/>
        </w:rPr>
        <w:t>Pleno</w:t>
      </w:r>
      <w:r w:rsidR="001A0731" w:rsidRPr="004A39B6">
        <w:rPr>
          <w:rFonts w:ascii="Arial" w:hAnsi="Arial" w:cs="Arial"/>
          <w:sz w:val="28"/>
          <w:szCs w:val="28"/>
        </w:rPr>
        <w:t xml:space="preserve"> </w:t>
      </w:r>
      <w:r w:rsidR="00FA7B39" w:rsidRPr="004A39B6">
        <w:rPr>
          <w:rFonts w:ascii="Arial" w:hAnsi="Arial" w:cs="Arial"/>
          <w:sz w:val="28"/>
          <w:szCs w:val="28"/>
        </w:rPr>
        <w:t xml:space="preserve">de la Suprema Corte </w:t>
      </w:r>
      <w:r w:rsidR="004F3A89">
        <w:rPr>
          <w:rFonts w:ascii="Arial" w:hAnsi="Arial" w:cs="Arial"/>
          <w:sz w:val="28"/>
          <w:szCs w:val="28"/>
        </w:rPr>
        <w:t xml:space="preserve">de Justicia de la Nación </w:t>
      </w:r>
      <w:r w:rsidR="001A0731" w:rsidRPr="004A39B6">
        <w:rPr>
          <w:rFonts w:ascii="Arial" w:hAnsi="Arial" w:cs="Arial"/>
          <w:sz w:val="28"/>
          <w:szCs w:val="28"/>
        </w:rPr>
        <w:t xml:space="preserve">determinó, por mayoría de seis votos, reconocer la </w:t>
      </w:r>
      <w:r w:rsidR="001A0731" w:rsidRPr="004A39B6">
        <w:rPr>
          <w:rFonts w:ascii="Arial" w:hAnsi="Arial" w:cs="Arial"/>
          <w:b/>
          <w:bCs/>
          <w:sz w:val="28"/>
          <w:szCs w:val="28"/>
        </w:rPr>
        <w:t xml:space="preserve">validez </w:t>
      </w:r>
      <w:r w:rsidR="001A0731" w:rsidRPr="004A39B6">
        <w:rPr>
          <w:rFonts w:ascii="Arial" w:hAnsi="Arial" w:cs="Arial"/>
          <w:sz w:val="28"/>
          <w:szCs w:val="28"/>
        </w:rPr>
        <w:t>de los artículos 21 y 24, ambos en su fracción IV, en la porción normativa “</w:t>
      </w:r>
      <w:r w:rsidR="001A0731" w:rsidRPr="004A39B6">
        <w:rPr>
          <w:rFonts w:ascii="Arial" w:hAnsi="Arial" w:cs="Arial"/>
          <w:i/>
          <w:iCs/>
          <w:sz w:val="28"/>
          <w:szCs w:val="28"/>
        </w:rPr>
        <w:t>no haber sido condenado por la comisión de delito doloso mediante sentencia que haya causado ejecutoria</w:t>
      </w:r>
      <w:r w:rsidR="001A0731" w:rsidRPr="004A39B6">
        <w:rPr>
          <w:rFonts w:ascii="Arial" w:hAnsi="Arial" w:cs="Arial"/>
          <w:sz w:val="28"/>
          <w:szCs w:val="28"/>
        </w:rPr>
        <w:t>”</w:t>
      </w:r>
      <w:r w:rsidR="00223F3F">
        <w:rPr>
          <w:rFonts w:ascii="Arial" w:hAnsi="Arial" w:cs="Arial"/>
          <w:sz w:val="28"/>
          <w:szCs w:val="28"/>
        </w:rPr>
        <w:t>, como requisito para ocupar el cargo de Vicefiscal y Fiscal Especializado.</w:t>
      </w:r>
    </w:p>
    <w:p w14:paraId="1DE7B29F" w14:textId="77777777" w:rsidR="0089771D" w:rsidRPr="004A39B6" w:rsidRDefault="0089771D" w:rsidP="0089771D">
      <w:pPr>
        <w:spacing w:line="360" w:lineRule="auto"/>
        <w:jc w:val="both"/>
        <w:rPr>
          <w:rFonts w:ascii="Arial" w:hAnsi="Arial" w:cs="Arial"/>
          <w:sz w:val="28"/>
          <w:szCs w:val="28"/>
        </w:rPr>
      </w:pPr>
    </w:p>
    <w:p w14:paraId="06204EEB" w14:textId="05D948C8" w:rsidR="00A47B76" w:rsidRPr="004A39B6" w:rsidRDefault="00741886" w:rsidP="00AD429D">
      <w:pPr>
        <w:pStyle w:val="Prrafodelista"/>
        <w:numPr>
          <w:ilvl w:val="0"/>
          <w:numId w:val="15"/>
        </w:numPr>
        <w:spacing w:line="360" w:lineRule="auto"/>
        <w:ind w:left="0" w:hanging="567"/>
        <w:jc w:val="both"/>
        <w:rPr>
          <w:rFonts w:ascii="Arial" w:hAnsi="Arial" w:cs="Arial"/>
          <w:sz w:val="28"/>
          <w:szCs w:val="28"/>
        </w:rPr>
      </w:pPr>
      <w:r>
        <w:rPr>
          <w:rFonts w:ascii="Arial" w:hAnsi="Arial" w:cs="Arial"/>
          <w:sz w:val="28"/>
          <w:szCs w:val="28"/>
        </w:rPr>
        <w:t>A</w:t>
      </w:r>
      <w:r w:rsidR="00B0455F">
        <w:rPr>
          <w:rFonts w:ascii="Arial" w:hAnsi="Arial" w:cs="Arial"/>
          <w:sz w:val="28"/>
          <w:szCs w:val="28"/>
        </w:rPr>
        <w:t xml:space="preserve">ntes de exponer la razón central </w:t>
      </w:r>
      <w:r w:rsidR="0089771D" w:rsidRPr="004A39B6">
        <w:rPr>
          <w:rFonts w:ascii="Arial" w:hAnsi="Arial" w:cs="Arial"/>
          <w:sz w:val="28"/>
          <w:szCs w:val="28"/>
        </w:rPr>
        <w:t xml:space="preserve">por la que </w:t>
      </w:r>
      <w:r w:rsidR="00BD5530" w:rsidRPr="004A39B6">
        <w:rPr>
          <w:rFonts w:ascii="Arial" w:hAnsi="Arial" w:cs="Arial"/>
          <w:sz w:val="28"/>
          <w:szCs w:val="28"/>
        </w:rPr>
        <w:t xml:space="preserve">se </w:t>
      </w:r>
      <w:r w:rsidR="0089771D" w:rsidRPr="004A39B6">
        <w:rPr>
          <w:rFonts w:ascii="Arial" w:hAnsi="Arial" w:cs="Arial"/>
          <w:sz w:val="28"/>
          <w:szCs w:val="28"/>
        </w:rPr>
        <w:t>arribó a dicha conclusión</w:t>
      </w:r>
      <w:r w:rsidR="00B0455F">
        <w:rPr>
          <w:rFonts w:ascii="Arial" w:hAnsi="Arial" w:cs="Arial"/>
          <w:sz w:val="28"/>
          <w:szCs w:val="28"/>
        </w:rPr>
        <w:t>,</w:t>
      </w:r>
      <w:r w:rsidR="00C25F71">
        <w:rPr>
          <w:rFonts w:ascii="Arial" w:hAnsi="Arial" w:cs="Arial"/>
          <w:sz w:val="28"/>
          <w:szCs w:val="28"/>
        </w:rPr>
        <w:t xml:space="preserve"> se señaló que </w:t>
      </w:r>
      <w:r w:rsidR="00A47B76" w:rsidRPr="004A39B6">
        <w:rPr>
          <w:rFonts w:ascii="Arial" w:hAnsi="Arial" w:cs="Arial"/>
          <w:sz w:val="28"/>
          <w:szCs w:val="28"/>
        </w:rPr>
        <w:t>no era posible</w:t>
      </w:r>
      <w:r w:rsidR="00A47B76" w:rsidRPr="004A39B6">
        <w:rPr>
          <w:rFonts w:ascii="Arial" w:hAnsi="Arial" w:cs="Arial"/>
          <w:b/>
          <w:bCs/>
          <w:sz w:val="28"/>
          <w:szCs w:val="28"/>
          <w:lang w:val="es-ES"/>
        </w:rPr>
        <w:t xml:space="preserve"> analizar su validez a la luz del principio de reinserción social</w:t>
      </w:r>
      <w:r w:rsidR="00A47B76" w:rsidRPr="004A39B6">
        <w:rPr>
          <w:rFonts w:ascii="Arial" w:hAnsi="Arial" w:cs="Arial"/>
          <w:sz w:val="28"/>
          <w:szCs w:val="28"/>
          <w:lang w:val="es-ES"/>
        </w:rPr>
        <w:t xml:space="preserve">, porque se trata de postulados constitucionales que rigen el sistema penitenciario a nivel nacional, </w:t>
      </w:r>
      <w:r w:rsidR="00A47B76" w:rsidRPr="004A39B6">
        <w:rPr>
          <w:rFonts w:ascii="Arial" w:hAnsi="Arial" w:cs="Arial"/>
          <w:b/>
          <w:bCs/>
          <w:sz w:val="28"/>
          <w:szCs w:val="28"/>
          <w:lang w:val="es-ES"/>
        </w:rPr>
        <w:lastRenderedPageBreak/>
        <w:t>enfocado a las obligaciones del Estado mientras la persona se encuentre recluida y no después de haber purgado la pena respectiva</w:t>
      </w:r>
      <w:r w:rsidR="00A47B76" w:rsidRPr="004A39B6">
        <w:rPr>
          <w:rFonts w:ascii="Arial" w:hAnsi="Arial" w:cs="Arial"/>
          <w:sz w:val="28"/>
          <w:szCs w:val="28"/>
          <w:lang w:val="es-ES"/>
        </w:rPr>
        <w:t>.</w:t>
      </w:r>
    </w:p>
    <w:p w14:paraId="39A31947" w14:textId="77777777" w:rsidR="000A3C23" w:rsidRPr="004A39B6" w:rsidRDefault="000A3C23" w:rsidP="000A3C23">
      <w:pPr>
        <w:pStyle w:val="Prrafodelista"/>
        <w:rPr>
          <w:rFonts w:ascii="Arial" w:hAnsi="Arial" w:cs="Arial"/>
          <w:sz w:val="28"/>
          <w:szCs w:val="28"/>
        </w:rPr>
      </w:pPr>
    </w:p>
    <w:p w14:paraId="71C25FC5" w14:textId="169209B2" w:rsidR="00764966" w:rsidRPr="004A39B6" w:rsidRDefault="000A3C23" w:rsidP="000A3C23">
      <w:pPr>
        <w:pStyle w:val="Prrafodelista"/>
        <w:numPr>
          <w:ilvl w:val="0"/>
          <w:numId w:val="15"/>
        </w:numPr>
        <w:spacing w:line="360" w:lineRule="auto"/>
        <w:ind w:left="0" w:hanging="567"/>
        <w:jc w:val="both"/>
        <w:rPr>
          <w:rFonts w:ascii="Arial" w:hAnsi="Arial" w:cs="Arial"/>
          <w:sz w:val="28"/>
          <w:szCs w:val="28"/>
        </w:rPr>
      </w:pPr>
      <w:r w:rsidRPr="004A39B6">
        <w:rPr>
          <w:rFonts w:ascii="Arial" w:hAnsi="Arial" w:cs="Arial"/>
          <w:sz w:val="28"/>
          <w:szCs w:val="28"/>
        </w:rPr>
        <w:t xml:space="preserve">Por otro lado, </w:t>
      </w:r>
      <w:r w:rsidR="00C677F2" w:rsidRPr="004A39B6">
        <w:rPr>
          <w:rFonts w:ascii="Arial" w:hAnsi="Arial" w:cs="Arial"/>
          <w:sz w:val="28"/>
          <w:szCs w:val="28"/>
        </w:rPr>
        <w:t xml:space="preserve">se </w:t>
      </w:r>
      <w:r w:rsidRPr="004A39B6">
        <w:rPr>
          <w:rFonts w:ascii="Arial" w:hAnsi="Arial" w:cs="Arial"/>
          <w:sz w:val="28"/>
          <w:szCs w:val="28"/>
        </w:rPr>
        <w:t>señal</w:t>
      </w:r>
      <w:r w:rsidR="005B5102" w:rsidRPr="004A39B6">
        <w:rPr>
          <w:rFonts w:ascii="Arial" w:hAnsi="Arial" w:cs="Arial"/>
          <w:sz w:val="28"/>
          <w:szCs w:val="28"/>
        </w:rPr>
        <w:t>ó</w:t>
      </w:r>
      <w:r w:rsidRPr="004A39B6">
        <w:rPr>
          <w:rFonts w:ascii="Arial" w:hAnsi="Arial" w:cs="Arial"/>
          <w:sz w:val="28"/>
          <w:szCs w:val="28"/>
        </w:rPr>
        <w:t xml:space="preserve"> que</w:t>
      </w:r>
      <w:r w:rsidR="00764966" w:rsidRPr="004A39B6">
        <w:rPr>
          <w:rFonts w:ascii="Arial" w:hAnsi="Arial" w:cs="Arial"/>
          <w:sz w:val="28"/>
          <w:szCs w:val="28"/>
          <w:lang w:val="es-ES"/>
        </w:rPr>
        <w:t>,</w:t>
      </w:r>
      <w:r w:rsidR="00413D4A" w:rsidRPr="004A39B6">
        <w:rPr>
          <w:rFonts w:ascii="Arial" w:hAnsi="Arial" w:cs="Arial"/>
          <w:sz w:val="28"/>
          <w:szCs w:val="28"/>
          <w:lang w:val="es-ES"/>
        </w:rPr>
        <w:t xml:space="preserve"> </w:t>
      </w:r>
      <w:r w:rsidR="00413D4A" w:rsidRPr="004A39B6">
        <w:rPr>
          <w:rFonts w:ascii="Arial" w:hAnsi="Arial" w:cs="Arial"/>
          <w:b/>
          <w:bCs/>
          <w:sz w:val="28"/>
          <w:szCs w:val="28"/>
          <w:lang w:val="es-ES"/>
        </w:rPr>
        <w:t xml:space="preserve">tampoco </w:t>
      </w:r>
      <w:r w:rsidR="00F06D0A">
        <w:rPr>
          <w:rFonts w:ascii="Arial" w:hAnsi="Arial" w:cs="Arial"/>
          <w:b/>
          <w:bCs/>
          <w:sz w:val="28"/>
          <w:szCs w:val="28"/>
          <w:lang w:val="es-ES"/>
        </w:rPr>
        <w:t>se puede</w:t>
      </w:r>
      <w:r w:rsidR="00764966" w:rsidRPr="004A39B6">
        <w:rPr>
          <w:rFonts w:ascii="Arial" w:hAnsi="Arial" w:cs="Arial"/>
          <w:b/>
          <w:bCs/>
          <w:sz w:val="28"/>
          <w:szCs w:val="28"/>
          <w:lang w:val="es-ES"/>
        </w:rPr>
        <w:t xml:space="preserve"> analizar la disposición impugnada, con </w:t>
      </w:r>
      <w:r w:rsidR="00310B1E" w:rsidRPr="004A39B6">
        <w:rPr>
          <w:rFonts w:ascii="Arial" w:hAnsi="Arial" w:cs="Arial"/>
          <w:b/>
          <w:bCs/>
          <w:sz w:val="28"/>
          <w:szCs w:val="28"/>
          <w:lang w:val="es-ES"/>
        </w:rPr>
        <w:t xml:space="preserve">relación a los </w:t>
      </w:r>
      <w:r w:rsidR="00764966" w:rsidRPr="004A39B6">
        <w:rPr>
          <w:rFonts w:ascii="Arial" w:hAnsi="Arial" w:cs="Arial"/>
          <w:b/>
          <w:bCs/>
          <w:sz w:val="28"/>
          <w:szCs w:val="28"/>
          <w:lang w:val="es-ES"/>
        </w:rPr>
        <w:t>principios de igualdad y no discriminación</w:t>
      </w:r>
      <w:r w:rsidR="004C500D">
        <w:rPr>
          <w:rFonts w:ascii="Arial" w:hAnsi="Arial" w:cs="Arial"/>
          <w:sz w:val="28"/>
          <w:szCs w:val="28"/>
          <w:lang w:val="es-ES"/>
        </w:rPr>
        <w:t xml:space="preserve"> ya que se tratan</w:t>
      </w:r>
      <w:r w:rsidR="00310B1E" w:rsidRPr="004A39B6">
        <w:rPr>
          <w:rFonts w:ascii="Arial" w:hAnsi="Arial" w:cs="Arial"/>
          <w:sz w:val="28"/>
          <w:szCs w:val="28"/>
          <w:lang w:val="es-ES"/>
        </w:rPr>
        <w:t xml:space="preserve"> </w:t>
      </w:r>
      <w:r w:rsidR="00764966" w:rsidRPr="004A39B6">
        <w:rPr>
          <w:rFonts w:ascii="Arial" w:hAnsi="Arial" w:cs="Arial"/>
          <w:sz w:val="28"/>
          <w:szCs w:val="28"/>
          <w:lang w:val="es-ES"/>
        </w:rPr>
        <w:t xml:space="preserve">de </w:t>
      </w:r>
      <w:r w:rsidR="00764966" w:rsidRPr="004A39B6">
        <w:rPr>
          <w:rFonts w:ascii="Arial" w:hAnsi="Arial" w:cs="Arial"/>
          <w:b/>
          <w:bCs/>
          <w:sz w:val="28"/>
          <w:szCs w:val="28"/>
          <w:lang w:val="es-ES"/>
        </w:rPr>
        <w:t>exigencias mínimas que el Constituyente Permanente</w:t>
      </w:r>
      <w:r w:rsidR="00764966" w:rsidRPr="004A39B6">
        <w:rPr>
          <w:rFonts w:ascii="Arial" w:hAnsi="Arial" w:cs="Arial"/>
          <w:sz w:val="28"/>
          <w:szCs w:val="28"/>
          <w:lang w:val="es-ES"/>
        </w:rPr>
        <w:t xml:space="preserve"> ha previsto como </w:t>
      </w:r>
      <w:r w:rsidR="00764966" w:rsidRPr="004A39B6">
        <w:rPr>
          <w:rFonts w:ascii="Arial" w:hAnsi="Arial" w:cs="Arial"/>
          <w:b/>
          <w:bCs/>
          <w:sz w:val="28"/>
          <w:szCs w:val="28"/>
          <w:lang w:val="es-ES"/>
        </w:rPr>
        <w:t>requerimientos indispensables</w:t>
      </w:r>
      <w:r w:rsidR="00764966" w:rsidRPr="004A39B6">
        <w:rPr>
          <w:rFonts w:ascii="Arial" w:hAnsi="Arial" w:cs="Arial"/>
          <w:sz w:val="28"/>
          <w:szCs w:val="28"/>
          <w:lang w:val="es-ES"/>
        </w:rPr>
        <w:t xml:space="preserve"> para que una persona pueda ser designada como </w:t>
      </w:r>
      <w:r w:rsidR="00764966" w:rsidRPr="004A39B6">
        <w:rPr>
          <w:rFonts w:ascii="Arial" w:hAnsi="Arial" w:cs="Arial"/>
          <w:b/>
          <w:bCs/>
          <w:sz w:val="28"/>
          <w:szCs w:val="28"/>
          <w:lang w:val="es-ES"/>
        </w:rPr>
        <w:t>Fiscal General de la República</w:t>
      </w:r>
      <w:r w:rsidR="00764966" w:rsidRPr="004A39B6">
        <w:rPr>
          <w:rFonts w:ascii="Arial" w:hAnsi="Arial" w:cs="Arial"/>
          <w:sz w:val="28"/>
          <w:szCs w:val="28"/>
          <w:lang w:val="es-ES"/>
        </w:rPr>
        <w:t>.</w:t>
      </w:r>
      <w:r w:rsidR="00A801D9" w:rsidRPr="004A39B6">
        <w:rPr>
          <w:rFonts w:ascii="Arial" w:hAnsi="Arial" w:cs="Arial"/>
          <w:sz w:val="28"/>
          <w:szCs w:val="28"/>
          <w:lang w:val="es-ES"/>
        </w:rPr>
        <w:t xml:space="preserve"> </w:t>
      </w:r>
    </w:p>
    <w:p w14:paraId="61C8DC90" w14:textId="77777777" w:rsidR="00764966" w:rsidRPr="004A39B6" w:rsidRDefault="00764966" w:rsidP="003E44F9">
      <w:pPr>
        <w:pStyle w:val="Prrafodelista"/>
        <w:spacing w:line="360" w:lineRule="auto"/>
        <w:ind w:left="0"/>
        <w:jc w:val="both"/>
        <w:rPr>
          <w:rFonts w:ascii="Arial" w:hAnsi="Arial" w:cs="Arial"/>
          <w:sz w:val="28"/>
          <w:szCs w:val="28"/>
        </w:rPr>
      </w:pPr>
    </w:p>
    <w:p w14:paraId="3D8BE0A0" w14:textId="71818267" w:rsidR="005B5102" w:rsidRPr="005868EF" w:rsidRDefault="000E6F58" w:rsidP="00151520">
      <w:pPr>
        <w:pStyle w:val="Prrafodelista"/>
        <w:numPr>
          <w:ilvl w:val="0"/>
          <w:numId w:val="15"/>
        </w:numPr>
        <w:spacing w:line="360" w:lineRule="auto"/>
        <w:ind w:left="0" w:hanging="567"/>
        <w:jc w:val="both"/>
        <w:rPr>
          <w:rFonts w:ascii="Arial" w:hAnsi="Arial" w:cs="Arial"/>
          <w:sz w:val="28"/>
          <w:szCs w:val="28"/>
        </w:rPr>
      </w:pPr>
      <w:r w:rsidRPr="004A39B6">
        <w:rPr>
          <w:rFonts w:ascii="Arial" w:hAnsi="Arial" w:cs="Arial"/>
          <w:sz w:val="28"/>
          <w:szCs w:val="28"/>
        </w:rPr>
        <w:t xml:space="preserve">En esa línea, </w:t>
      </w:r>
      <w:r w:rsidR="005B5102" w:rsidRPr="004A39B6">
        <w:rPr>
          <w:rFonts w:ascii="Arial" w:hAnsi="Arial" w:cs="Arial"/>
          <w:sz w:val="28"/>
          <w:szCs w:val="28"/>
        </w:rPr>
        <w:t xml:space="preserve">se </w:t>
      </w:r>
      <w:r w:rsidR="007A6253">
        <w:rPr>
          <w:rFonts w:ascii="Arial" w:hAnsi="Arial" w:cs="Arial"/>
          <w:sz w:val="28"/>
          <w:szCs w:val="28"/>
        </w:rPr>
        <w:t>concluy</w:t>
      </w:r>
      <w:r w:rsidR="00A61CBE">
        <w:rPr>
          <w:rFonts w:ascii="Arial" w:hAnsi="Arial" w:cs="Arial"/>
          <w:sz w:val="28"/>
          <w:szCs w:val="28"/>
        </w:rPr>
        <w:t>ó</w:t>
      </w:r>
      <w:r w:rsidR="00651A58" w:rsidRPr="004A39B6">
        <w:rPr>
          <w:rFonts w:ascii="Arial" w:hAnsi="Arial" w:cs="Arial"/>
          <w:sz w:val="28"/>
          <w:szCs w:val="28"/>
        </w:rPr>
        <w:t xml:space="preserve"> que </w:t>
      </w:r>
      <w:r w:rsidR="0089771D" w:rsidRPr="004A39B6">
        <w:rPr>
          <w:rFonts w:ascii="Arial" w:hAnsi="Arial" w:cs="Arial"/>
          <w:sz w:val="28"/>
          <w:szCs w:val="28"/>
        </w:rPr>
        <w:t xml:space="preserve">las legislaturas </w:t>
      </w:r>
      <w:r w:rsidR="0089771D" w:rsidRPr="004A39B6">
        <w:rPr>
          <w:rFonts w:ascii="Arial" w:hAnsi="Arial" w:cs="Arial"/>
          <w:b/>
          <w:bCs/>
          <w:sz w:val="28"/>
          <w:szCs w:val="28"/>
        </w:rPr>
        <w:t xml:space="preserve">tienen amplia libertad configurativa </w:t>
      </w:r>
      <w:r w:rsidR="0089771D" w:rsidRPr="004A39B6">
        <w:rPr>
          <w:rFonts w:ascii="Arial" w:hAnsi="Arial" w:cs="Arial"/>
          <w:sz w:val="28"/>
          <w:szCs w:val="28"/>
        </w:rPr>
        <w:t xml:space="preserve">para establecer los requisitos que estimen necesarios para el acceso a la función pública, </w:t>
      </w:r>
      <w:r w:rsidR="0089771D" w:rsidRPr="004A39B6">
        <w:rPr>
          <w:rFonts w:ascii="Arial" w:hAnsi="Arial" w:cs="Arial"/>
          <w:b/>
          <w:bCs/>
          <w:sz w:val="28"/>
          <w:szCs w:val="28"/>
        </w:rPr>
        <w:t xml:space="preserve">sin que ello signifique que no sea válido que puedan replicar lo establecido en la Constitución </w:t>
      </w:r>
      <w:r w:rsidR="00C95EF8" w:rsidRPr="004A39B6">
        <w:rPr>
          <w:rFonts w:ascii="Arial" w:hAnsi="Arial" w:cs="Arial"/>
          <w:b/>
          <w:bCs/>
          <w:sz w:val="28"/>
          <w:szCs w:val="28"/>
        </w:rPr>
        <w:t>Federal</w:t>
      </w:r>
      <w:r w:rsidR="0089771D" w:rsidRPr="004A39B6">
        <w:rPr>
          <w:rFonts w:ascii="Arial" w:hAnsi="Arial" w:cs="Arial"/>
          <w:sz w:val="28"/>
          <w:szCs w:val="28"/>
        </w:rPr>
        <w:t>, la cual establece en su artículo 102 como requisito fundamental para toda aquella persona que aspire al cargo de titular de la Fiscalía General de la República, “</w:t>
      </w:r>
      <w:r w:rsidR="0089771D" w:rsidRPr="004A39B6">
        <w:rPr>
          <w:rFonts w:ascii="Arial" w:hAnsi="Arial" w:cs="Arial"/>
          <w:i/>
          <w:iCs/>
          <w:sz w:val="28"/>
          <w:szCs w:val="28"/>
        </w:rPr>
        <w:t>no haber sido condenado por delito doloso</w:t>
      </w:r>
      <w:r w:rsidR="0089771D" w:rsidRPr="004A39B6">
        <w:rPr>
          <w:rFonts w:ascii="Arial" w:hAnsi="Arial" w:cs="Arial"/>
          <w:sz w:val="28"/>
          <w:szCs w:val="28"/>
        </w:rPr>
        <w:t xml:space="preserve">”; </w:t>
      </w:r>
      <w:r w:rsidR="0089771D" w:rsidRPr="005868EF">
        <w:rPr>
          <w:rFonts w:ascii="Arial" w:hAnsi="Arial" w:cs="Arial"/>
          <w:sz w:val="28"/>
          <w:szCs w:val="28"/>
        </w:rPr>
        <w:t xml:space="preserve">de ahí que en ejercicio de ese ámbito de configuración legislativa, el legislador local del Estado de Tamaulipas </w:t>
      </w:r>
      <w:r w:rsidR="006E61B6" w:rsidRPr="005868EF">
        <w:rPr>
          <w:rFonts w:ascii="Arial" w:hAnsi="Arial" w:cs="Arial"/>
          <w:sz w:val="28"/>
          <w:szCs w:val="28"/>
        </w:rPr>
        <w:t>estableció</w:t>
      </w:r>
      <w:r w:rsidR="0089771D" w:rsidRPr="005868EF">
        <w:rPr>
          <w:rFonts w:ascii="Arial" w:hAnsi="Arial" w:cs="Arial"/>
          <w:sz w:val="28"/>
          <w:szCs w:val="28"/>
        </w:rPr>
        <w:t xml:space="preserve"> el requisito aludido para ocupar los cargos de Vicefiscal y Fiscal Especializado </w:t>
      </w:r>
      <w:r w:rsidR="00D4520B" w:rsidRPr="005868EF">
        <w:rPr>
          <w:rFonts w:ascii="Arial" w:hAnsi="Arial" w:cs="Arial"/>
          <w:sz w:val="28"/>
          <w:szCs w:val="28"/>
        </w:rPr>
        <w:t>del Estado Tamaulipas</w:t>
      </w:r>
      <w:r w:rsidR="0089771D" w:rsidRPr="005868EF">
        <w:rPr>
          <w:rFonts w:ascii="Arial" w:hAnsi="Arial" w:cs="Arial"/>
          <w:sz w:val="28"/>
          <w:szCs w:val="28"/>
        </w:rPr>
        <w:t xml:space="preserve">. </w:t>
      </w:r>
    </w:p>
    <w:p w14:paraId="3A353F6E" w14:textId="77777777" w:rsidR="005B5102" w:rsidRPr="004A39B6" w:rsidRDefault="005B5102" w:rsidP="005B5102">
      <w:pPr>
        <w:pStyle w:val="Prrafodelista"/>
        <w:rPr>
          <w:rFonts w:ascii="Arial" w:hAnsi="Arial" w:cs="Arial"/>
          <w:sz w:val="28"/>
          <w:szCs w:val="28"/>
        </w:rPr>
      </w:pPr>
    </w:p>
    <w:p w14:paraId="646349CC" w14:textId="4B0297F1" w:rsidR="003F4B21" w:rsidRDefault="0089771D" w:rsidP="00151520">
      <w:pPr>
        <w:pStyle w:val="Prrafodelista"/>
        <w:numPr>
          <w:ilvl w:val="0"/>
          <w:numId w:val="15"/>
        </w:numPr>
        <w:spacing w:line="360" w:lineRule="auto"/>
        <w:ind w:left="0" w:hanging="567"/>
        <w:jc w:val="both"/>
        <w:rPr>
          <w:rFonts w:ascii="Arial" w:hAnsi="Arial" w:cs="Arial"/>
          <w:sz w:val="28"/>
          <w:szCs w:val="28"/>
        </w:rPr>
      </w:pPr>
      <w:r w:rsidRPr="004A39B6">
        <w:rPr>
          <w:rFonts w:ascii="Arial" w:hAnsi="Arial" w:cs="Arial"/>
          <w:sz w:val="28"/>
          <w:szCs w:val="28"/>
        </w:rPr>
        <w:t>Aunado a que el mismo atiende a una finalidad constitucionalmente legítima, ya que existe un interés social relevante, en la medida en que se trata de personas que serán los titulares de la “institución” que justamente tiene como función preponderante la persecución de conductas delictivas; de modo que resulta una medida legislativa de carácter razonable.</w:t>
      </w:r>
    </w:p>
    <w:p w14:paraId="3D989823" w14:textId="77777777" w:rsidR="002C716B" w:rsidRDefault="002C716B" w:rsidP="002C716B">
      <w:pPr>
        <w:pStyle w:val="Prrafodelista"/>
        <w:spacing w:line="360" w:lineRule="auto"/>
        <w:ind w:left="0"/>
        <w:jc w:val="both"/>
        <w:rPr>
          <w:rFonts w:ascii="Arial" w:hAnsi="Arial" w:cs="Arial"/>
          <w:sz w:val="28"/>
          <w:szCs w:val="28"/>
        </w:rPr>
      </w:pPr>
    </w:p>
    <w:p w14:paraId="2699852D" w14:textId="63978CAC" w:rsidR="00AC33CB" w:rsidRPr="002D3417" w:rsidRDefault="00AC33CB" w:rsidP="00223F3F">
      <w:pPr>
        <w:pStyle w:val="Prrafodelista"/>
        <w:numPr>
          <w:ilvl w:val="0"/>
          <w:numId w:val="28"/>
        </w:numPr>
        <w:spacing w:line="276" w:lineRule="auto"/>
        <w:jc w:val="both"/>
        <w:rPr>
          <w:rFonts w:ascii="Arial" w:hAnsi="Arial" w:cs="Arial"/>
          <w:b/>
          <w:sz w:val="28"/>
          <w:szCs w:val="28"/>
        </w:rPr>
      </w:pPr>
      <w:r w:rsidRPr="002D3417">
        <w:rPr>
          <w:rFonts w:ascii="Arial" w:hAnsi="Arial" w:cs="Arial"/>
          <w:b/>
          <w:sz w:val="28"/>
          <w:szCs w:val="28"/>
        </w:rPr>
        <w:lastRenderedPageBreak/>
        <w:t xml:space="preserve">Razones de la </w:t>
      </w:r>
      <w:r w:rsidR="00661600" w:rsidRPr="002D3417">
        <w:rPr>
          <w:rFonts w:ascii="Arial" w:hAnsi="Arial" w:cs="Arial"/>
          <w:b/>
          <w:sz w:val="28"/>
          <w:szCs w:val="28"/>
        </w:rPr>
        <w:t>disidencia</w:t>
      </w:r>
      <w:r w:rsidR="00F72A1B">
        <w:rPr>
          <w:rFonts w:ascii="Arial" w:hAnsi="Arial" w:cs="Arial"/>
          <w:b/>
          <w:sz w:val="28"/>
          <w:szCs w:val="28"/>
        </w:rPr>
        <w:t xml:space="preserve"> </w:t>
      </w:r>
      <w:r w:rsidR="00F72A1B">
        <w:rPr>
          <w:rFonts w:ascii="Arial" w:hAnsi="Arial" w:cs="Arial"/>
          <w:b/>
          <w:sz w:val="28"/>
          <w:szCs w:val="28"/>
        </w:rPr>
        <w:t>del voto particular</w:t>
      </w:r>
      <w:r w:rsidR="00F72A1B">
        <w:rPr>
          <w:rFonts w:ascii="Arial" w:hAnsi="Arial" w:cs="Arial"/>
          <w:b/>
          <w:sz w:val="28"/>
          <w:szCs w:val="28"/>
        </w:rPr>
        <w:t>.</w:t>
      </w:r>
    </w:p>
    <w:p w14:paraId="65EF73CC" w14:textId="377585FF" w:rsidR="00EB185B" w:rsidRPr="00EB185B" w:rsidRDefault="00EB185B" w:rsidP="00AC33CB">
      <w:pPr>
        <w:pStyle w:val="Prrafodelista"/>
        <w:ind w:left="1080"/>
        <w:rPr>
          <w:rFonts w:ascii="Arial" w:hAnsi="Arial" w:cs="Arial"/>
          <w:sz w:val="28"/>
          <w:szCs w:val="28"/>
        </w:rPr>
      </w:pPr>
    </w:p>
    <w:p w14:paraId="0A736AF1" w14:textId="580DC640" w:rsidR="00495733" w:rsidRDefault="00687DFF" w:rsidP="00C222E7">
      <w:pPr>
        <w:pStyle w:val="Prrafodelista"/>
        <w:numPr>
          <w:ilvl w:val="0"/>
          <w:numId w:val="15"/>
        </w:numPr>
        <w:spacing w:line="360" w:lineRule="auto"/>
        <w:ind w:left="0" w:hanging="567"/>
        <w:jc w:val="both"/>
        <w:rPr>
          <w:rFonts w:ascii="Arial" w:hAnsi="Arial" w:cs="Arial"/>
          <w:sz w:val="28"/>
          <w:szCs w:val="28"/>
        </w:rPr>
      </w:pPr>
      <w:r w:rsidRPr="002E136E">
        <w:rPr>
          <w:rFonts w:ascii="Arial" w:hAnsi="Arial" w:cs="Arial"/>
          <w:color w:val="000000" w:themeColor="text1"/>
          <w:sz w:val="28"/>
          <w:szCs w:val="28"/>
        </w:rPr>
        <w:t xml:space="preserve">Respetuosamente, </w:t>
      </w:r>
      <w:r w:rsidRPr="002E136E">
        <w:rPr>
          <w:rFonts w:ascii="Arial" w:hAnsi="Arial" w:cs="Arial"/>
          <w:b/>
          <w:bCs/>
          <w:color w:val="000000" w:themeColor="text1"/>
          <w:sz w:val="28"/>
          <w:szCs w:val="28"/>
        </w:rPr>
        <w:t>difiero de la posición mayoritaria</w:t>
      </w:r>
      <w:r w:rsidRPr="002E136E">
        <w:rPr>
          <w:rFonts w:ascii="Arial" w:hAnsi="Arial" w:cs="Arial"/>
          <w:color w:val="000000" w:themeColor="text1"/>
          <w:sz w:val="28"/>
          <w:szCs w:val="28"/>
        </w:rPr>
        <w:t xml:space="preserve"> de </w:t>
      </w:r>
      <w:r w:rsidR="00223F3F">
        <w:rPr>
          <w:rFonts w:ascii="Arial" w:hAnsi="Arial" w:cs="Arial"/>
          <w:color w:val="000000" w:themeColor="text1"/>
          <w:sz w:val="28"/>
          <w:szCs w:val="28"/>
        </w:rPr>
        <w:t>la resolución</w:t>
      </w:r>
      <w:r w:rsidRPr="002E136E">
        <w:rPr>
          <w:rFonts w:ascii="Arial" w:hAnsi="Arial" w:cs="Arial"/>
          <w:color w:val="000000" w:themeColor="text1"/>
          <w:sz w:val="28"/>
          <w:szCs w:val="28"/>
        </w:rPr>
        <w:t xml:space="preserve">, </w:t>
      </w:r>
      <w:r w:rsidRPr="002E136E">
        <w:rPr>
          <w:rFonts w:ascii="Arial" w:hAnsi="Arial" w:cs="Arial"/>
          <w:sz w:val="28"/>
          <w:szCs w:val="28"/>
        </w:rPr>
        <w:t xml:space="preserve">pues a mi juicio, tal requisito </w:t>
      </w:r>
      <w:r w:rsidR="00C86D29" w:rsidRPr="00C86D29">
        <w:rPr>
          <w:rFonts w:ascii="Arial" w:hAnsi="Arial" w:cs="Arial"/>
          <w:b/>
          <w:bCs/>
          <w:sz w:val="28"/>
          <w:szCs w:val="28"/>
          <w:lang w:val="es-MX"/>
        </w:rPr>
        <w:t xml:space="preserve">es ampliamente </w:t>
      </w:r>
      <w:proofErr w:type="spellStart"/>
      <w:r w:rsidR="00C86D29" w:rsidRPr="00C86D29">
        <w:rPr>
          <w:rFonts w:ascii="Arial" w:hAnsi="Arial" w:cs="Arial"/>
          <w:b/>
          <w:bCs/>
          <w:sz w:val="28"/>
          <w:szCs w:val="28"/>
          <w:lang w:val="es-MX"/>
        </w:rPr>
        <w:t>sobre</w:t>
      </w:r>
      <w:r w:rsidR="00F72A1B">
        <w:rPr>
          <w:rFonts w:ascii="Arial" w:hAnsi="Arial" w:cs="Arial"/>
          <w:b/>
          <w:bCs/>
          <w:sz w:val="28"/>
          <w:szCs w:val="28"/>
          <w:lang w:val="es-MX"/>
        </w:rPr>
        <w:t>-</w:t>
      </w:r>
      <w:r w:rsidR="00C86D29" w:rsidRPr="00C86D29">
        <w:rPr>
          <w:rFonts w:ascii="Arial" w:hAnsi="Arial" w:cs="Arial"/>
          <w:b/>
          <w:bCs/>
          <w:sz w:val="28"/>
          <w:szCs w:val="28"/>
          <w:lang w:val="es-MX"/>
        </w:rPr>
        <w:t>inclusivo</w:t>
      </w:r>
      <w:proofErr w:type="spellEnd"/>
      <w:r w:rsidR="00C86D29" w:rsidRPr="00C86D29">
        <w:rPr>
          <w:rFonts w:ascii="Arial" w:hAnsi="Arial" w:cs="Arial"/>
          <w:b/>
          <w:bCs/>
          <w:sz w:val="28"/>
          <w:szCs w:val="28"/>
          <w:lang w:val="es-MX"/>
        </w:rPr>
        <w:t xml:space="preserve"> y general</w:t>
      </w:r>
      <w:r w:rsidR="005D6135">
        <w:rPr>
          <w:rFonts w:ascii="Arial" w:hAnsi="Arial" w:cs="Arial"/>
          <w:sz w:val="28"/>
          <w:szCs w:val="28"/>
        </w:rPr>
        <w:t xml:space="preserve">, </w:t>
      </w:r>
      <w:r w:rsidR="00102431">
        <w:rPr>
          <w:rFonts w:ascii="Arial" w:hAnsi="Arial" w:cs="Arial"/>
          <w:sz w:val="28"/>
          <w:szCs w:val="28"/>
        </w:rPr>
        <w:t xml:space="preserve">ya que </w:t>
      </w:r>
      <w:r w:rsidR="005F420E">
        <w:rPr>
          <w:rFonts w:ascii="Arial" w:hAnsi="Arial" w:cs="Arial"/>
          <w:sz w:val="28"/>
          <w:szCs w:val="28"/>
        </w:rPr>
        <w:t>c</w:t>
      </w:r>
      <w:r w:rsidR="00535683" w:rsidRPr="00535683">
        <w:rPr>
          <w:rFonts w:ascii="Arial" w:hAnsi="Arial" w:cs="Arial"/>
          <w:sz w:val="28"/>
          <w:szCs w:val="28"/>
        </w:rPr>
        <w:t>omprende a toda persona condenada por cualquier delito doloso</w:t>
      </w:r>
      <w:r w:rsidR="00040BE2">
        <w:rPr>
          <w:rFonts w:ascii="Arial" w:hAnsi="Arial" w:cs="Arial"/>
          <w:sz w:val="28"/>
          <w:szCs w:val="28"/>
        </w:rPr>
        <w:t xml:space="preserve"> sin precisar</w:t>
      </w:r>
      <w:r w:rsidR="00535683" w:rsidRPr="00535683">
        <w:rPr>
          <w:rFonts w:ascii="Arial" w:hAnsi="Arial" w:cs="Arial"/>
          <w:sz w:val="28"/>
          <w:szCs w:val="28"/>
        </w:rPr>
        <w:t xml:space="preserve"> la pena impuesta, el grado de culpabilidad y la relación que tiene el delito con la función a desempeñar.</w:t>
      </w:r>
      <w:r w:rsidR="00790B97">
        <w:rPr>
          <w:rFonts w:ascii="Arial" w:hAnsi="Arial" w:cs="Arial"/>
          <w:sz w:val="28"/>
          <w:szCs w:val="28"/>
        </w:rPr>
        <w:t xml:space="preserve"> </w:t>
      </w:r>
      <w:r w:rsidR="00C222E7">
        <w:rPr>
          <w:rFonts w:ascii="Arial" w:hAnsi="Arial" w:cs="Arial"/>
          <w:sz w:val="28"/>
          <w:szCs w:val="28"/>
        </w:rPr>
        <w:t>Es</w:t>
      </w:r>
      <w:r w:rsidR="0067545D">
        <w:rPr>
          <w:rFonts w:ascii="Arial" w:hAnsi="Arial" w:cs="Arial"/>
          <w:sz w:val="28"/>
          <w:szCs w:val="28"/>
        </w:rPr>
        <w:t>to es</w:t>
      </w:r>
      <w:r w:rsidR="00495733" w:rsidRPr="00C222E7">
        <w:rPr>
          <w:rFonts w:ascii="Arial" w:hAnsi="Arial" w:cs="Arial"/>
          <w:sz w:val="28"/>
          <w:szCs w:val="28"/>
        </w:rPr>
        <w:t xml:space="preserve">, </w:t>
      </w:r>
      <w:r w:rsidR="00495733" w:rsidRPr="00C222E7">
        <w:rPr>
          <w:rFonts w:ascii="Arial" w:hAnsi="Arial" w:cs="Arial"/>
          <w:sz w:val="28"/>
          <w:szCs w:val="28"/>
          <w:u w:val="single"/>
        </w:rPr>
        <w:t>con independencia de que se trate de cargos públicos asociados a la función ministerial</w:t>
      </w:r>
      <w:r w:rsidR="00495733" w:rsidRPr="00C222E7">
        <w:rPr>
          <w:rFonts w:ascii="Arial" w:hAnsi="Arial" w:cs="Arial"/>
          <w:sz w:val="28"/>
          <w:szCs w:val="28"/>
        </w:rPr>
        <w:t xml:space="preserve">, al no acotarse a alguna conducta específica o a delitos concretos, ello impide incluso valorar si tal aspecto tiene, realmente, una relación directa con las capacidades necesarias para desempeñar tales puestos, por lo que, esa restricción hace patente una condición de desigualdad no justificada frente a otros candidatos a esos </w:t>
      </w:r>
      <w:r w:rsidR="00223F3F">
        <w:rPr>
          <w:rFonts w:ascii="Arial" w:hAnsi="Arial" w:cs="Arial"/>
          <w:sz w:val="28"/>
          <w:szCs w:val="28"/>
        </w:rPr>
        <w:t>cargos</w:t>
      </w:r>
      <w:r w:rsidR="00495733" w:rsidRPr="00C222E7">
        <w:rPr>
          <w:rFonts w:ascii="Arial" w:hAnsi="Arial" w:cs="Arial"/>
          <w:sz w:val="28"/>
          <w:szCs w:val="28"/>
        </w:rPr>
        <w:t>, lo que ocasiona</w:t>
      </w:r>
      <w:r w:rsidR="001E374B">
        <w:rPr>
          <w:rFonts w:ascii="Arial" w:hAnsi="Arial" w:cs="Arial"/>
          <w:sz w:val="28"/>
          <w:szCs w:val="28"/>
        </w:rPr>
        <w:t xml:space="preserve"> a todas luces</w:t>
      </w:r>
      <w:r w:rsidR="00495733" w:rsidRPr="00C222E7">
        <w:rPr>
          <w:rFonts w:ascii="Arial" w:hAnsi="Arial" w:cs="Arial"/>
          <w:sz w:val="28"/>
          <w:szCs w:val="28"/>
        </w:rPr>
        <w:t xml:space="preserve"> su inconstitucionalidad. </w:t>
      </w:r>
      <w:r w:rsidR="00663198">
        <w:rPr>
          <w:rFonts w:ascii="Arial" w:hAnsi="Arial" w:cs="Arial"/>
          <w:sz w:val="28"/>
          <w:szCs w:val="28"/>
        </w:rPr>
        <w:t>Por razones similares</w:t>
      </w:r>
      <w:r w:rsidR="003924AE">
        <w:rPr>
          <w:rFonts w:ascii="Arial" w:hAnsi="Arial" w:cs="Arial"/>
          <w:sz w:val="28"/>
          <w:szCs w:val="28"/>
        </w:rPr>
        <w:t xml:space="preserve"> así lo ha expresado </w:t>
      </w:r>
      <w:r w:rsidR="00016415">
        <w:rPr>
          <w:rFonts w:ascii="Arial" w:hAnsi="Arial" w:cs="Arial"/>
          <w:sz w:val="28"/>
          <w:szCs w:val="28"/>
        </w:rPr>
        <w:t>est</w:t>
      </w:r>
      <w:r w:rsidR="00EA0617">
        <w:rPr>
          <w:rFonts w:ascii="Arial" w:hAnsi="Arial" w:cs="Arial"/>
          <w:sz w:val="28"/>
          <w:szCs w:val="28"/>
        </w:rPr>
        <w:t>a</w:t>
      </w:r>
      <w:r w:rsidR="00016415">
        <w:rPr>
          <w:rFonts w:ascii="Arial" w:hAnsi="Arial" w:cs="Arial"/>
          <w:sz w:val="28"/>
          <w:szCs w:val="28"/>
        </w:rPr>
        <w:t xml:space="preserve"> Suprema Corte</w:t>
      </w:r>
      <w:r w:rsidR="00F72A1B">
        <w:rPr>
          <w:rFonts w:ascii="Arial" w:hAnsi="Arial" w:cs="Arial"/>
          <w:sz w:val="28"/>
          <w:szCs w:val="28"/>
        </w:rPr>
        <w:t xml:space="preserve"> de Justicia de la Nación </w:t>
      </w:r>
      <w:r w:rsidR="00016415">
        <w:rPr>
          <w:rFonts w:ascii="Arial" w:hAnsi="Arial" w:cs="Arial"/>
          <w:sz w:val="28"/>
          <w:szCs w:val="28"/>
        </w:rPr>
        <w:t>al resolver</w:t>
      </w:r>
      <w:r w:rsidR="00223F3F">
        <w:rPr>
          <w:rFonts w:ascii="Arial" w:hAnsi="Arial" w:cs="Arial"/>
          <w:sz w:val="28"/>
          <w:szCs w:val="28"/>
        </w:rPr>
        <w:t xml:space="preserve">, entre otras, </w:t>
      </w:r>
      <w:r w:rsidR="00016415">
        <w:rPr>
          <w:rFonts w:ascii="Arial" w:hAnsi="Arial" w:cs="Arial"/>
          <w:sz w:val="28"/>
          <w:szCs w:val="28"/>
        </w:rPr>
        <w:t>la</w:t>
      </w:r>
      <w:r w:rsidR="00EB6193">
        <w:rPr>
          <w:rFonts w:ascii="Arial" w:hAnsi="Arial" w:cs="Arial"/>
          <w:sz w:val="28"/>
          <w:szCs w:val="28"/>
        </w:rPr>
        <w:t>s</w:t>
      </w:r>
      <w:r w:rsidR="00016415">
        <w:rPr>
          <w:rFonts w:ascii="Arial" w:hAnsi="Arial" w:cs="Arial"/>
          <w:sz w:val="28"/>
          <w:szCs w:val="28"/>
        </w:rPr>
        <w:t xml:space="preserve"> </w:t>
      </w:r>
      <w:r w:rsidR="00EB6193">
        <w:rPr>
          <w:rFonts w:ascii="Arial" w:hAnsi="Arial" w:cs="Arial"/>
          <w:sz w:val="28"/>
          <w:szCs w:val="28"/>
        </w:rPr>
        <w:t>acciones</w:t>
      </w:r>
      <w:r w:rsidR="00016415">
        <w:rPr>
          <w:rFonts w:ascii="Arial" w:hAnsi="Arial" w:cs="Arial"/>
          <w:sz w:val="28"/>
          <w:szCs w:val="28"/>
        </w:rPr>
        <w:t xml:space="preserve"> de inconstitucionalidad </w:t>
      </w:r>
      <w:r w:rsidR="007B15F1">
        <w:rPr>
          <w:rFonts w:ascii="Arial" w:hAnsi="Arial" w:cs="Arial"/>
          <w:sz w:val="28"/>
          <w:szCs w:val="28"/>
        </w:rPr>
        <w:t>111/2019</w:t>
      </w:r>
      <w:r w:rsidR="00765B9A" w:rsidRPr="00E9476E">
        <w:rPr>
          <w:rStyle w:val="Refdenotaalpie"/>
          <w:rFonts w:cs="Arial"/>
          <w:sz w:val="28"/>
          <w:szCs w:val="28"/>
        </w:rPr>
        <w:footnoteReference w:id="1"/>
      </w:r>
      <w:r w:rsidR="00EB6193">
        <w:rPr>
          <w:rFonts w:ascii="Arial" w:hAnsi="Arial" w:cs="Arial"/>
          <w:sz w:val="28"/>
          <w:szCs w:val="28"/>
        </w:rPr>
        <w:t xml:space="preserve"> y 83/2019</w:t>
      </w:r>
      <w:r w:rsidR="000C0F43" w:rsidRPr="00E9476E">
        <w:rPr>
          <w:rStyle w:val="Refdenotaalpie"/>
          <w:rFonts w:cs="Arial"/>
          <w:sz w:val="28"/>
          <w:szCs w:val="28"/>
        </w:rPr>
        <w:footnoteReference w:id="2"/>
      </w:r>
      <w:r w:rsidR="00EA0617">
        <w:rPr>
          <w:rFonts w:ascii="Arial" w:hAnsi="Arial" w:cs="Arial"/>
          <w:sz w:val="28"/>
          <w:szCs w:val="28"/>
        </w:rPr>
        <w:t>.</w:t>
      </w:r>
    </w:p>
    <w:p w14:paraId="2BA18B5B" w14:textId="77777777" w:rsidR="00F5503C" w:rsidRDefault="00F5503C" w:rsidP="00BF4A53">
      <w:pPr>
        <w:pStyle w:val="Prrafodelista"/>
        <w:spacing w:line="360" w:lineRule="auto"/>
        <w:ind w:left="0"/>
        <w:jc w:val="both"/>
        <w:rPr>
          <w:rFonts w:ascii="Arial" w:hAnsi="Arial" w:cs="Arial"/>
          <w:sz w:val="28"/>
          <w:szCs w:val="28"/>
        </w:rPr>
      </w:pPr>
    </w:p>
    <w:p w14:paraId="08DA48FD" w14:textId="08A4E290" w:rsidR="00495733" w:rsidRDefault="00F81BB9" w:rsidP="008B658F">
      <w:pPr>
        <w:pStyle w:val="Prrafodelista"/>
        <w:numPr>
          <w:ilvl w:val="0"/>
          <w:numId w:val="15"/>
        </w:numPr>
        <w:spacing w:line="360" w:lineRule="auto"/>
        <w:ind w:left="0" w:hanging="567"/>
        <w:jc w:val="both"/>
        <w:rPr>
          <w:rFonts w:ascii="Arial" w:hAnsi="Arial" w:cs="Arial"/>
          <w:b/>
          <w:bCs/>
          <w:sz w:val="28"/>
          <w:szCs w:val="28"/>
        </w:rPr>
      </w:pPr>
      <w:r>
        <w:rPr>
          <w:rFonts w:ascii="Arial" w:hAnsi="Arial" w:cs="Arial"/>
          <w:sz w:val="28"/>
          <w:szCs w:val="28"/>
        </w:rPr>
        <w:t xml:space="preserve">Por </w:t>
      </w:r>
      <w:r w:rsidR="007547D9">
        <w:rPr>
          <w:rFonts w:ascii="Arial" w:hAnsi="Arial" w:cs="Arial"/>
          <w:sz w:val="28"/>
          <w:szCs w:val="28"/>
        </w:rPr>
        <w:t xml:space="preserve">lo </w:t>
      </w:r>
      <w:r>
        <w:rPr>
          <w:rFonts w:ascii="Arial" w:hAnsi="Arial" w:cs="Arial"/>
          <w:sz w:val="28"/>
          <w:szCs w:val="28"/>
        </w:rPr>
        <w:t>tanto</w:t>
      </w:r>
      <w:r w:rsidR="00983257" w:rsidRPr="00F81BB9">
        <w:rPr>
          <w:rFonts w:ascii="Arial" w:hAnsi="Arial" w:cs="Arial"/>
          <w:sz w:val="28"/>
          <w:szCs w:val="28"/>
        </w:rPr>
        <w:t>, tampoco comparto</w:t>
      </w:r>
      <w:r w:rsidR="00FC50BD" w:rsidRPr="00F81BB9">
        <w:rPr>
          <w:rFonts w:ascii="Arial" w:hAnsi="Arial" w:cs="Arial"/>
          <w:sz w:val="28"/>
          <w:szCs w:val="28"/>
        </w:rPr>
        <w:t xml:space="preserve"> la afirmación de que no se</w:t>
      </w:r>
      <w:r w:rsidR="00553B0E" w:rsidRPr="00F81BB9">
        <w:rPr>
          <w:rFonts w:ascii="Arial" w:hAnsi="Arial" w:cs="Arial"/>
          <w:b/>
          <w:bCs/>
          <w:sz w:val="28"/>
          <w:szCs w:val="28"/>
          <w:lang w:val="es-ES"/>
        </w:rPr>
        <w:t xml:space="preserve"> </w:t>
      </w:r>
      <w:r w:rsidR="00553B0E" w:rsidRPr="00D36FC9">
        <w:rPr>
          <w:rFonts w:ascii="Arial" w:hAnsi="Arial" w:cs="Arial"/>
          <w:sz w:val="28"/>
          <w:szCs w:val="28"/>
          <w:lang w:val="es-ES"/>
        </w:rPr>
        <w:t>puede</w:t>
      </w:r>
      <w:r w:rsidR="00223F3F">
        <w:rPr>
          <w:rFonts w:ascii="Arial" w:hAnsi="Arial" w:cs="Arial"/>
          <w:sz w:val="28"/>
          <w:szCs w:val="28"/>
          <w:lang w:val="es-ES"/>
        </w:rPr>
        <w:t>n</w:t>
      </w:r>
      <w:r w:rsidR="00553B0E" w:rsidRPr="00D36FC9">
        <w:rPr>
          <w:rFonts w:ascii="Arial" w:hAnsi="Arial" w:cs="Arial"/>
          <w:sz w:val="28"/>
          <w:szCs w:val="28"/>
          <w:lang w:val="es-ES"/>
        </w:rPr>
        <w:t xml:space="preserve"> analizar la</w:t>
      </w:r>
      <w:r w:rsidR="005F5995">
        <w:rPr>
          <w:rFonts w:ascii="Arial" w:hAnsi="Arial" w:cs="Arial"/>
          <w:sz w:val="28"/>
          <w:szCs w:val="28"/>
          <w:lang w:val="es-ES"/>
        </w:rPr>
        <w:t>s</w:t>
      </w:r>
      <w:r w:rsidR="00553B0E" w:rsidRPr="00D36FC9">
        <w:rPr>
          <w:rFonts w:ascii="Arial" w:hAnsi="Arial" w:cs="Arial"/>
          <w:sz w:val="28"/>
          <w:szCs w:val="28"/>
          <w:lang w:val="es-ES"/>
        </w:rPr>
        <w:t xml:space="preserve"> </w:t>
      </w:r>
      <w:r w:rsidR="00391772" w:rsidRPr="00D36FC9">
        <w:rPr>
          <w:rFonts w:ascii="Arial" w:hAnsi="Arial" w:cs="Arial"/>
          <w:sz w:val="28"/>
          <w:szCs w:val="28"/>
          <w:lang w:val="es-ES"/>
        </w:rPr>
        <w:t>disposicion</w:t>
      </w:r>
      <w:r w:rsidR="00391772">
        <w:rPr>
          <w:rFonts w:ascii="Arial" w:hAnsi="Arial" w:cs="Arial"/>
          <w:sz w:val="28"/>
          <w:szCs w:val="28"/>
          <w:lang w:val="es-ES"/>
        </w:rPr>
        <w:t>es</w:t>
      </w:r>
      <w:r w:rsidR="00553B0E" w:rsidRPr="00D36FC9">
        <w:rPr>
          <w:rFonts w:ascii="Arial" w:hAnsi="Arial" w:cs="Arial"/>
          <w:sz w:val="28"/>
          <w:szCs w:val="28"/>
          <w:lang w:val="es-ES"/>
        </w:rPr>
        <w:t xml:space="preserve"> impugnada</w:t>
      </w:r>
      <w:r w:rsidR="00391772">
        <w:rPr>
          <w:rFonts w:ascii="Arial" w:hAnsi="Arial" w:cs="Arial"/>
          <w:sz w:val="28"/>
          <w:szCs w:val="28"/>
          <w:lang w:val="es-ES"/>
        </w:rPr>
        <w:t>s</w:t>
      </w:r>
      <w:r w:rsidR="00553B0E" w:rsidRPr="00D36FC9">
        <w:rPr>
          <w:rFonts w:ascii="Arial" w:hAnsi="Arial" w:cs="Arial"/>
          <w:sz w:val="28"/>
          <w:szCs w:val="28"/>
          <w:lang w:val="es-ES"/>
        </w:rPr>
        <w:t xml:space="preserve">, con relación a los principios de igualdad y no discriminación, </w:t>
      </w:r>
      <w:r w:rsidR="00174908" w:rsidRPr="00D36FC9">
        <w:rPr>
          <w:rFonts w:ascii="Arial" w:hAnsi="Arial" w:cs="Arial"/>
          <w:sz w:val="28"/>
          <w:szCs w:val="28"/>
          <w:lang w:val="es-ES"/>
        </w:rPr>
        <w:t>porque</w:t>
      </w:r>
      <w:r w:rsidR="00553B0E" w:rsidRPr="00D36FC9">
        <w:rPr>
          <w:rFonts w:ascii="Arial" w:hAnsi="Arial" w:cs="Arial"/>
          <w:sz w:val="28"/>
          <w:szCs w:val="28"/>
          <w:lang w:val="es-ES"/>
        </w:rPr>
        <w:t xml:space="preserve"> </w:t>
      </w:r>
      <w:r w:rsidR="00174908" w:rsidRPr="00D36FC9">
        <w:rPr>
          <w:rFonts w:ascii="Arial" w:hAnsi="Arial" w:cs="Arial"/>
          <w:sz w:val="28"/>
          <w:szCs w:val="28"/>
          <w:lang w:val="es-ES"/>
        </w:rPr>
        <w:t>se trata</w:t>
      </w:r>
      <w:r w:rsidR="00553B0E" w:rsidRPr="00D36FC9">
        <w:rPr>
          <w:rFonts w:ascii="Arial" w:hAnsi="Arial" w:cs="Arial"/>
          <w:sz w:val="28"/>
          <w:szCs w:val="28"/>
          <w:lang w:val="es-ES"/>
        </w:rPr>
        <w:t xml:space="preserve"> </w:t>
      </w:r>
      <w:r w:rsidR="00174908" w:rsidRPr="00D36FC9">
        <w:rPr>
          <w:rFonts w:ascii="Arial" w:hAnsi="Arial" w:cs="Arial"/>
          <w:sz w:val="28"/>
          <w:szCs w:val="28"/>
          <w:lang w:val="es-ES"/>
        </w:rPr>
        <w:t xml:space="preserve">de </w:t>
      </w:r>
      <w:r w:rsidR="00553B0E" w:rsidRPr="00D36FC9">
        <w:rPr>
          <w:rFonts w:ascii="Arial" w:hAnsi="Arial" w:cs="Arial"/>
          <w:sz w:val="28"/>
          <w:szCs w:val="28"/>
          <w:lang w:val="es-ES"/>
        </w:rPr>
        <w:t>exigencias mínimas que el Constituyente Permanente ha previsto</w:t>
      </w:r>
      <w:r w:rsidR="00D36FC9" w:rsidRPr="00D36FC9">
        <w:rPr>
          <w:rFonts w:ascii="Arial" w:hAnsi="Arial" w:cs="Arial"/>
          <w:sz w:val="28"/>
          <w:szCs w:val="28"/>
          <w:lang w:val="es-ES"/>
        </w:rPr>
        <w:t xml:space="preserve"> en el artículo 102</w:t>
      </w:r>
      <w:r w:rsidR="00553B0E" w:rsidRPr="00D36FC9">
        <w:rPr>
          <w:rFonts w:ascii="Arial" w:hAnsi="Arial" w:cs="Arial"/>
          <w:sz w:val="28"/>
          <w:szCs w:val="28"/>
          <w:lang w:val="es-ES"/>
        </w:rPr>
        <w:t xml:space="preserve"> como requerimientos indispensables para que una persona pueda ser designada como Fiscal General de la República</w:t>
      </w:r>
      <w:r w:rsidR="00814633" w:rsidRPr="00D36FC9">
        <w:rPr>
          <w:rFonts w:ascii="Arial" w:hAnsi="Arial" w:cs="Arial"/>
          <w:sz w:val="28"/>
          <w:szCs w:val="28"/>
        </w:rPr>
        <w:t xml:space="preserve">. </w:t>
      </w:r>
      <w:r w:rsidR="00223F3F" w:rsidRPr="00223F3F">
        <w:rPr>
          <w:rFonts w:ascii="Arial" w:hAnsi="Arial" w:cs="Arial"/>
          <w:b/>
          <w:bCs/>
          <w:sz w:val="28"/>
          <w:szCs w:val="28"/>
        </w:rPr>
        <w:t>Ello</w:t>
      </w:r>
      <w:r w:rsidR="00432E41" w:rsidRPr="00223F3F">
        <w:rPr>
          <w:rFonts w:ascii="Arial" w:hAnsi="Arial" w:cs="Arial"/>
          <w:b/>
          <w:bCs/>
          <w:sz w:val="28"/>
          <w:szCs w:val="28"/>
        </w:rPr>
        <w:t>,</w:t>
      </w:r>
      <w:r w:rsidR="00223F3F">
        <w:rPr>
          <w:rFonts w:ascii="Arial" w:hAnsi="Arial" w:cs="Arial"/>
          <w:b/>
          <w:bCs/>
          <w:sz w:val="28"/>
          <w:szCs w:val="28"/>
        </w:rPr>
        <w:t xml:space="preserve"> porque</w:t>
      </w:r>
      <w:r w:rsidR="00432E41" w:rsidRPr="00D36FC9">
        <w:rPr>
          <w:rFonts w:ascii="Arial" w:hAnsi="Arial" w:cs="Arial"/>
          <w:b/>
          <w:bCs/>
          <w:sz w:val="28"/>
          <w:szCs w:val="28"/>
        </w:rPr>
        <w:t xml:space="preserve"> el </w:t>
      </w:r>
      <w:r w:rsidR="00F95FEF" w:rsidRPr="00D36FC9">
        <w:rPr>
          <w:rFonts w:ascii="Arial" w:hAnsi="Arial" w:cs="Arial"/>
          <w:b/>
          <w:bCs/>
          <w:sz w:val="28"/>
          <w:szCs w:val="28"/>
        </w:rPr>
        <w:t xml:space="preserve">hecho de que la Constitución Federal </w:t>
      </w:r>
      <w:r w:rsidR="00814633" w:rsidRPr="00D36FC9">
        <w:rPr>
          <w:rFonts w:ascii="Arial" w:hAnsi="Arial" w:cs="Arial"/>
          <w:b/>
          <w:bCs/>
          <w:sz w:val="28"/>
          <w:szCs w:val="28"/>
        </w:rPr>
        <w:t xml:space="preserve">exija </w:t>
      </w:r>
      <w:r w:rsidR="00F95FEF" w:rsidRPr="00D36FC9">
        <w:rPr>
          <w:rFonts w:ascii="Arial" w:hAnsi="Arial" w:cs="Arial"/>
          <w:b/>
          <w:bCs/>
          <w:sz w:val="28"/>
          <w:szCs w:val="28"/>
        </w:rPr>
        <w:t>el mismo</w:t>
      </w:r>
      <w:r w:rsidR="00814633" w:rsidRPr="00D36FC9">
        <w:rPr>
          <w:rFonts w:ascii="Arial" w:hAnsi="Arial" w:cs="Arial"/>
          <w:b/>
          <w:bCs/>
          <w:sz w:val="28"/>
          <w:szCs w:val="28"/>
        </w:rPr>
        <w:t xml:space="preserve"> requisito para ser </w:t>
      </w:r>
      <w:r w:rsidR="00814633" w:rsidRPr="00D36FC9">
        <w:rPr>
          <w:rFonts w:ascii="Arial" w:hAnsi="Arial" w:cs="Arial"/>
          <w:b/>
          <w:bCs/>
          <w:sz w:val="28"/>
          <w:szCs w:val="28"/>
        </w:rPr>
        <w:lastRenderedPageBreak/>
        <w:t>Fiscal General de la República no exime</w:t>
      </w:r>
      <w:r w:rsidR="00AB664C" w:rsidRPr="00D36FC9">
        <w:rPr>
          <w:rFonts w:ascii="Arial" w:hAnsi="Arial" w:cs="Arial"/>
          <w:b/>
          <w:bCs/>
          <w:sz w:val="28"/>
          <w:szCs w:val="28"/>
        </w:rPr>
        <w:t>, en modo alguno,</w:t>
      </w:r>
      <w:r w:rsidR="00814633" w:rsidRPr="00D36FC9">
        <w:rPr>
          <w:rFonts w:ascii="Arial" w:hAnsi="Arial" w:cs="Arial"/>
          <w:b/>
          <w:bCs/>
          <w:sz w:val="28"/>
          <w:szCs w:val="28"/>
        </w:rPr>
        <w:t xml:space="preserve"> a la entidad federativa de respetar los derechos y principios que forman parte del parámetro de regularidad constitucional al exigir el mismo requisito para cargos locales.</w:t>
      </w:r>
    </w:p>
    <w:p w14:paraId="0B039320" w14:textId="77777777" w:rsidR="00820425" w:rsidRPr="00265238" w:rsidRDefault="00820425" w:rsidP="00265238">
      <w:pPr>
        <w:rPr>
          <w:rFonts w:ascii="Arial" w:hAnsi="Arial" w:cs="Arial"/>
          <w:b/>
          <w:bCs/>
          <w:sz w:val="28"/>
          <w:szCs w:val="28"/>
        </w:rPr>
      </w:pPr>
    </w:p>
    <w:p w14:paraId="06E17194" w14:textId="59D4D452" w:rsidR="00820425" w:rsidRPr="002872A6" w:rsidRDefault="00470260" w:rsidP="00470260">
      <w:pPr>
        <w:pStyle w:val="Prrafodelista"/>
        <w:numPr>
          <w:ilvl w:val="0"/>
          <w:numId w:val="15"/>
        </w:numPr>
        <w:spacing w:line="360" w:lineRule="auto"/>
        <w:ind w:left="0" w:hanging="567"/>
        <w:jc w:val="both"/>
        <w:rPr>
          <w:rFonts w:ascii="Arial" w:hAnsi="Arial" w:cs="Arial"/>
          <w:b/>
          <w:bCs/>
          <w:sz w:val="28"/>
          <w:szCs w:val="28"/>
        </w:rPr>
      </w:pPr>
      <w:r w:rsidRPr="002872A6">
        <w:rPr>
          <w:rFonts w:ascii="Arial" w:hAnsi="Arial" w:cs="Arial"/>
          <w:sz w:val="28"/>
          <w:szCs w:val="28"/>
        </w:rPr>
        <w:t>Si bien esta Suprema Corte</w:t>
      </w:r>
      <w:r w:rsidR="00820425" w:rsidRPr="002872A6">
        <w:rPr>
          <w:rFonts w:ascii="Arial" w:hAnsi="Arial" w:cs="Arial"/>
          <w:sz w:val="28"/>
          <w:szCs w:val="28"/>
        </w:rPr>
        <w:t xml:space="preserve"> </w:t>
      </w:r>
      <w:r w:rsidR="00F72A1B">
        <w:rPr>
          <w:rFonts w:ascii="Arial" w:hAnsi="Arial" w:cs="Arial"/>
          <w:sz w:val="28"/>
          <w:szCs w:val="28"/>
        </w:rPr>
        <w:t xml:space="preserve">de Justicia de la Nación </w:t>
      </w:r>
      <w:r w:rsidR="00820425" w:rsidRPr="002872A6">
        <w:rPr>
          <w:rFonts w:ascii="Arial" w:hAnsi="Arial" w:cs="Arial"/>
          <w:sz w:val="28"/>
          <w:szCs w:val="28"/>
        </w:rPr>
        <w:t>ha determinado</w:t>
      </w:r>
      <w:r w:rsidR="00820425" w:rsidRPr="00470260">
        <w:rPr>
          <w:rFonts w:ascii="Arial" w:hAnsi="Arial" w:cs="Arial"/>
          <w:sz w:val="28"/>
          <w:szCs w:val="28"/>
        </w:rPr>
        <w:t xml:space="preserve"> que</w:t>
      </w:r>
      <w:r w:rsidR="00820425" w:rsidRPr="00470260">
        <w:rPr>
          <w:rFonts w:ascii="Arial" w:eastAsia="Calibri" w:hAnsi="Arial" w:cs="Arial"/>
          <w:sz w:val="28"/>
          <w:szCs w:val="28"/>
        </w:rPr>
        <w:t xml:space="preserve"> fuera de las condiciones previstas de manera expresa </w:t>
      </w:r>
      <w:r>
        <w:rPr>
          <w:rFonts w:ascii="Arial" w:eastAsia="Calibri" w:hAnsi="Arial" w:cs="Arial"/>
          <w:sz w:val="28"/>
          <w:szCs w:val="28"/>
        </w:rPr>
        <w:t xml:space="preserve">por la Constitución Federal </w:t>
      </w:r>
      <w:r w:rsidR="00820425" w:rsidRPr="00470260">
        <w:rPr>
          <w:rFonts w:ascii="Arial" w:eastAsia="Calibri" w:hAnsi="Arial" w:cs="Arial"/>
          <w:sz w:val="28"/>
          <w:szCs w:val="28"/>
        </w:rPr>
        <w:t xml:space="preserve">para determinados empleos y comisiones, </w:t>
      </w:r>
      <w:r w:rsidR="00820425" w:rsidRPr="002745B7">
        <w:rPr>
          <w:rFonts w:ascii="Arial" w:eastAsia="Calibri" w:hAnsi="Arial" w:cs="Arial"/>
          <w:sz w:val="28"/>
          <w:szCs w:val="28"/>
          <w:u w:val="single"/>
        </w:rPr>
        <w:t>los Congresos locales cuentan con una amplia libertad de configuración</w:t>
      </w:r>
      <w:r w:rsidR="00820425" w:rsidRPr="00470260">
        <w:rPr>
          <w:rFonts w:ascii="Arial" w:eastAsia="Calibri" w:hAnsi="Arial" w:cs="Arial"/>
          <w:sz w:val="28"/>
          <w:szCs w:val="28"/>
        </w:rPr>
        <w:t xml:space="preserve"> para establecer las calidades necesarias para que una persona pueda ser nombrada para cualquier empleo o comisión del servicio público, </w:t>
      </w:r>
      <w:r w:rsidR="0060146A">
        <w:rPr>
          <w:rFonts w:ascii="Arial" w:eastAsia="Calibri" w:hAnsi="Arial" w:cs="Arial"/>
          <w:sz w:val="28"/>
          <w:szCs w:val="28"/>
        </w:rPr>
        <w:t xml:space="preserve">lo cierto es que </w:t>
      </w:r>
      <w:r w:rsidR="00820425" w:rsidRPr="00470260">
        <w:rPr>
          <w:rFonts w:ascii="Arial" w:eastAsia="Calibri" w:hAnsi="Arial" w:cs="Arial"/>
          <w:sz w:val="28"/>
          <w:szCs w:val="28"/>
        </w:rPr>
        <w:t xml:space="preserve">también </w:t>
      </w:r>
      <w:r w:rsidR="004C35B7">
        <w:rPr>
          <w:rFonts w:ascii="Arial" w:eastAsia="Calibri" w:hAnsi="Arial" w:cs="Arial"/>
          <w:sz w:val="28"/>
          <w:szCs w:val="28"/>
        </w:rPr>
        <w:t xml:space="preserve">se </w:t>
      </w:r>
      <w:r w:rsidR="00820425" w:rsidRPr="00470260">
        <w:rPr>
          <w:rFonts w:ascii="Arial" w:eastAsia="Calibri" w:hAnsi="Arial" w:cs="Arial"/>
          <w:sz w:val="28"/>
          <w:szCs w:val="28"/>
        </w:rPr>
        <w:t xml:space="preserve">ha sostenido, que </w:t>
      </w:r>
      <w:r w:rsidR="00820425" w:rsidRPr="00470260">
        <w:rPr>
          <w:rFonts w:ascii="Arial" w:eastAsia="Calibri" w:hAnsi="Arial" w:cs="Arial"/>
          <w:sz w:val="28"/>
          <w:szCs w:val="28"/>
          <w:u w:val="single"/>
        </w:rPr>
        <w:t>tales requisitos o condiciones no deben vulnerar algún derecho humano y además, deben ser razonables, de modo que permitan de manera efectiva el acceso a la función pública, en condiciones generales de igualdad</w:t>
      </w:r>
      <w:r w:rsidR="00820425" w:rsidRPr="002872A6">
        <w:rPr>
          <w:rFonts w:ascii="Arial" w:eastAsia="Calibri" w:hAnsi="Arial" w:cs="Arial"/>
          <w:sz w:val="28"/>
          <w:szCs w:val="28"/>
          <w:u w:val="single"/>
        </w:rPr>
        <w:t>.</w:t>
      </w:r>
    </w:p>
    <w:p w14:paraId="39F30C5B" w14:textId="77777777" w:rsidR="00FB501E" w:rsidRDefault="00FB501E" w:rsidP="00FB501E">
      <w:pPr>
        <w:pStyle w:val="Prrafodelista"/>
        <w:spacing w:line="276" w:lineRule="auto"/>
        <w:jc w:val="both"/>
        <w:rPr>
          <w:rFonts w:ascii="Arial" w:hAnsi="Arial" w:cs="Arial"/>
          <w:b/>
          <w:sz w:val="28"/>
          <w:szCs w:val="28"/>
        </w:rPr>
      </w:pPr>
    </w:p>
    <w:p w14:paraId="6276083C" w14:textId="75AA8CFF" w:rsidR="00FB501E" w:rsidRPr="004A39B6" w:rsidRDefault="00FB501E" w:rsidP="00223F3F">
      <w:pPr>
        <w:pStyle w:val="Prrafodelista"/>
        <w:numPr>
          <w:ilvl w:val="0"/>
          <w:numId w:val="28"/>
        </w:numPr>
        <w:spacing w:line="276" w:lineRule="auto"/>
        <w:jc w:val="both"/>
        <w:rPr>
          <w:rFonts w:ascii="Arial" w:hAnsi="Arial" w:cs="Arial"/>
          <w:b/>
          <w:sz w:val="28"/>
          <w:szCs w:val="28"/>
        </w:rPr>
      </w:pPr>
      <w:r w:rsidRPr="004A39B6">
        <w:rPr>
          <w:rFonts w:ascii="Arial" w:hAnsi="Arial" w:cs="Arial"/>
          <w:b/>
          <w:sz w:val="28"/>
          <w:szCs w:val="28"/>
        </w:rPr>
        <w:t>Postura mayoritaria</w:t>
      </w:r>
      <w:r w:rsidR="00601BA6">
        <w:rPr>
          <w:rFonts w:ascii="Arial" w:hAnsi="Arial" w:cs="Arial"/>
          <w:b/>
          <w:sz w:val="28"/>
          <w:szCs w:val="28"/>
        </w:rPr>
        <w:t>.</w:t>
      </w:r>
    </w:p>
    <w:p w14:paraId="62A255D8" w14:textId="77777777" w:rsidR="002872A6" w:rsidRPr="002872A6" w:rsidRDefault="002872A6" w:rsidP="002872A6">
      <w:pPr>
        <w:pStyle w:val="Prrafodelista"/>
        <w:spacing w:line="360" w:lineRule="auto"/>
        <w:ind w:left="0"/>
        <w:jc w:val="both"/>
        <w:rPr>
          <w:rFonts w:ascii="Arial" w:hAnsi="Arial" w:cs="Arial"/>
          <w:b/>
          <w:bCs/>
          <w:sz w:val="28"/>
          <w:szCs w:val="28"/>
        </w:rPr>
      </w:pPr>
    </w:p>
    <w:p w14:paraId="21D43728" w14:textId="1F053D39" w:rsidR="009378A0" w:rsidRPr="00C45004" w:rsidRDefault="00965787" w:rsidP="002C6665">
      <w:pPr>
        <w:pStyle w:val="Prrafodelista"/>
        <w:numPr>
          <w:ilvl w:val="0"/>
          <w:numId w:val="15"/>
        </w:numPr>
        <w:spacing w:line="360" w:lineRule="auto"/>
        <w:ind w:left="0" w:hanging="567"/>
        <w:jc w:val="both"/>
        <w:rPr>
          <w:rFonts w:ascii="Arial" w:hAnsi="Arial" w:cs="Arial"/>
          <w:b/>
          <w:bCs/>
          <w:sz w:val="28"/>
          <w:szCs w:val="28"/>
        </w:rPr>
      </w:pPr>
      <w:r w:rsidRPr="002872A6">
        <w:rPr>
          <w:rFonts w:ascii="Arial" w:hAnsi="Arial" w:cs="Arial"/>
          <w:sz w:val="28"/>
          <w:szCs w:val="28"/>
        </w:rPr>
        <w:t xml:space="preserve">Por </w:t>
      </w:r>
      <w:r w:rsidR="001F3AC8" w:rsidRPr="002872A6">
        <w:rPr>
          <w:rFonts w:ascii="Arial" w:hAnsi="Arial" w:cs="Arial"/>
          <w:sz w:val="28"/>
          <w:szCs w:val="28"/>
        </w:rPr>
        <w:t>otro lado</w:t>
      </w:r>
      <w:r w:rsidRPr="002872A6">
        <w:rPr>
          <w:rFonts w:ascii="Arial" w:hAnsi="Arial" w:cs="Arial"/>
          <w:sz w:val="28"/>
          <w:szCs w:val="28"/>
        </w:rPr>
        <w:t>,</w:t>
      </w:r>
      <w:r w:rsidR="008E0D47" w:rsidRPr="002872A6">
        <w:rPr>
          <w:rFonts w:ascii="Arial" w:hAnsi="Arial" w:cs="Arial"/>
          <w:sz w:val="28"/>
          <w:szCs w:val="28"/>
        </w:rPr>
        <w:t xml:space="preserve"> </w:t>
      </w:r>
      <w:r w:rsidR="00F97331" w:rsidRPr="002872A6">
        <w:rPr>
          <w:rFonts w:ascii="Arial" w:hAnsi="Arial" w:cs="Arial"/>
          <w:sz w:val="28"/>
          <w:szCs w:val="28"/>
        </w:rPr>
        <w:t xml:space="preserve">en cuanto al </w:t>
      </w:r>
      <w:r w:rsidRPr="002872A6">
        <w:rPr>
          <w:rFonts w:ascii="Arial" w:hAnsi="Arial" w:cs="Arial"/>
          <w:b/>
          <w:bCs/>
          <w:sz w:val="28"/>
          <w:szCs w:val="28"/>
        </w:rPr>
        <w:t>tema 6.3.</w:t>
      </w:r>
      <w:r w:rsidRPr="002872A6">
        <w:rPr>
          <w:rFonts w:ascii="Arial" w:hAnsi="Arial" w:cs="Arial"/>
          <w:sz w:val="28"/>
          <w:szCs w:val="28"/>
        </w:rPr>
        <w:t xml:space="preserve">, </w:t>
      </w:r>
      <w:r w:rsidR="00223160" w:rsidRPr="002872A6">
        <w:rPr>
          <w:rFonts w:ascii="Arial" w:hAnsi="Arial" w:cs="Arial"/>
          <w:sz w:val="28"/>
          <w:szCs w:val="28"/>
        </w:rPr>
        <w:t>este Alto Tribunal</w:t>
      </w:r>
      <w:r w:rsidR="00477229" w:rsidRPr="002872A6">
        <w:rPr>
          <w:rFonts w:ascii="Arial" w:hAnsi="Arial" w:cs="Arial"/>
          <w:sz w:val="28"/>
          <w:szCs w:val="28"/>
        </w:rPr>
        <w:t xml:space="preserve">, por una </w:t>
      </w:r>
      <w:r w:rsidR="00AA725D" w:rsidRPr="002872A6">
        <w:rPr>
          <w:rFonts w:ascii="Arial" w:hAnsi="Arial" w:cs="Arial"/>
          <w:sz w:val="28"/>
          <w:szCs w:val="28"/>
        </w:rPr>
        <w:t>mayoría de diez votos,</w:t>
      </w:r>
      <w:r w:rsidR="00223160" w:rsidRPr="002872A6">
        <w:rPr>
          <w:rFonts w:ascii="Arial" w:hAnsi="Arial" w:cs="Arial"/>
          <w:sz w:val="28"/>
          <w:szCs w:val="28"/>
        </w:rPr>
        <w:t xml:space="preserve"> </w:t>
      </w:r>
      <w:r w:rsidRPr="002872A6">
        <w:rPr>
          <w:rFonts w:ascii="Arial" w:hAnsi="Arial" w:cs="Arial"/>
          <w:sz w:val="28"/>
          <w:szCs w:val="28"/>
        </w:rPr>
        <w:t xml:space="preserve">determinó declarar la </w:t>
      </w:r>
      <w:r w:rsidRPr="00E0396C">
        <w:rPr>
          <w:rFonts w:ascii="Arial" w:hAnsi="Arial" w:cs="Arial"/>
          <w:b/>
          <w:bCs/>
          <w:sz w:val="28"/>
          <w:szCs w:val="28"/>
        </w:rPr>
        <w:t xml:space="preserve">invalidez </w:t>
      </w:r>
      <w:r w:rsidRPr="002872A6">
        <w:rPr>
          <w:rFonts w:ascii="Arial" w:hAnsi="Arial" w:cs="Arial"/>
          <w:sz w:val="28"/>
          <w:szCs w:val="28"/>
        </w:rPr>
        <w:t xml:space="preserve">de los artículos </w:t>
      </w:r>
      <w:r w:rsidRPr="002872A6">
        <w:rPr>
          <w:rFonts w:ascii="Arial" w:eastAsiaTheme="minorHAnsi" w:hAnsi="Arial" w:cs="Arial"/>
          <w:sz w:val="28"/>
          <w:szCs w:val="28"/>
          <w:lang w:val="es-MX" w:eastAsia="en-US"/>
        </w:rPr>
        <w:t>21 y 24, ambos en la fracción VI, en</w:t>
      </w:r>
      <w:r w:rsidRPr="002872A6">
        <w:rPr>
          <w:rFonts w:ascii="Arial" w:eastAsia="Calibri" w:hAnsi="Arial" w:cs="Arial"/>
          <w:sz w:val="28"/>
          <w:szCs w:val="28"/>
          <w:shd w:val="clear" w:color="auto" w:fill="FFFFFF" w:themeFill="background1"/>
        </w:rPr>
        <w:t xml:space="preserve"> la porción que establece como requisito para ocupar los cargos </w:t>
      </w:r>
      <w:r w:rsidRPr="002872A6">
        <w:rPr>
          <w:rFonts w:ascii="Arial" w:hAnsi="Arial" w:cs="Arial"/>
          <w:b/>
          <w:sz w:val="28"/>
          <w:szCs w:val="28"/>
        </w:rPr>
        <w:t>de Vicefiscal y Fiscal Especializado</w:t>
      </w:r>
      <w:r w:rsidRPr="002872A6">
        <w:rPr>
          <w:rFonts w:ascii="Arial" w:eastAsia="Calibri" w:hAnsi="Arial" w:cs="Arial"/>
          <w:sz w:val="28"/>
          <w:szCs w:val="28"/>
          <w:shd w:val="clear" w:color="auto" w:fill="FFFFFF" w:themeFill="background1"/>
        </w:rPr>
        <w:t xml:space="preserve"> en</w:t>
      </w:r>
      <w:r w:rsidR="00F72A1B">
        <w:rPr>
          <w:rFonts w:ascii="Arial" w:eastAsia="Calibri" w:hAnsi="Arial" w:cs="Arial"/>
          <w:sz w:val="28"/>
          <w:szCs w:val="28"/>
          <w:shd w:val="clear" w:color="auto" w:fill="FFFFFF" w:themeFill="background1"/>
        </w:rPr>
        <w:t xml:space="preserve"> el Estado de</w:t>
      </w:r>
      <w:r w:rsidRPr="002872A6">
        <w:rPr>
          <w:rFonts w:ascii="Arial" w:eastAsia="Calibri" w:hAnsi="Arial" w:cs="Arial"/>
          <w:sz w:val="28"/>
          <w:szCs w:val="28"/>
          <w:shd w:val="clear" w:color="auto" w:fill="FFFFFF" w:themeFill="background1"/>
        </w:rPr>
        <w:t xml:space="preserve"> Tamaulipas </w:t>
      </w:r>
      <w:r w:rsidRPr="005A2703">
        <w:rPr>
          <w:rFonts w:ascii="Arial" w:eastAsia="Calibri" w:hAnsi="Arial" w:cs="Arial"/>
          <w:sz w:val="28"/>
          <w:szCs w:val="28"/>
          <w:shd w:val="clear" w:color="auto" w:fill="FFFFFF" w:themeFill="background1"/>
        </w:rPr>
        <w:t>“…</w:t>
      </w:r>
      <w:r w:rsidRPr="005A2703">
        <w:rPr>
          <w:rFonts w:ascii="Arial" w:eastAsia="Calibri" w:hAnsi="Arial" w:cs="Arial"/>
          <w:i/>
          <w:iCs/>
          <w:sz w:val="28"/>
          <w:szCs w:val="28"/>
          <w:shd w:val="clear" w:color="auto" w:fill="FFFFFF" w:themeFill="background1"/>
          <w:lang w:val="es-MX"/>
        </w:rPr>
        <w:t>no haber sido suspendido, destituido ni inhabilitado por resolución firme, en los términos de las normas relativas a las responsabilidades administrativas de los servidores públicos”</w:t>
      </w:r>
      <w:r w:rsidRPr="005A2703">
        <w:rPr>
          <w:rFonts w:ascii="Arial" w:eastAsia="Calibri" w:hAnsi="Arial" w:cs="Arial"/>
          <w:bCs/>
          <w:sz w:val="28"/>
          <w:szCs w:val="28"/>
          <w:shd w:val="clear" w:color="auto" w:fill="FFFFFF" w:themeFill="background1"/>
          <w:lang w:val="es-MX"/>
        </w:rPr>
        <w:t>.</w:t>
      </w:r>
      <w:r w:rsidR="00471F98" w:rsidRPr="002872A6">
        <w:rPr>
          <w:rFonts w:ascii="Arial" w:eastAsia="Calibri" w:hAnsi="Arial" w:cs="Arial"/>
          <w:bCs/>
          <w:sz w:val="28"/>
          <w:szCs w:val="28"/>
          <w:shd w:val="clear" w:color="auto" w:fill="FFFFFF" w:themeFill="background1"/>
          <w:lang w:val="es-MX"/>
        </w:rPr>
        <w:t xml:space="preserve"> Lo anterior</w:t>
      </w:r>
      <w:r w:rsidR="00F220D4" w:rsidRPr="002872A6">
        <w:rPr>
          <w:rFonts w:ascii="Arial" w:eastAsia="Calibri" w:hAnsi="Arial" w:cs="Arial"/>
          <w:bCs/>
          <w:sz w:val="28"/>
          <w:szCs w:val="28"/>
          <w:shd w:val="clear" w:color="auto" w:fill="FFFFFF" w:themeFill="background1"/>
          <w:lang w:val="es-MX"/>
        </w:rPr>
        <w:t>,</w:t>
      </w:r>
      <w:r w:rsidR="00471F98" w:rsidRPr="002872A6">
        <w:rPr>
          <w:rFonts w:ascii="Arial" w:eastAsia="Calibri" w:hAnsi="Arial" w:cs="Arial"/>
          <w:bCs/>
          <w:sz w:val="28"/>
          <w:szCs w:val="28"/>
          <w:shd w:val="clear" w:color="auto" w:fill="FFFFFF" w:themeFill="background1"/>
          <w:lang w:val="es-MX"/>
        </w:rPr>
        <w:t xml:space="preserve"> por ser violatori</w:t>
      </w:r>
      <w:r w:rsidR="00464547" w:rsidRPr="002872A6">
        <w:rPr>
          <w:rFonts w:ascii="Arial" w:eastAsia="Calibri" w:hAnsi="Arial" w:cs="Arial"/>
          <w:bCs/>
          <w:sz w:val="28"/>
          <w:szCs w:val="28"/>
          <w:shd w:val="clear" w:color="auto" w:fill="FFFFFF" w:themeFill="background1"/>
          <w:lang w:val="es-MX"/>
        </w:rPr>
        <w:t>os</w:t>
      </w:r>
      <w:r w:rsidR="00471F98" w:rsidRPr="002872A6">
        <w:rPr>
          <w:rFonts w:ascii="Arial" w:eastAsia="Calibri" w:hAnsi="Arial" w:cs="Arial"/>
          <w:bCs/>
          <w:sz w:val="28"/>
          <w:szCs w:val="28"/>
          <w:shd w:val="clear" w:color="auto" w:fill="FFFFFF" w:themeFill="background1"/>
          <w:lang w:val="es-MX"/>
        </w:rPr>
        <w:t xml:space="preserve"> del principio de igualdad</w:t>
      </w:r>
      <w:r w:rsidR="009378A0" w:rsidRPr="002872A6">
        <w:rPr>
          <w:rFonts w:ascii="Arial" w:eastAsia="Calibri" w:hAnsi="Arial" w:cs="Arial"/>
          <w:bCs/>
          <w:sz w:val="28"/>
          <w:szCs w:val="28"/>
          <w:shd w:val="clear" w:color="auto" w:fill="FFFFFF" w:themeFill="background1"/>
          <w:lang w:val="es-MX"/>
        </w:rPr>
        <w:t xml:space="preserve"> al </w:t>
      </w:r>
      <w:r w:rsidR="009378A0" w:rsidRPr="002872A6">
        <w:rPr>
          <w:rFonts w:ascii="Arial" w:eastAsia="Calibri" w:hAnsi="Arial" w:cs="Arial"/>
          <w:bCs/>
          <w:iCs/>
          <w:sz w:val="28"/>
          <w:szCs w:val="28"/>
        </w:rPr>
        <w:t xml:space="preserve">ser </w:t>
      </w:r>
      <w:proofErr w:type="spellStart"/>
      <w:r w:rsidR="009378A0" w:rsidRPr="002872A6">
        <w:rPr>
          <w:rFonts w:ascii="Arial" w:eastAsia="Calibri" w:hAnsi="Arial" w:cs="Arial"/>
          <w:bCs/>
          <w:iCs/>
          <w:sz w:val="28"/>
          <w:szCs w:val="28"/>
        </w:rPr>
        <w:t>sobre-inclusivas</w:t>
      </w:r>
      <w:proofErr w:type="spellEnd"/>
      <w:r w:rsidR="009378A0" w:rsidRPr="002872A6">
        <w:rPr>
          <w:rFonts w:ascii="Arial" w:eastAsia="Calibri" w:hAnsi="Arial" w:cs="Arial"/>
          <w:bCs/>
          <w:iCs/>
          <w:sz w:val="28"/>
          <w:szCs w:val="28"/>
        </w:rPr>
        <w:t xml:space="preserve"> y discriminatorias</w:t>
      </w:r>
      <w:r w:rsidR="00223F3F">
        <w:rPr>
          <w:rFonts w:ascii="Arial" w:eastAsia="Calibri" w:hAnsi="Arial" w:cs="Arial"/>
          <w:bCs/>
          <w:iCs/>
          <w:sz w:val="28"/>
          <w:szCs w:val="28"/>
        </w:rPr>
        <w:t>. S</w:t>
      </w:r>
      <w:r w:rsidR="006A609C" w:rsidRPr="002872A6">
        <w:rPr>
          <w:rFonts w:ascii="Arial" w:eastAsia="Calibri" w:hAnsi="Arial" w:cs="Arial"/>
          <w:bCs/>
          <w:iCs/>
          <w:sz w:val="28"/>
          <w:szCs w:val="28"/>
        </w:rPr>
        <w:t xml:space="preserve">imilares porciones normativas </w:t>
      </w:r>
      <w:r w:rsidR="00223F3F">
        <w:rPr>
          <w:rFonts w:ascii="Arial" w:eastAsia="Calibri" w:hAnsi="Arial" w:cs="Arial"/>
          <w:bCs/>
          <w:iCs/>
          <w:sz w:val="28"/>
          <w:szCs w:val="28"/>
        </w:rPr>
        <w:t xml:space="preserve">se </w:t>
      </w:r>
      <w:r w:rsidR="00204CF6" w:rsidRPr="002872A6">
        <w:rPr>
          <w:rFonts w:ascii="Arial" w:eastAsia="Calibri" w:hAnsi="Arial" w:cs="Arial"/>
          <w:bCs/>
          <w:iCs/>
          <w:sz w:val="28"/>
          <w:szCs w:val="28"/>
        </w:rPr>
        <w:t>declara</w:t>
      </w:r>
      <w:r w:rsidR="00223F3F">
        <w:rPr>
          <w:rFonts w:ascii="Arial" w:eastAsia="Calibri" w:hAnsi="Arial" w:cs="Arial"/>
          <w:bCs/>
          <w:iCs/>
          <w:sz w:val="28"/>
          <w:szCs w:val="28"/>
        </w:rPr>
        <w:t>ron</w:t>
      </w:r>
      <w:r w:rsidR="00E63897" w:rsidRPr="002872A6">
        <w:rPr>
          <w:rFonts w:ascii="Arial" w:eastAsia="Calibri" w:hAnsi="Arial" w:cs="Arial"/>
          <w:bCs/>
          <w:iCs/>
          <w:sz w:val="28"/>
          <w:szCs w:val="28"/>
        </w:rPr>
        <w:t xml:space="preserve"> inv</w:t>
      </w:r>
      <w:r w:rsidR="00223F3F">
        <w:rPr>
          <w:rFonts w:ascii="Arial" w:eastAsia="Calibri" w:hAnsi="Arial" w:cs="Arial"/>
          <w:bCs/>
          <w:iCs/>
          <w:sz w:val="28"/>
          <w:szCs w:val="28"/>
        </w:rPr>
        <w:t>á</w:t>
      </w:r>
      <w:r w:rsidR="00E63897" w:rsidRPr="002872A6">
        <w:rPr>
          <w:rFonts w:ascii="Arial" w:eastAsia="Calibri" w:hAnsi="Arial" w:cs="Arial"/>
          <w:bCs/>
          <w:iCs/>
          <w:sz w:val="28"/>
          <w:szCs w:val="28"/>
        </w:rPr>
        <w:t>lidas en la acción de inconstitucionalidad 111/</w:t>
      </w:r>
      <w:r w:rsidR="00204CF6" w:rsidRPr="002872A6">
        <w:rPr>
          <w:rFonts w:ascii="Arial" w:eastAsia="Calibri" w:hAnsi="Arial" w:cs="Arial"/>
          <w:bCs/>
          <w:iCs/>
          <w:sz w:val="28"/>
          <w:szCs w:val="28"/>
        </w:rPr>
        <w:t>2019.</w:t>
      </w:r>
    </w:p>
    <w:p w14:paraId="5777B682" w14:textId="77777777" w:rsidR="00C45004" w:rsidRPr="00C45004" w:rsidRDefault="00C45004" w:rsidP="00C45004">
      <w:pPr>
        <w:pStyle w:val="Prrafodelista"/>
        <w:spacing w:line="360" w:lineRule="auto"/>
        <w:ind w:left="0"/>
        <w:jc w:val="both"/>
        <w:rPr>
          <w:rFonts w:ascii="Arial" w:hAnsi="Arial" w:cs="Arial"/>
          <w:b/>
          <w:bCs/>
          <w:sz w:val="28"/>
          <w:szCs w:val="28"/>
        </w:rPr>
      </w:pPr>
    </w:p>
    <w:p w14:paraId="67EDE56B" w14:textId="41ECE8E5" w:rsidR="00965787" w:rsidRPr="00C45004" w:rsidRDefault="00CF435A" w:rsidP="00914D8A">
      <w:pPr>
        <w:pStyle w:val="Prrafodelista"/>
        <w:numPr>
          <w:ilvl w:val="0"/>
          <w:numId w:val="15"/>
        </w:numPr>
        <w:spacing w:line="360" w:lineRule="auto"/>
        <w:ind w:left="0" w:hanging="567"/>
        <w:jc w:val="both"/>
        <w:rPr>
          <w:rFonts w:ascii="Arial" w:hAnsi="Arial" w:cs="Arial"/>
          <w:b/>
          <w:bCs/>
          <w:sz w:val="28"/>
          <w:szCs w:val="28"/>
        </w:rPr>
      </w:pPr>
      <w:r w:rsidRPr="00C45004">
        <w:rPr>
          <w:rFonts w:ascii="Arial" w:eastAsia="Calibri" w:hAnsi="Arial" w:cs="Arial"/>
          <w:bCs/>
          <w:sz w:val="28"/>
          <w:szCs w:val="28"/>
          <w:shd w:val="clear" w:color="auto" w:fill="FFFFFF" w:themeFill="background1"/>
          <w:lang w:val="es-MX"/>
        </w:rPr>
        <w:t xml:space="preserve">Sin embargo, respecto a la </w:t>
      </w:r>
      <w:r w:rsidR="00965787" w:rsidRPr="00C45004">
        <w:rPr>
          <w:rFonts w:ascii="Arial" w:hAnsi="Arial" w:cs="Arial"/>
          <w:bCs/>
          <w:sz w:val="28"/>
          <w:szCs w:val="28"/>
          <w:lang w:val="es-MX"/>
        </w:rPr>
        <w:t>expresión “</w:t>
      </w:r>
      <w:r w:rsidR="00965787" w:rsidRPr="00C45004">
        <w:rPr>
          <w:rFonts w:ascii="Arial" w:hAnsi="Arial" w:cs="Arial"/>
          <w:bCs/>
          <w:i/>
          <w:iCs/>
          <w:sz w:val="28"/>
          <w:szCs w:val="28"/>
          <w:lang w:val="es-MX"/>
        </w:rPr>
        <w:t>no haber sido suspendido</w:t>
      </w:r>
      <w:r w:rsidR="00965787" w:rsidRPr="00C45004">
        <w:rPr>
          <w:rFonts w:ascii="Arial" w:hAnsi="Arial" w:cs="Arial"/>
          <w:bCs/>
          <w:sz w:val="28"/>
          <w:szCs w:val="28"/>
          <w:lang w:val="es-MX"/>
        </w:rPr>
        <w:t>”,</w:t>
      </w:r>
      <w:r w:rsidR="008B22CC" w:rsidRPr="00C45004">
        <w:rPr>
          <w:rFonts w:ascii="Arial" w:hAnsi="Arial" w:cs="Arial"/>
          <w:bCs/>
          <w:sz w:val="28"/>
          <w:szCs w:val="28"/>
          <w:lang w:val="es-MX"/>
        </w:rPr>
        <w:t xml:space="preserve"> se consideró </w:t>
      </w:r>
      <w:r w:rsidR="00965787" w:rsidRPr="00C45004">
        <w:rPr>
          <w:rFonts w:ascii="Arial" w:hAnsi="Arial" w:cs="Arial"/>
          <w:bCs/>
          <w:sz w:val="28"/>
          <w:szCs w:val="28"/>
          <w:lang w:val="es-MX"/>
        </w:rPr>
        <w:t>inconstitucional</w:t>
      </w:r>
      <w:r w:rsidR="00670E22" w:rsidRPr="00C45004">
        <w:rPr>
          <w:rFonts w:ascii="Arial" w:hAnsi="Arial" w:cs="Arial"/>
          <w:bCs/>
          <w:sz w:val="28"/>
          <w:szCs w:val="28"/>
          <w:lang w:val="es-MX"/>
        </w:rPr>
        <w:t xml:space="preserve"> por una razón diversa</w:t>
      </w:r>
      <w:r w:rsidR="00965787" w:rsidRPr="00C45004">
        <w:rPr>
          <w:rFonts w:ascii="Arial" w:hAnsi="Arial" w:cs="Arial"/>
          <w:bCs/>
          <w:sz w:val="28"/>
          <w:szCs w:val="28"/>
          <w:lang w:val="es-MX"/>
        </w:rPr>
        <w:t>,</w:t>
      </w:r>
      <w:r w:rsidR="00670E22" w:rsidRPr="00C45004">
        <w:rPr>
          <w:rFonts w:ascii="Arial" w:hAnsi="Arial" w:cs="Arial"/>
          <w:bCs/>
          <w:sz w:val="28"/>
          <w:szCs w:val="28"/>
          <w:lang w:val="es-MX"/>
        </w:rPr>
        <w:t xml:space="preserve"> esto es,</w:t>
      </w:r>
      <w:r w:rsidR="00965787" w:rsidRPr="00C45004">
        <w:rPr>
          <w:rFonts w:ascii="Arial" w:hAnsi="Arial" w:cs="Arial"/>
          <w:bCs/>
          <w:sz w:val="28"/>
          <w:szCs w:val="28"/>
          <w:lang w:val="es-MX"/>
        </w:rPr>
        <w:t xml:space="preserve"> </w:t>
      </w:r>
      <w:r w:rsidR="00131E17">
        <w:rPr>
          <w:rFonts w:ascii="Arial" w:hAnsi="Arial" w:cs="Arial"/>
          <w:bCs/>
          <w:sz w:val="28"/>
          <w:szCs w:val="28"/>
          <w:lang w:val="es-MX"/>
        </w:rPr>
        <w:t xml:space="preserve">se determinó </w:t>
      </w:r>
      <w:r w:rsidR="00131E17">
        <w:rPr>
          <w:rFonts w:ascii="Arial" w:hAnsi="Arial" w:cs="Arial"/>
          <w:bCs/>
          <w:sz w:val="28"/>
          <w:szCs w:val="28"/>
          <w:lang w:val="es-MX"/>
        </w:rPr>
        <w:lastRenderedPageBreak/>
        <w:t xml:space="preserve">que </w:t>
      </w:r>
      <w:r w:rsidR="00965787" w:rsidRPr="00C45004">
        <w:rPr>
          <w:rFonts w:ascii="Arial" w:hAnsi="Arial" w:cs="Arial"/>
          <w:bCs/>
          <w:sz w:val="28"/>
          <w:szCs w:val="28"/>
          <w:lang w:val="es-MX"/>
        </w:rPr>
        <w:t>el legislador de</w:t>
      </w:r>
      <w:r w:rsidR="00315609">
        <w:rPr>
          <w:rFonts w:ascii="Arial" w:hAnsi="Arial" w:cs="Arial"/>
          <w:bCs/>
          <w:sz w:val="28"/>
          <w:szCs w:val="28"/>
          <w:lang w:val="es-MX"/>
        </w:rPr>
        <w:t>l Estado de</w:t>
      </w:r>
      <w:r w:rsidR="00965787" w:rsidRPr="00C45004">
        <w:rPr>
          <w:rFonts w:ascii="Arial" w:hAnsi="Arial" w:cs="Arial"/>
          <w:bCs/>
          <w:sz w:val="28"/>
          <w:szCs w:val="28"/>
          <w:lang w:val="es-MX"/>
        </w:rPr>
        <w:t xml:space="preserve"> Tamaulipas, </w:t>
      </w:r>
      <w:r w:rsidR="00965787" w:rsidRPr="00C45004">
        <w:rPr>
          <w:rFonts w:ascii="Arial" w:hAnsi="Arial" w:cs="Arial"/>
          <w:b/>
          <w:sz w:val="28"/>
          <w:szCs w:val="28"/>
          <w:lang w:val="es-MX"/>
        </w:rPr>
        <w:t>equiparó el vocablo "suspensión" como una forma de terminación definitiva de la relación administrativa entre el Estado y el servidor público</w:t>
      </w:r>
      <w:r w:rsidR="00965787" w:rsidRPr="00C45004">
        <w:rPr>
          <w:rFonts w:ascii="Arial" w:hAnsi="Arial" w:cs="Arial"/>
          <w:bCs/>
          <w:sz w:val="28"/>
          <w:szCs w:val="28"/>
          <w:lang w:val="es-MX"/>
        </w:rPr>
        <w:t xml:space="preserve"> que desempeña funciones ministeriales, policiales, periciales y de justicia alternativa; </w:t>
      </w:r>
      <w:r w:rsidR="00965787" w:rsidRPr="00C45004">
        <w:rPr>
          <w:rFonts w:ascii="Arial" w:hAnsi="Arial" w:cs="Arial"/>
          <w:b/>
          <w:sz w:val="28"/>
          <w:szCs w:val="28"/>
          <w:lang w:val="es-MX"/>
        </w:rPr>
        <w:t xml:space="preserve">equiparación que es contraria al artículo 123, apartado B, fracción XIII, de la Constitución </w:t>
      </w:r>
      <w:r w:rsidR="00905A49" w:rsidRPr="00C45004">
        <w:rPr>
          <w:rFonts w:ascii="Arial" w:hAnsi="Arial" w:cs="Arial"/>
          <w:b/>
          <w:sz w:val="28"/>
          <w:szCs w:val="28"/>
          <w:lang w:val="es-MX"/>
        </w:rPr>
        <w:t>Federal</w:t>
      </w:r>
      <w:r w:rsidR="00965787" w:rsidRPr="00C45004">
        <w:rPr>
          <w:rFonts w:ascii="Arial" w:hAnsi="Arial" w:cs="Arial"/>
          <w:bCs/>
          <w:sz w:val="28"/>
          <w:szCs w:val="28"/>
          <w:lang w:val="es-MX"/>
        </w:rPr>
        <w:t xml:space="preserve">, </w:t>
      </w:r>
      <w:r w:rsidR="00965787" w:rsidRPr="006263BD">
        <w:rPr>
          <w:rFonts w:ascii="Arial" w:hAnsi="Arial" w:cs="Arial"/>
          <w:bCs/>
          <w:sz w:val="28"/>
          <w:szCs w:val="28"/>
          <w:lang w:val="es-MX"/>
        </w:rPr>
        <w:t>en virtud de que prevé un supuesto para impedir la reinstalación de algún integrante de la Fiscalía General del Estado que desempeñe este tipo de funciones sustantivas,</w:t>
      </w:r>
      <w:r w:rsidR="00965787" w:rsidRPr="00C45004">
        <w:rPr>
          <w:rFonts w:ascii="Arial" w:hAnsi="Arial" w:cs="Arial"/>
          <w:bCs/>
          <w:sz w:val="28"/>
          <w:szCs w:val="28"/>
          <w:lang w:val="es-MX"/>
        </w:rPr>
        <w:t xml:space="preserve"> que propiamente no puede entenderse como una causa de terminación definitiva, </w:t>
      </w:r>
      <w:r w:rsidR="0093041D" w:rsidRPr="00C45004">
        <w:rPr>
          <w:rFonts w:ascii="Arial" w:hAnsi="Arial" w:cs="Arial"/>
          <w:bCs/>
          <w:sz w:val="28"/>
          <w:szCs w:val="28"/>
          <w:lang w:val="es-MX"/>
        </w:rPr>
        <w:t>desconociendo</w:t>
      </w:r>
      <w:r w:rsidR="00965787" w:rsidRPr="00C45004">
        <w:rPr>
          <w:rFonts w:ascii="Arial" w:hAnsi="Arial" w:cs="Arial"/>
          <w:bCs/>
          <w:sz w:val="28"/>
          <w:szCs w:val="28"/>
          <w:lang w:val="es-MX"/>
        </w:rPr>
        <w:t xml:space="preserve"> el contenido del precepto constitucional mencionado </w:t>
      </w:r>
      <w:r w:rsidR="002449CC" w:rsidRPr="00C45004">
        <w:rPr>
          <w:rFonts w:ascii="Arial" w:hAnsi="Arial" w:cs="Arial"/>
          <w:bCs/>
          <w:sz w:val="28"/>
          <w:szCs w:val="28"/>
          <w:lang w:val="es-MX"/>
        </w:rPr>
        <w:t xml:space="preserve">ya que </w:t>
      </w:r>
      <w:r w:rsidR="00965787" w:rsidRPr="00C45004">
        <w:rPr>
          <w:rFonts w:ascii="Arial" w:hAnsi="Arial" w:cs="Arial"/>
          <w:bCs/>
          <w:sz w:val="28"/>
          <w:szCs w:val="28"/>
          <w:lang w:val="es-MX"/>
        </w:rPr>
        <w:t xml:space="preserve">actualiza la prohibición de reincorporación de los miembros de instituciones de procuración de justicia, </w:t>
      </w:r>
      <w:r w:rsidR="00965787" w:rsidRPr="00C45004">
        <w:rPr>
          <w:rFonts w:ascii="Arial" w:hAnsi="Arial" w:cs="Arial"/>
          <w:b/>
          <w:sz w:val="28"/>
          <w:szCs w:val="28"/>
          <w:lang w:val="es-MX"/>
        </w:rPr>
        <w:t>únicamente a los casos en que exista una causa de terminación definitiva de la relación administrativa y no a una interrupción provisional o temporal</w:t>
      </w:r>
      <w:r w:rsidR="00965787" w:rsidRPr="00C45004">
        <w:rPr>
          <w:rFonts w:ascii="Arial" w:hAnsi="Arial" w:cs="Arial"/>
          <w:bCs/>
          <w:sz w:val="28"/>
          <w:szCs w:val="28"/>
          <w:lang w:val="es-MX"/>
        </w:rPr>
        <w:t xml:space="preserve"> en el desempeño del cargo como implica, en sí misma, la figura de la suspensión.</w:t>
      </w:r>
    </w:p>
    <w:p w14:paraId="675D1E67" w14:textId="77777777" w:rsidR="00C45004" w:rsidRPr="00F75B32" w:rsidRDefault="00C45004" w:rsidP="00F75B32">
      <w:pPr>
        <w:pStyle w:val="Prrafodelista"/>
        <w:spacing w:line="360" w:lineRule="auto"/>
        <w:ind w:left="0"/>
        <w:jc w:val="both"/>
        <w:rPr>
          <w:rFonts w:ascii="Arial" w:hAnsi="Arial" w:cs="Arial"/>
          <w:b/>
          <w:bCs/>
          <w:sz w:val="28"/>
          <w:szCs w:val="28"/>
        </w:rPr>
      </w:pPr>
    </w:p>
    <w:p w14:paraId="7A6437CC" w14:textId="2AF011CB" w:rsidR="00C45004" w:rsidRPr="005258E3" w:rsidRDefault="00C45004" w:rsidP="00D85AF8">
      <w:pPr>
        <w:pStyle w:val="Prrafodelista"/>
        <w:numPr>
          <w:ilvl w:val="0"/>
          <w:numId w:val="28"/>
        </w:numPr>
        <w:spacing w:line="276" w:lineRule="auto"/>
        <w:jc w:val="both"/>
        <w:rPr>
          <w:rFonts w:ascii="Arial" w:hAnsi="Arial" w:cs="Arial"/>
          <w:b/>
          <w:sz w:val="28"/>
          <w:szCs w:val="28"/>
        </w:rPr>
      </w:pPr>
      <w:r w:rsidRPr="005258E3">
        <w:rPr>
          <w:rFonts w:ascii="Arial" w:hAnsi="Arial" w:cs="Arial"/>
          <w:b/>
          <w:sz w:val="28"/>
          <w:szCs w:val="28"/>
        </w:rPr>
        <w:t>Razones de la concurrencia</w:t>
      </w:r>
      <w:r w:rsidR="00601BA6">
        <w:rPr>
          <w:rFonts w:ascii="Arial" w:hAnsi="Arial" w:cs="Arial"/>
          <w:b/>
          <w:sz w:val="28"/>
          <w:szCs w:val="28"/>
        </w:rPr>
        <w:t>.</w:t>
      </w:r>
    </w:p>
    <w:p w14:paraId="71BD79E7" w14:textId="77777777" w:rsidR="00C45004" w:rsidRPr="00EB185B" w:rsidRDefault="00C45004" w:rsidP="00C45004">
      <w:pPr>
        <w:pStyle w:val="Prrafodelista"/>
        <w:ind w:left="1080"/>
        <w:rPr>
          <w:rFonts w:ascii="Arial" w:hAnsi="Arial" w:cs="Arial"/>
          <w:sz w:val="28"/>
          <w:szCs w:val="28"/>
        </w:rPr>
      </w:pPr>
    </w:p>
    <w:p w14:paraId="5AB17BB8" w14:textId="33DF8AB3" w:rsidR="00A67B62" w:rsidRDefault="008A4EBE" w:rsidP="00A67B62">
      <w:pPr>
        <w:pStyle w:val="Prrafodelista"/>
        <w:numPr>
          <w:ilvl w:val="0"/>
          <w:numId w:val="15"/>
        </w:numPr>
        <w:spacing w:line="360" w:lineRule="auto"/>
        <w:ind w:left="0" w:hanging="567"/>
        <w:jc w:val="both"/>
        <w:rPr>
          <w:rFonts w:ascii="Arial" w:hAnsi="Arial" w:cs="Arial"/>
          <w:sz w:val="28"/>
          <w:szCs w:val="28"/>
        </w:rPr>
      </w:pPr>
      <w:r w:rsidRPr="00DC1CB4">
        <w:rPr>
          <w:rFonts w:ascii="Arial" w:hAnsi="Arial" w:cs="Arial"/>
          <w:sz w:val="28"/>
          <w:szCs w:val="28"/>
        </w:rPr>
        <w:t xml:space="preserve">En </w:t>
      </w:r>
      <w:r w:rsidR="000C79F3" w:rsidRPr="00DC1CB4">
        <w:rPr>
          <w:rFonts w:ascii="Arial" w:hAnsi="Arial" w:cs="Arial"/>
          <w:sz w:val="28"/>
          <w:szCs w:val="28"/>
        </w:rPr>
        <w:t>este apartado</w:t>
      </w:r>
      <w:r w:rsidRPr="00DC1CB4">
        <w:rPr>
          <w:rFonts w:ascii="Arial" w:hAnsi="Arial" w:cs="Arial"/>
          <w:sz w:val="28"/>
          <w:szCs w:val="28"/>
        </w:rPr>
        <w:t>,</w:t>
      </w:r>
      <w:r w:rsidR="00797E56" w:rsidRPr="00DC1CB4">
        <w:rPr>
          <w:rFonts w:ascii="Arial" w:hAnsi="Arial" w:cs="Arial"/>
          <w:sz w:val="28"/>
          <w:szCs w:val="28"/>
        </w:rPr>
        <w:t xml:space="preserve"> si bien </w:t>
      </w:r>
      <w:r w:rsidR="005C2C10" w:rsidRPr="00DC1CB4">
        <w:rPr>
          <w:rFonts w:ascii="Arial" w:hAnsi="Arial" w:cs="Arial"/>
          <w:sz w:val="28"/>
          <w:szCs w:val="28"/>
        </w:rPr>
        <w:t>coincido</w:t>
      </w:r>
      <w:r w:rsidR="00797E56" w:rsidRPr="00DC1CB4">
        <w:rPr>
          <w:rFonts w:ascii="Arial" w:hAnsi="Arial" w:cs="Arial"/>
          <w:sz w:val="28"/>
          <w:szCs w:val="28"/>
        </w:rPr>
        <w:t xml:space="preserve"> </w:t>
      </w:r>
      <w:r w:rsidR="005C2C10" w:rsidRPr="00DC1CB4">
        <w:rPr>
          <w:rFonts w:ascii="Arial" w:hAnsi="Arial" w:cs="Arial"/>
          <w:sz w:val="28"/>
          <w:szCs w:val="28"/>
        </w:rPr>
        <w:t xml:space="preserve">con </w:t>
      </w:r>
      <w:r w:rsidR="00797E56" w:rsidRPr="00DC1CB4">
        <w:rPr>
          <w:rFonts w:ascii="Arial" w:hAnsi="Arial" w:cs="Arial"/>
          <w:sz w:val="28"/>
          <w:szCs w:val="28"/>
        </w:rPr>
        <w:t xml:space="preserve">declarar la invalidez de </w:t>
      </w:r>
      <w:r w:rsidR="00687A6C" w:rsidRPr="00DC1CB4">
        <w:rPr>
          <w:rFonts w:ascii="Arial" w:hAnsi="Arial" w:cs="Arial"/>
          <w:sz w:val="28"/>
          <w:szCs w:val="28"/>
        </w:rPr>
        <w:t xml:space="preserve">las normas </w:t>
      </w:r>
      <w:r w:rsidR="00970527" w:rsidRPr="00DC1CB4">
        <w:rPr>
          <w:rFonts w:ascii="Arial" w:hAnsi="Arial" w:cs="Arial"/>
          <w:sz w:val="28"/>
          <w:szCs w:val="28"/>
        </w:rPr>
        <w:t xml:space="preserve">impugnadas por las razones </w:t>
      </w:r>
      <w:r w:rsidR="003275FD" w:rsidRPr="00DC1CB4">
        <w:rPr>
          <w:rFonts w:ascii="Arial" w:hAnsi="Arial" w:cs="Arial"/>
          <w:sz w:val="28"/>
          <w:szCs w:val="28"/>
        </w:rPr>
        <w:t>referidas</w:t>
      </w:r>
      <w:r w:rsidR="00D85AF8">
        <w:rPr>
          <w:rFonts w:ascii="Arial" w:hAnsi="Arial" w:cs="Arial"/>
          <w:sz w:val="28"/>
          <w:szCs w:val="28"/>
        </w:rPr>
        <w:t xml:space="preserve"> en la resolución</w:t>
      </w:r>
      <w:r w:rsidR="00797E56" w:rsidRPr="00DC1CB4">
        <w:rPr>
          <w:rFonts w:ascii="Arial" w:hAnsi="Arial" w:cs="Arial"/>
          <w:sz w:val="28"/>
          <w:szCs w:val="28"/>
        </w:rPr>
        <w:t xml:space="preserve">, estimo que </w:t>
      </w:r>
      <w:r w:rsidR="00E509B5" w:rsidRPr="00DC1CB4">
        <w:rPr>
          <w:rFonts w:ascii="Arial" w:hAnsi="Arial" w:cs="Arial"/>
          <w:sz w:val="28"/>
          <w:szCs w:val="28"/>
        </w:rPr>
        <w:t>la</w:t>
      </w:r>
      <w:r w:rsidR="00797E56" w:rsidRPr="00DC1CB4">
        <w:rPr>
          <w:rFonts w:ascii="Arial" w:hAnsi="Arial" w:cs="Arial"/>
          <w:sz w:val="28"/>
          <w:szCs w:val="28"/>
        </w:rPr>
        <w:t xml:space="preserve"> inconstitucionalidad de la porción </w:t>
      </w:r>
      <w:r w:rsidR="005637CD" w:rsidRPr="00DC1CB4">
        <w:rPr>
          <w:rFonts w:ascii="Arial" w:hAnsi="Arial" w:cs="Arial"/>
          <w:sz w:val="28"/>
          <w:szCs w:val="28"/>
        </w:rPr>
        <w:t>“</w:t>
      </w:r>
      <w:r w:rsidR="00797E56" w:rsidRPr="00DC1CB4">
        <w:rPr>
          <w:rFonts w:ascii="Arial" w:hAnsi="Arial" w:cs="Arial"/>
          <w:sz w:val="28"/>
          <w:szCs w:val="28"/>
        </w:rPr>
        <w:t>suspensión</w:t>
      </w:r>
      <w:r w:rsidR="005637CD" w:rsidRPr="00DC1CB4">
        <w:rPr>
          <w:rFonts w:ascii="Arial" w:hAnsi="Arial" w:cs="Arial"/>
          <w:sz w:val="28"/>
          <w:szCs w:val="28"/>
        </w:rPr>
        <w:t>”</w:t>
      </w:r>
      <w:r w:rsidR="00797E56" w:rsidRPr="00DC1CB4">
        <w:rPr>
          <w:rFonts w:ascii="Arial" w:hAnsi="Arial" w:cs="Arial"/>
          <w:sz w:val="28"/>
          <w:szCs w:val="28"/>
        </w:rPr>
        <w:t xml:space="preserve"> se actualiza por razones distintas</w:t>
      </w:r>
      <w:r w:rsidR="00976156" w:rsidRPr="00DC1CB4">
        <w:rPr>
          <w:rFonts w:ascii="Arial" w:hAnsi="Arial" w:cs="Arial"/>
          <w:sz w:val="28"/>
          <w:szCs w:val="28"/>
        </w:rPr>
        <w:t xml:space="preserve"> a las </w:t>
      </w:r>
      <w:r w:rsidR="00687A6C" w:rsidRPr="00DC1CB4">
        <w:rPr>
          <w:rFonts w:ascii="Arial" w:hAnsi="Arial" w:cs="Arial"/>
          <w:sz w:val="28"/>
          <w:szCs w:val="28"/>
        </w:rPr>
        <w:t>ex</w:t>
      </w:r>
      <w:r w:rsidR="00976156" w:rsidRPr="00DC1CB4">
        <w:rPr>
          <w:rFonts w:ascii="Arial" w:hAnsi="Arial" w:cs="Arial"/>
          <w:sz w:val="28"/>
          <w:szCs w:val="28"/>
        </w:rPr>
        <w:t xml:space="preserve">puestas </w:t>
      </w:r>
      <w:r w:rsidR="00E21E6E" w:rsidRPr="00DC1CB4">
        <w:rPr>
          <w:rFonts w:ascii="Arial" w:hAnsi="Arial" w:cs="Arial"/>
          <w:sz w:val="28"/>
          <w:szCs w:val="28"/>
        </w:rPr>
        <w:t xml:space="preserve">en la sentencia. </w:t>
      </w:r>
      <w:r w:rsidR="00101CA1" w:rsidRPr="00DC1CB4">
        <w:rPr>
          <w:rFonts w:ascii="Arial" w:hAnsi="Arial" w:cs="Arial"/>
          <w:sz w:val="28"/>
          <w:szCs w:val="28"/>
        </w:rPr>
        <w:t>Es</w:t>
      </w:r>
      <w:r w:rsidR="00DC1CB4" w:rsidRPr="00DC1CB4">
        <w:rPr>
          <w:rFonts w:ascii="Arial" w:hAnsi="Arial" w:cs="Arial"/>
          <w:sz w:val="28"/>
          <w:szCs w:val="28"/>
        </w:rPr>
        <w:t xml:space="preserve"> decir, </w:t>
      </w:r>
      <w:r w:rsidR="00DC1CB4">
        <w:rPr>
          <w:rFonts w:ascii="Arial" w:hAnsi="Arial" w:cs="Arial"/>
          <w:sz w:val="28"/>
          <w:szCs w:val="28"/>
        </w:rPr>
        <w:t>c</w:t>
      </w:r>
      <w:r w:rsidR="00174F1E" w:rsidRPr="00DC1CB4">
        <w:rPr>
          <w:rFonts w:ascii="Arial" w:hAnsi="Arial" w:cs="Arial"/>
          <w:sz w:val="28"/>
          <w:szCs w:val="28"/>
        </w:rPr>
        <w:t xml:space="preserve">onsidero que la invalidez deriva de una violación al derecho a acceder a cargos públicos en condiciones de igualdad. </w:t>
      </w:r>
    </w:p>
    <w:p w14:paraId="7CA1E7C0" w14:textId="77777777" w:rsidR="00A67B62" w:rsidRDefault="00A67B62" w:rsidP="00CB2FCB">
      <w:pPr>
        <w:pStyle w:val="Prrafodelista"/>
        <w:spacing w:line="360" w:lineRule="auto"/>
        <w:ind w:left="0"/>
        <w:jc w:val="both"/>
        <w:rPr>
          <w:rFonts w:ascii="Arial" w:hAnsi="Arial" w:cs="Arial"/>
          <w:sz w:val="28"/>
          <w:szCs w:val="28"/>
        </w:rPr>
      </w:pPr>
    </w:p>
    <w:p w14:paraId="23C55252" w14:textId="3C197FE2" w:rsidR="00D53A82" w:rsidRPr="00796018" w:rsidRDefault="00A67B62" w:rsidP="00D53A82">
      <w:pPr>
        <w:pStyle w:val="Prrafodelista"/>
        <w:numPr>
          <w:ilvl w:val="0"/>
          <w:numId w:val="15"/>
        </w:numPr>
        <w:spacing w:line="360" w:lineRule="auto"/>
        <w:ind w:left="0" w:hanging="567"/>
        <w:jc w:val="both"/>
        <w:rPr>
          <w:rFonts w:ascii="Arial" w:hAnsi="Arial" w:cs="Arial"/>
          <w:b/>
          <w:sz w:val="28"/>
          <w:szCs w:val="28"/>
        </w:rPr>
      </w:pPr>
      <w:r w:rsidRPr="00A67B62">
        <w:rPr>
          <w:rFonts w:ascii="Arial" w:hAnsi="Arial" w:cs="Arial"/>
          <w:bCs/>
          <w:sz w:val="28"/>
          <w:szCs w:val="28"/>
        </w:rPr>
        <w:t xml:space="preserve">Desde mi punto de vista, la exclusión para ocupar los cargos mencionados por </w:t>
      </w:r>
      <w:r w:rsidR="00CB2FCB">
        <w:rPr>
          <w:rFonts w:ascii="Arial" w:hAnsi="Arial" w:cs="Arial"/>
          <w:bCs/>
          <w:sz w:val="28"/>
          <w:szCs w:val="28"/>
        </w:rPr>
        <w:t xml:space="preserve">haber sido “suspendido” </w:t>
      </w:r>
      <w:r w:rsidRPr="00A67B62">
        <w:rPr>
          <w:rFonts w:ascii="Arial" w:hAnsi="Arial" w:cs="Arial"/>
          <w:b/>
          <w:sz w:val="28"/>
          <w:szCs w:val="28"/>
        </w:rPr>
        <w:t>es también</w:t>
      </w:r>
      <w:r w:rsidR="00EB321E">
        <w:rPr>
          <w:rFonts w:ascii="Arial" w:hAnsi="Arial" w:cs="Arial"/>
          <w:b/>
          <w:sz w:val="28"/>
          <w:szCs w:val="28"/>
        </w:rPr>
        <w:t>,</w:t>
      </w:r>
      <w:r w:rsidR="00EB321E" w:rsidRPr="00EB321E">
        <w:rPr>
          <w:rFonts w:ascii="Arial" w:hAnsi="Arial" w:cs="Arial"/>
          <w:b/>
          <w:bCs/>
          <w:sz w:val="28"/>
          <w:szCs w:val="28"/>
          <w:lang w:val="es-MX"/>
        </w:rPr>
        <w:t xml:space="preserve"> ampliamente </w:t>
      </w:r>
      <w:proofErr w:type="spellStart"/>
      <w:r w:rsidR="00EB321E" w:rsidRPr="00EB321E">
        <w:rPr>
          <w:rFonts w:ascii="Arial" w:hAnsi="Arial" w:cs="Arial"/>
          <w:b/>
          <w:bCs/>
          <w:sz w:val="28"/>
          <w:szCs w:val="28"/>
          <w:lang w:val="es-MX"/>
        </w:rPr>
        <w:t>sobre</w:t>
      </w:r>
      <w:r w:rsidR="00315609">
        <w:rPr>
          <w:rFonts w:ascii="Arial" w:hAnsi="Arial" w:cs="Arial"/>
          <w:b/>
          <w:bCs/>
          <w:sz w:val="28"/>
          <w:szCs w:val="28"/>
          <w:lang w:val="es-MX"/>
        </w:rPr>
        <w:t>-</w:t>
      </w:r>
      <w:r w:rsidR="00EB321E" w:rsidRPr="00EB321E">
        <w:rPr>
          <w:rFonts w:ascii="Arial" w:hAnsi="Arial" w:cs="Arial"/>
          <w:b/>
          <w:bCs/>
          <w:sz w:val="28"/>
          <w:szCs w:val="28"/>
          <w:lang w:val="es-MX"/>
        </w:rPr>
        <w:t>inclusivo</w:t>
      </w:r>
      <w:proofErr w:type="spellEnd"/>
      <w:r w:rsidR="00EB321E" w:rsidRPr="00EB321E">
        <w:rPr>
          <w:rFonts w:ascii="Arial" w:hAnsi="Arial" w:cs="Arial"/>
          <w:b/>
          <w:bCs/>
          <w:sz w:val="28"/>
          <w:szCs w:val="28"/>
          <w:lang w:val="es-MX"/>
        </w:rPr>
        <w:t xml:space="preserve"> y general</w:t>
      </w:r>
      <w:r w:rsidRPr="00EB321E">
        <w:rPr>
          <w:rFonts w:ascii="Arial" w:hAnsi="Arial" w:cs="Arial"/>
          <w:bCs/>
          <w:sz w:val="28"/>
          <w:szCs w:val="28"/>
        </w:rPr>
        <w:t xml:space="preserve">, </w:t>
      </w:r>
      <w:r w:rsidR="00D85AF8">
        <w:rPr>
          <w:rFonts w:ascii="Arial" w:hAnsi="Arial" w:cs="Arial"/>
          <w:bCs/>
          <w:sz w:val="28"/>
          <w:szCs w:val="28"/>
        </w:rPr>
        <w:t>pues</w:t>
      </w:r>
      <w:r w:rsidRPr="00EB321E">
        <w:rPr>
          <w:rFonts w:ascii="Arial" w:hAnsi="Arial" w:cs="Arial"/>
          <w:bCs/>
          <w:sz w:val="28"/>
          <w:szCs w:val="28"/>
        </w:rPr>
        <w:t xml:space="preserve"> al igual que las diversas sanciones analizadas −destitución e inhabilitación</w:t>
      </w:r>
      <w:r w:rsidRPr="00796018">
        <w:rPr>
          <w:rFonts w:ascii="Arial" w:hAnsi="Arial" w:cs="Arial"/>
          <w:b/>
          <w:sz w:val="28"/>
          <w:szCs w:val="28"/>
        </w:rPr>
        <w:t xml:space="preserve">− comprende un gran número </w:t>
      </w:r>
      <w:r w:rsidRPr="00796018">
        <w:rPr>
          <w:rFonts w:ascii="Arial" w:hAnsi="Arial" w:cs="Arial"/>
          <w:b/>
          <w:sz w:val="28"/>
          <w:szCs w:val="28"/>
        </w:rPr>
        <w:lastRenderedPageBreak/>
        <w:t xml:space="preserve">de posibles supuestos, </w:t>
      </w:r>
      <w:r w:rsidR="00D3393A" w:rsidRPr="00796018">
        <w:rPr>
          <w:rFonts w:ascii="Arial" w:hAnsi="Arial" w:cs="Arial"/>
          <w:b/>
          <w:sz w:val="28"/>
          <w:szCs w:val="28"/>
        </w:rPr>
        <w:t>ya que</w:t>
      </w:r>
      <w:r w:rsidRPr="00796018">
        <w:rPr>
          <w:rFonts w:ascii="Arial" w:hAnsi="Arial" w:cs="Arial"/>
          <w:b/>
          <w:sz w:val="28"/>
          <w:szCs w:val="28"/>
        </w:rPr>
        <w:t xml:space="preserve"> no distingue el tipo de responsabilidad, la gravedad o temporalidad de la conducta</w:t>
      </w:r>
      <w:r w:rsidR="00B87020" w:rsidRPr="00796018">
        <w:rPr>
          <w:rFonts w:ascii="Arial" w:hAnsi="Arial" w:cs="Arial"/>
          <w:b/>
          <w:sz w:val="28"/>
          <w:szCs w:val="28"/>
        </w:rPr>
        <w:t>.</w:t>
      </w:r>
      <w:r w:rsidRPr="00796018">
        <w:rPr>
          <w:rFonts w:ascii="Arial" w:hAnsi="Arial" w:cs="Arial"/>
          <w:b/>
          <w:sz w:val="28"/>
          <w:szCs w:val="28"/>
        </w:rPr>
        <w:t xml:space="preserve"> </w:t>
      </w:r>
    </w:p>
    <w:p w14:paraId="4E7B278B" w14:textId="77777777" w:rsidR="005E02CF" w:rsidRPr="00796018" w:rsidRDefault="005E02CF" w:rsidP="005E02CF">
      <w:pPr>
        <w:pStyle w:val="Prrafodelista"/>
        <w:spacing w:line="360" w:lineRule="auto"/>
        <w:ind w:left="0"/>
        <w:jc w:val="both"/>
        <w:rPr>
          <w:rFonts w:ascii="Arial" w:hAnsi="Arial" w:cs="Arial"/>
          <w:b/>
          <w:sz w:val="28"/>
          <w:szCs w:val="28"/>
        </w:rPr>
      </w:pPr>
    </w:p>
    <w:p w14:paraId="699D612A" w14:textId="2D438AEC" w:rsidR="00174F1E" w:rsidRDefault="00CE592A" w:rsidP="008B33CF">
      <w:pPr>
        <w:pStyle w:val="Prrafodelista"/>
        <w:numPr>
          <w:ilvl w:val="0"/>
          <w:numId w:val="15"/>
        </w:numPr>
        <w:spacing w:line="360" w:lineRule="auto"/>
        <w:ind w:left="0" w:hanging="567"/>
        <w:jc w:val="both"/>
        <w:rPr>
          <w:rFonts w:ascii="Arial" w:hAnsi="Arial" w:cs="Arial"/>
          <w:sz w:val="28"/>
          <w:szCs w:val="28"/>
        </w:rPr>
      </w:pPr>
      <w:r w:rsidRPr="00BE434D">
        <w:rPr>
          <w:rFonts w:ascii="Arial" w:hAnsi="Arial" w:cs="Arial"/>
          <w:sz w:val="28"/>
          <w:szCs w:val="28"/>
        </w:rPr>
        <w:t xml:space="preserve">En ese </w:t>
      </w:r>
      <w:r w:rsidR="00BE434D" w:rsidRPr="00BE434D">
        <w:rPr>
          <w:rFonts w:ascii="Arial" w:hAnsi="Arial" w:cs="Arial"/>
          <w:sz w:val="28"/>
          <w:szCs w:val="28"/>
        </w:rPr>
        <w:t xml:space="preserve">sentido, </w:t>
      </w:r>
      <w:r w:rsidR="00BE434D">
        <w:rPr>
          <w:rFonts w:ascii="Arial" w:hAnsi="Arial" w:cs="Arial"/>
          <w:sz w:val="28"/>
          <w:szCs w:val="28"/>
        </w:rPr>
        <w:t xml:space="preserve">estimo </w:t>
      </w:r>
      <w:r w:rsidR="00174F1E" w:rsidRPr="00BE434D">
        <w:rPr>
          <w:rFonts w:ascii="Arial" w:hAnsi="Arial" w:cs="Arial"/>
          <w:sz w:val="28"/>
          <w:szCs w:val="28"/>
        </w:rPr>
        <w:t>que</w:t>
      </w:r>
      <w:r w:rsidR="00BE434D">
        <w:rPr>
          <w:rFonts w:ascii="Arial" w:hAnsi="Arial" w:cs="Arial"/>
          <w:sz w:val="28"/>
          <w:szCs w:val="28"/>
        </w:rPr>
        <w:t>,</w:t>
      </w:r>
      <w:r w:rsidR="0060043C">
        <w:rPr>
          <w:rFonts w:ascii="Arial" w:hAnsi="Arial" w:cs="Arial"/>
          <w:sz w:val="28"/>
          <w:szCs w:val="28"/>
        </w:rPr>
        <w:t xml:space="preserve"> </w:t>
      </w:r>
      <w:r w:rsidR="000804BD">
        <w:rPr>
          <w:rFonts w:ascii="Arial" w:hAnsi="Arial" w:cs="Arial"/>
          <w:sz w:val="28"/>
          <w:szCs w:val="28"/>
        </w:rPr>
        <w:t xml:space="preserve">el </w:t>
      </w:r>
      <w:r w:rsidR="0060043C">
        <w:rPr>
          <w:rFonts w:ascii="Arial" w:hAnsi="Arial" w:cs="Arial"/>
          <w:sz w:val="28"/>
          <w:szCs w:val="28"/>
        </w:rPr>
        <w:t>requis</w:t>
      </w:r>
      <w:r w:rsidR="000804BD">
        <w:rPr>
          <w:rFonts w:ascii="Arial" w:hAnsi="Arial" w:cs="Arial"/>
          <w:sz w:val="28"/>
          <w:szCs w:val="28"/>
        </w:rPr>
        <w:t>ito</w:t>
      </w:r>
      <w:r w:rsidR="00BE434D">
        <w:rPr>
          <w:rFonts w:ascii="Arial" w:hAnsi="Arial" w:cs="Arial"/>
          <w:sz w:val="28"/>
          <w:szCs w:val="28"/>
        </w:rPr>
        <w:t xml:space="preserve"> </w:t>
      </w:r>
      <w:r w:rsidR="000804BD">
        <w:rPr>
          <w:rFonts w:ascii="Arial" w:hAnsi="Arial" w:cs="Arial"/>
          <w:sz w:val="28"/>
          <w:szCs w:val="28"/>
        </w:rPr>
        <w:t xml:space="preserve">no </w:t>
      </w:r>
      <w:r w:rsidR="00174F1E" w:rsidRPr="00BE434D">
        <w:rPr>
          <w:rFonts w:ascii="Arial" w:hAnsi="Arial" w:cs="Arial"/>
          <w:sz w:val="28"/>
          <w:szCs w:val="28"/>
        </w:rPr>
        <w:t>haber sido suspendido por resolución firme</w:t>
      </w:r>
      <w:r w:rsidR="005E02CF">
        <w:rPr>
          <w:rFonts w:ascii="Arial" w:hAnsi="Arial" w:cs="Arial"/>
          <w:sz w:val="28"/>
          <w:szCs w:val="28"/>
        </w:rPr>
        <w:t>,</w:t>
      </w:r>
      <w:r w:rsidR="00174F1E" w:rsidRPr="00BE434D">
        <w:rPr>
          <w:rFonts w:ascii="Arial" w:hAnsi="Arial" w:cs="Arial"/>
          <w:sz w:val="28"/>
          <w:szCs w:val="28"/>
        </w:rPr>
        <w:t xml:space="preserve"> no es un requisito razonable para garantizar el perfil necesario para desempeñar adecuadamente los cargos de Fiscal Especializado y Vicefiscal</w:t>
      </w:r>
      <w:r w:rsidR="00CF34D0">
        <w:rPr>
          <w:rFonts w:ascii="Arial" w:hAnsi="Arial" w:cs="Arial"/>
          <w:sz w:val="28"/>
          <w:szCs w:val="28"/>
        </w:rPr>
        <w:t xml:space="preserve">. Pues </w:t>
      </w:r>
      <w:r w:rsidR="00174F1E" w:rsidRPr="00BE434D">
        <w:rPr>
          <w:rFonts w:ascii="Arial" w:hAnsi="Arial" w:cs="Arial"/>
          <w:sz w:val="28"/>
          <w:szCs w:val="28"/>
        </w:rPr>
        <w:t xml:space="preserve">se trata de un requisito </w:t>
      </w:r>
      <w:proofErr w:type="spellStart"/>
      <w:r w:rsidR="00174F1E" w:rsidRPr="00BE434D">
        <w:rPr>
          <w:rFonts w:ascii="Arial" w:hAnsi="Arial" w:cs="Arial"/>
          <w:sz w:val="28"/>
          <w:szCs w:val="28"/>
        </w:rPr>
        <w:t>sobre</w:t>
      </w:r>
      <w:r w:rsidR="00315609">
        <w:rPr>
          <w:rFonts w:ascii="Arial" w:hAnsi="Arial" w:cs="Arial"/>
          <w:sz w:val="28"/>
          <w:szCs w:val="28"/>
        </w:rPr>
        <w:t>-</w:t>
      </w:r>
      <w:r w:rsidR="00174F1E" w:rsidRPr="00BE434D">
        <w:rPr>
          <w:rFonts w:ascii="Arial" w:hAnsi="Arial" w:cs="Arial"/>
          <w:sz w:val="28"/>
          <w:szCs w:val="28"/>
        </w:rPr>
        <w:t>inclusivo</w:t>
      </w:r>
      <w:proofErr w:type="spellEnd"/>
      <w:r w:rsidR="00174F1E" w:rsidRPr="00BE434D">
        <w:rPr>
          <w:rFonts w:ascii="Arial" w:hAnsi="Arial" w:cs="Arial"/>
          <w:sz w:val="28"/>
          <w:szCs w:val="28"/>
        </w:rPr>
        <w:t xml:space="preserve"> que impide injustificadamente el acceso al cargo a personas que tienen el perfil para desempeñarlo eficazmente.</w:t>
      </w:r>
    </w:p>
    <w:p w14:paraId="477655D2" w14:textId="77777777" w:rsidR="0024495C" w:rsidRPr="0024495C" w:rsidRDefault="0024495C" w:rsidP="0024495C">
      <w:pPr>
        <w:pStyle w:val="Prrafodelista"/>
        <w:rPr>
          <w:rFonts w:ascii="Arial" w:hAnsi="Arial" w:cs="Arial"/>
          <w:sz w:val="28"/>
          <w:szCs w:val="28"/>
        </w:rPr>
      </w:pPr>
    </w:p>
    <w:p w14:paraId="205DBF08" w14:textId="5AC8BA43" w:rsidR="0024495C" w:rsidRPr="00A20C8A" w:rsidRDefault="00D01DC4" w:rsidP="00D85AF8">
      <w:pPr>
        <w:pStyle w:val="Prrafodelista"/>
        <w:numPr>
          <w:ilvl w:val="0"/>
          <w:numId w:val="28"/>
        </w:numPr>
        <w:spacing w:line="276" w:lineRule="auto"/>
        <w:jc w:val="both"/>
        <w:rPr>
          <w:rFonts w:ascii="Arial" w:hAnsi="Arial" w:cs="Arial"/>
          <w:b/>
          <w:sz w:val="28"/>
          <w:szCs w:val="28"/>
        </w:rPr>
      </w:pPr>
      <w:r w:rsidRPr="00D01DC4">
        <w:rPr>
          <w:rFonts w:ascii="Arial" w:hAnsi="Arial" w:cs="Arial"/>
          <w:b/>
          <w:sz w:val="28"/>
          <w:szCs w:val="28"/>
        </w:rPr>
        <w:t>Postura mayoritaria</w:t>
      </w:r>
      <w:r w:rsidR="00601BA6">
        <w:rPr>
          <w:rFonts w:ascii="Arial" w:hAnsi="Arial" w:cs="Arial"/>
          <w:b/>
          <w:sz w:val="28"/>
          <w:szCs w:val="28"/>
        </w:rPr>
        <w:t>.</w:t>
      </w:r>
    </w:p>
    <w:p w14:paraId="18390758" w14:textId="77777777" w:rsidR="003244DB" w:rsidRPr="003244DB" w:rsidRDefault="003244DB" w:rsidP="003244DB">
      <w:pPr>
        <w:pStyle w:val="Prrafodelista"/>
        <w:spacing w:line="360" w:lineRule="auto"/>
        <w:ind w:left="0"/>
        <w:jc w:val="both"/>
        <w:rPr>
          <w:rFonts w:ascii="Arial" w:hAnsi="Arial" w:cs="Arial"/>
          <w:b/>
          <w:bCs/>
          <w:sz w:val="28"/>
          <w:szCs w:val="28"/>
        </w:rPr>
      </w:pPr>
    </w:p>
    <w:p w14:paraId="198AE781" w14:textId="522EC794" w:rsidR="00D85AF8" w:rsidRPr="00D85AF8" w:rsidRDefault="001F3AC8" w:rsidP="005A494E">
      <w:pPr>
        <w:pStyle w:val="Prrafodelista"/>
        <w:numPr>
          <w:ilvl w:val="0"/>
          <w:numId w:val="15"/>
        </w:numPr>
        <w:spacing w:line="360" w:lineRule="auto"/>
        <w:ind w:left="0" w:hanging="567"/>
        <w:jc w:val="both"/>
        <w:rPr>
          <w:rFonts w:ascii="Arial" w:hAnsi="Arial" w:cs="Arial"/>
          <w:b/>
          <w:bCs/>
          <w:sz w:val="28"/>
          <w:szCs w:val="28"/>
        </w:rPr>
      </w:pPr>
      <w:r w:rsidRPr="00A20C8A">
        <w:rPr>
          <w:rFonts w:ascii="Arial" w:hAnsi="Arial" w:cs="Arial"/>
          <w:sz w:val="28"/>
          <w:szCs w:val="28"/>
        </w:rPr>
        <w:t xml:space="preserve">Finalmente, en cuanto al </w:t>
      </w:r>
      <w:r w:rsidRPr="00A20C8A">
        <w:rPr>
          <w:rFonts w:ascii="Arial" w:hAnsi="Arial" w:cs="Arial"/>
          <w:b/>
          <w:bCs/>
          <w:sz w:val="28"/>
          <w:szCs w:val="28"/>
        </w:rPr>
        <w:t>tema 6.</w:t>
      </w:r>
      <w:r w:rsidR="001A79A6" w:rsidRPr="00A20C8A">
        <w:rPr>
          <w:rFonts w:ascii="Arial" w:hAnsi="Arial" w:cs="Arial"/>
          <w:b/>
          <w:bCs/>
          <w:sz w:val="28"/>
          <w:szCs w:val="28"/>
        </w:rPr>
        <w:t>4</w:t>
      </w:r>
      <w:r w:rsidRPr="00A20C8A">
        <w:rPr>
          <w:rFonts w:ascii="Arial" w:hAnsi="Arial" w:cs="Arial"/>
          <w:b/>
          <w:bCs/>
          <w:sz w:val="28"/>
          <w:szCs w:val="28"/>
        </w:rPr>
        <w:t>.</w:t>
      </w:r>
      <w:r w:rsidRPr="00A20C8A">
        <w:rPr>
          <w:rFonts w:ascii="Arial" w:hAnsi="Arial" w:cs="Arial"/>
          <w:sz w:val="28"/>
          <w:szCs w:val="28"/>
        </w:rPr>
        <w:t>, este Alto Tribunal</w:t>
      </w:r>
      <w:r w:rsidR="00477229" w:rsidRPr="00A20C8A">
        <w:rPr>
          <w:rFonts w:ascii="Arial" w:hAnsi="Arial" w:cs="Arial"/>
          <w:sz w:val="28"/>
          <w:szCs w:val="28"/>
        </w:rPr>
        <w:t>,</w:t>
      </w:r>
      <w:r w:rsidR="005F432D" w:rsidRPr="00A20C8A">
        <w:rPr>
          <w:rFonts w:ascii="Arial" w:hAnsi="Arial" w:cs="Arial"/>
          <w:sz w:val="28"/>
          <w:szCs w:val="28"/>
        </w:rPr>
        <w:t xml:space="preserve"> por una mayoría de diez votos</w:t>
      </w:r>
      <w:r w:rsidR="00477229" w:rsidRPr="00A20C8A">
        <w:rPr>
          <w:rFonts w:ascii="Arial" w:hAnsi="Arial" w:cs="Arial"/>
          <w:sz w:val="28"/>
          <w:szCs w:val="28"/>
        </w:rPr>
        <w:t>,</w:t>
      </w:r>
      <w:r w:rsidR="005F432D" w:rsidRPr="00A20C8A">
        <w:rPr>
          <w:rFonts w:ascii="Arial" w:hAnsi="Arial" w:cs="Arial"/>
          <w:sz w:val="28"/>
          <w:szCs w:val="28"/>
        </w:rPr>
        <w:t xml:space="preserve"> </w:t>
      </w:r>
      <w:r w:rsidRPr="00A20C8A">
        <w:rPr>
          <w:rFonts w:ascii="Arial" w:hAnsi="Arial" w:cs="Arial"/>
          <w:sz w:val="28"/>
          <w:szCs w:val="28"/>
        </w:rPr>
        <w:t>determinó</w:t>
      </w:r>
      <w:r w:rsidR="002516F9" w:rsidRPr="00A20C8A">
        <w:rPr>
          <w:rFonts w:ascii="Arial" w:hAnsi="Arial" w:cs="Arial"/>
          <w:sz w:val="28"/>
          <w:szCs w:val="28"/>
        </w:rPr>
        <w:t xml:space="preserve"> reconocer la </w:t>
      </w:r>
      <w:r w:rsidR="002516F9" w:rsidRPr="00A20C8A">
        <w:rPr>
          <w:rFonts w:ascii="Arial" w:hAnsi="Arial" w:cs="Arial"/>
          <w:b/>
          <w:bCs/>
          <w:sz w:val="28"/>
          <w:szCs w:val="28"/>
        </w:rPr>
        <w:t>validez</w:t>
      </w:r>
      <w:r w:rsidR="002516F9" w:rsidRPr="00A20C8A">
        <w:rPr>
          <w:rFonts w:ascii="Arial" w:hAnsi="Arial" w:cs="Arial"/>
          <w:sz w:val="28"/>
          <w:szCs w:val="28"/>
        </w:rPr>
        <w:t xml:space="preserve"> </w:t>
      </w:r>
      <w:r w:rsidR="00812AF8" w:rsidRPr="00A20C8A">
        <w:rPr>
          <w:rFonts w:ascii="Arial" w:hAnsi="Arial" w:cs="Arial"/>
          <w:sz w:val="28"/>
          <w:szCs w:val="28"/>
        </w:rPr>
        <w:t>del artículo 67</w:t>
      </w:r>
      <w:r w:rsidR="0094140E" w:rsidRPr="00A20C8A">
        <w:rPr>
          <w:rFonts w:ascii="Arial" w:hAnsi="Arial" w:cs="Arial"/>
          <w:sz w:val="28"/>
          <w:szCs w:val="28"/>
        </w:rPr>
        <w:t>,</w:t>
      </w:r>
      <w:r w:rsidR="00812AF8" w:rsidRPr="00A20C8A">
        <w:rPr>
          <w:rFonts w:ascii="Arial" w:hAnsi="Arial" w:cs="Arial"/>
          <w:sz w:val="28"/>
          <w:szCs w:val="28"/>
        </w:rPr>
        <w:t xml:space="preserve"> </w:t>
      </w:r>
      <w:r w:rsidR="00E2418B" w:rsidRPr="00A20C8A">
        <w:rPr>
          <w:rFonts w:ascii="Arial" w:hAnsi="Arial" w:cs="Arial"/>
          <w:sz w:val="28"/>
          <w:szCs w:val="28"/>
          <w:lang w:val="es-MX"/>
        </w:rPr>
        <w:t>bajo una i</w:t>
      </w:r>
      <w:r w:rsidR="005A494E" w:rsidRPr="00A20C8A">
        <w:rPr>
          <w:rFonts w:ascii="Arial" w:hAnsi="Arial" w:cs="Arial"/>
          <w:sz w:val="28"/>
          <w:szCs w:val="28"/>
          <w:lang w:val="es-MX"/>
        </w:rPr>
        <w:t xml:space="preserve">nterpretación sistemática con el </w:t>
      </w:r>
      <w:r w:rsidR="00315609">
        <w:rPr>
          <w:rFonts w:ascii="Arial" w:hAnsi="Arial" w:cs="Arial"/>
          <w:sz w:val="28"/>
          <w:szCs w:val="28"/>
          <w:lang w:val="es-MX"/>
        </w:rPr>
        <w:t>diverso</w:t>
      </w:r>
      <w:r w:rsidR="005A494E" w:rsidRPr="00A20C8A">
        <w:rPr>
          <w:rFonts w:ascii="Arial" w:hAnsi="Arial" w:cs="Arial"/>
          <w:sz w:val="28"/>
          <w:szCs w:val="28"/>
          <w:lang w:val="es-MX"/>
        </w:rPr>
        <w:t xml:space="preserve"> 7</w:t>
      </w:r>
      <w:r w:rsidR="00315609">
        <w:rPr>
          <w:rFonts w:ascii="Arial" w:hAnsi="Arial" w:cs="Arial"/>
          <w:sz w:val="28"/>
          <w:szCs w:val="28"/>
          <w:lang w:val="es-MX"/>
        </w:rPr>
        <w:t>,</w:t>
      </w:r>
      <w:r w:rsidR="005A494E" w:rsidRPr="00A20C8A">
        <w:rPr>
          <w:rFonts w:ascii="Arial" w:hAnsi="Arial" w:cs="Arial"/>
          <w:sz w:val="28"/>
          <w:szCs w:val="28"/>
          <w:lang w:val="es-MX"/>
        </w:rPr>
        <w:t xml:space="preserve"> ambos de la Ley Orgánica de la Fiscalía General de Justicia del Estado de Tamaulipas, la cual, a su vez, remite a la Ley de Transparencia y Acceso a la Información Pública del Estado de Tamaulipas.</w:t>
      </w:r>
    </w:p>
    <w:p w14:paraId="2A5C0438" w14:textId="77777777" w:rsidR="00D85AF8" w:rsidRPr="00D85AF8" w:rsidRDefault="00D85AF8" w:rsidP="00D85AF8">
      <w:pPr>
        <w:pStyle w:val="Prrafodelista"/>
        <w:spacing w:line="360" w:lineRule="auto"/>
        <w:ind w:left="0"/>
        <w:jc w:val="both"/>
        <w:rPr>
          <w:rFonts w:ascii="Arial" w:hAnsi="Arial" w:cs="Arial"/>
          <w:b/>
          <w:bCs/>
          <w:sz w:val="28"/>
          <w:szCs w:val="28"/>
        </w:rPr>
      </w:pPr>
    </w:p>
    <w:p w14:paraId="0FD7BBFF" w14:textId="00DFF238" w:rsidR="005A494E" w:rsidRPr="00D85AF8" w:rsidRDefault="0094140E" w:rsidP="005A494E">
      <w:pPr>
        <w:pStyle w:val="Prrafodelista"/>
        <w:numPr>
          <w:ilvl w:val="0"/>
          <w:numId w:val="15"/>
        </w:numPr>
        <w:spacing w:line="360" w:lineRule="auto"/>
        <w:ind w:left="0" w:hanging="567"/>
        <w:jc w:val="both"/>
        <w:rPr>
          <w:rFonts w:ascii="Arial" w:hAnsi="Arial" w:cs="Arial"/>
          <w:b/>
          <w:bCs/>
          <w:sz w:val="28"/>
          <w:szCs w:val="28"/>
        </w:rPr>
      </w:pPr>
      <w:r w:rsidRPr="00D85AF8">
        <w:rPr>
          <w:rFonts w:ascii="Arial" w:hAnsi="Arial" w:cs="Arial"/>
          <w:sz w:val="28"/>
          <w:szCs w:val="28"/>
          <w:lang w:val="es-MX"/>
        </w:rPr>
        <w:t xml:space="preserve">En esa línea, se </w:t>
      </w:r>
      <w:r w:rsidR="005A494E" w:rsidRPr="00D85AF8">
        <w:rPr>
          <w:rFonts w:ascii="Arial" w:hAnsi="Arial" w:cs="Arial"/>
          <w:sz w:val="28"/>
          <w:szCs w:val="28"/>
          <w:lang w:val="es-MX"/>
        </w:rPr>
        <w:t>lleg</w:t>
      </w:r>
      <w:r w:rsidR="00F44BAC" w:rsidRPr="00D85AF8">
        <w:rPr>
          <w:rFonts w:ascii="Arial" w:hAnsi="Arial" w:cs="Arial"/>
          <w:sz w:val="28"/>
          <w:szCs w:val="28"/>
          <w:lang w:val="es-MX"/>
        </w:rPr>
        <w:t>ó</w:t>
      </w:r>
      <w:r w:rsidR="005A494E" w:rsidRPr="00D85AF8">
        <w:rPr>
          <w:rFonts w:ascii="Arial" w:hAnsi="Arial" w:cs="Arial"/>
          <w:sz w:val="28"/>
          <w:szCs w:val="28"/>
          <w:lang w:val="es-MX"/>
        </w:rPr>
        <w:t xml:space="preserve"> a la conclusión de que la información contenida en los expedientes y reportes de resultados de los exámenes de evaluación podrá, en ciertos casos, clasificarse como reservada, siempre y cuando, de realizar una prueba de daño se advierta que la divulgación de la información efectivamente pudiera representar un riesgo real, demostrable e identificable en perjuicio al interés público, de ahí que el concepto de invalidez sea infundado.</w:t>
      </w:r>
      <w:r w:rsidRPr="00D85AF8">
        <w:rPr>
          <w:rFonts w:ascii="Arial" w:hAnsi="Arial" w:cs="Arial"/>
          <w:sz w:val="28"/>
          <w:szCs w:val="28"/>
          <w:lang w:val="es-MX"/>
        </w:rPr>
        <w:t xml:space="preserve"> </w:t>
      </w:r>
      <w:r w:rsidR="005A494E" w:rsidRPr="00D85AF8">
        <w:rPr>
          <w:rFonts w:ascii="Arial" w:hAnsi="Arial" w:cs="Arial"/>
          <w:sz w:val="28"/>
          <w:szCs w:val="28"/>
          <w:lang w:val="es-MX"/>
        </w:rPr>
        <w:t>Por tanto, la norma impugnada no prevé una reserva absoluta de información.</w:t>
      </w:r>
    </w:p>
    <w:p w14:paraId="1953DA66" w14:textId="77777777" w:rsidR="00D85AF8" w:rsidRDefault="00D85AF8" w:rsidP="00D85AF8">
      <w:pPr>
        <w:pStyle w:val="Prrafodelista"/>
        <w:spacing w:line="276" w:lineRule="auto"/>
        <w:ind w:left="1854"/>
        <w:jc w:val="both"/>
        <w:rPr>
          <w:rFonts w:ascii="Arial" w:hAnsi="Arial" w:cs="Arial"/>
          <w:b/>
          <w:sz w:val="28"/>
          <w:szCs w:val="28"/>
        </w:rPr>
      </w:pPr>
    </w:p>
    <w:p w14:paraId="7BD6F357" w14:textId="6191F0BA" w:rsidR="008F1A3E" w:rsidRPr="00773336" w:rsidRDefault="00D85AF8" w:rsidP="00601BA6">
      <w:pPr>
        <w:pStyle w:val="Prrafodelista"/>
        <w:spacing w:line="276" w:lineRule="auto"/>
        <w:ind w:left="1854" w:hanging="720"/>
        <w:jc w:val="both"/>
        <w:rPr>
          <w:rFonts w:ascii="Arial" w:hAnsi="Arial" w:cs="Arial"/>
          <w:b/>
          <w:sz w:val="28"/>
          <w:szCs w:val="28"/>
          <w:highlight w:val="yellow"/>
        </w:rPr>
      </w:pPr>
      <w:r>
        <w:rPr>
          <w:rFonts w:ascii="Arial" w:hAnsi="Arial" w:cs="Arial"/>
          <w:b/>
          <w:sz w:val="28"/>
          <w:szCs w:val="28"/>
        </w:rPr>
        <w:t xml:space="preserve">VI. </w:t>
      </w:r>
      <w:r w:rsidR="00601BA6">
        <w:rPr>
          <w:rFonts w:ascii="Arial" w:hAnsi="Arial" w:cs="Arial"/>
          <w:b/>
          <w:sz w:val="28"/>
          <w:szCs w:val="28"/>
        </w:rPr>
        <w:t xml:space="preserve">   </w:t>
      </w:r>
      <w:r w:rsidR="001E7CD2" w:rsidRPr="00D85AF8">
        <w:rPr>
          <w:rFonts w:ascii="Arial" w:hAnsi="Arial" w:cs="Arial"/>
          <w:b/>
          <w:sz w:val="28"/>
          <w:szCs w:val="28"/>
        </w:rPr>
        <w:t>Razones</w:t>
      </w:r>
      <w:r w:rsidR="001E7CD2" w:rsidRPr="006C1CEC">
        <w:rPr>
          <w:rFonts w:ascii="Arial" w:hAnsi="Arial" w:cs="Arial"/>
          <w:b/>
          <w:sz w:val="28"/>
          <w:szCs w:val="28"/>
        </w:rPr>
        <w:t xml:space="preserve"> de</w:t>
      </w:r>
      <w:r w:rsidR="00313C69" w:rsidRPr="006C1CEC">
        <w:rPr>
          <w:rFonts w:ascii="Arial" w:hAnsi="Arial" w:cs="Arial"/>
          <w:b/>
          <w:sz w:val="28"/>
          <w:szCs w:val="28"/>
        </w:rPr>
        <w:t>l disenso</w:t>
      </w:r>
      <w:r w:rsidR="00846758">
        <w:rPr>
          <w:rFonts w:ascii="Arial" w:hAnsi="Arial" w:cs="Arial"/>
          <w:b/>
          <w:sz w:val="28"/>
          <w:szCs w:val="28"/>
        </w:rPr>
        <w:t xml:space="preserve"> del voto particular</w:t>
      </w:r>
      <w:r w:rsidR="00601BA6">
        <w:rPr>
          <w:rFonts w:ascii="Arial" w:hAnsi="Arial" w:cs="Arial"/>
          <w:b/>
          <w:sz w:val="28"/>
          <w:szCs w:val="28"/>
        </w:rPr>
        <w:t>.</w:t>
      </w:r>
    </w:p>
    <w:p w14:paraId="591F4745" w14:textId="77777777" w:rsidR="00FC6EED" w:rsidRDefault="00FC6EED" w:rsidP="00FC6EED">
      <w:pPr>
        <w:pStyle w:val="Prrafodelista"/>
        <w:spacing w:line="360" w:lineRule="auto"/>
        <w:ind w:left="0"/>
        <w:jc w:val="both"/>
        <w:rPr>
          <w:rFonts w:ascii="Arial" w:hAnsi="Arial" w:cs="Arial"/>
          <w:b/>
          <w:sz w:val="28"/>
          <w:szCs w:val="28"/>
          <w:highlight w:val="yellow"/>
        </w:rPr>
      </w:pPr>
    </w:p>
    <w:p w14:paraId="306BE2BC" w14:textId="04DF87E9" w:rsidR="00563AFD" w:rsidRPr="006C1CEC" w:rsidRDefault="007E3E9A" w:rsidP="00816A02">
      <w:pPr>
        <w:pStyle w:val="Prrafodelista"/>
        <w:numPr>
          <w:ilvl w:val="0"/>
          <w:numId w:val="15"/>
        </w:numPr>
        <w:spacing w:line="360" w:lineRule="auto"/>
        <w:ind w:left="0" w:hanging="567"/>
        <w:jc w:val="both"/>
        <w:rPr>
          <w:rFonts w:ascii="Arial" w:hAnsi="Arial" w:cs="Arial"/>
          <w:sz w:val="28"/>
          <w:szCs w:val="28"/>
          <w:u w:val="single"/>
          <w:lang w:val="es-MX"/>
        </w:rPr>
      </w:pPr>
      <w:r w:rsidRPr="006C1CEC">
        <w:rPr>
          <w:rFonts w:ascii="Arial" w:hAnsi="Arial" w:cs="Arial"/>
          <w:color w:val="000000" w:themeColor="text1"/>
          <w:sz w:val="28"/>
          <w:szCs w:val="28"/>
        </w:rPr>
        <w:lastRenderedPageBreak/>
        <w:t xml:space="preserve">Respetuosamente, </w:t>
      </w:r>
      <w:r w:rsidRPr="006C1CEC">
        <w:rPr>
          <w:rFonts w:ascii="Arial" w:hAnsi="Arial" w:cs="Arial"/>
          <w:b/>
          <w:bCs/>
          <w:color w:val="000000" w:themeColor="text1"/>
          <w:sz w:val="28"/>
          <w:szCs w:val="28"/>
        </w:rPr>
        <w:t>difiero de la posición mayoritaria</w:t>
      </w:r>
      <w:r w:rsidRPr="006C1CEC">
        <w:rPr>
          <w:rFonts w:ascii="Arial" w:hAnsi="Arial" w:cs="Arial"/>
          <w:color w:val="000000" w:themeColor="text1"/>
          <w:sz w:val="28"/>
          <w:szCs w:val="28"/>
        </w:rPr>
        <w:t xml:space="preserve"> de </w:t>
      </w:r>
      <w:r w:rsidR="00D85AF8">
        <w:rPr>
          <w:rFonts w:ascii="Arial" w:hAnsi="Arial" w:cs="Arial"/>
          <w:color w:val="000000" w:themeColor="text1"/>
          <w:sz w:val="28"/>
          <w:szCs w:val="28"/>
        </w:rPr>
        <w:t>la resolución</w:t>
      </w:r>
      <w:r w:rsidRPr="006C1CEC">
        <w:rPr>
          <w:rFonts w:ascii="Arial" w:hAnsi="Arial" w:cs="Arial"/>
          <w:color w:val="000000" w:themeColor="text1"/>
          <w:sz w:val="28"/>
          <w:szCs w:val="28"/>
        </w:rPr>
        <w:t xml:space="preserve">, </w:t>
      </w:r>
      <w:r w:rsidRPr="006C1CEC">
        <w:rPr>
          <w:rFonts w:ascii="Arial" w:hAnsi="Arial" w:cs="Arial"/>
          <w:sz w:val="28"/>
          <w:szCs w:val="28"/>
        </w:rPr>
        <w:t>p</w:t>
      </w:r>
      <w:r w:rsidR="00D85AF8">
        <w:rPr>
          <w:rFonts w:ascii="Arial" w:hAnsi="Arial" w:cs="Arial"/>
          <w:sz w:val="28"/>
          <w:szCs w:val="28"/>
        </w:rPr>
        <w:t>orq</w:t>
      </w:r>
      <w:r w:rsidRPr="006C1CEC">
        <w:rPr>
          <w:rFonts w:ascii="Arial" w:hAnsi="Arial" w:cs="Arial"/>
          <w:sz w:val="28"/>
          <w:szCs w:val="28"/>
        </w:rPr>
        <w:t>u</w:t>
      </w:r>
      <w:r w:rsidR="00D85AF8">
        <w:rPr>
          <w:rFonts w:ascii="Arial" w:hAnsi="Arial" w:cs="Arial"/>
          <w:sz w:val="28"/>
          <w:szCs w:val="28"/>
        </w:rPr>
        <w:t xml:space="preserve">e en mi opinión, </w:t>
      </w:r>
      <w:r w:rsidR="00D319F1" w:rsidRPr="006C1CEC">
        <w:rPr>
          <w:rFonts w:ascii="Arial" w:hAnsi="Arial" w:cs="Arial"/>
          <w:sz w:val="28"/>
          <w:szCs w:val="28"/>
        </w:rPr>
        <w:t xml:space="preserve">como lo he sostenido en diversos precedentes en materia </w:t>
      </w:r>
      <w:r w:rsidR="003960A6" w:rsidRPr="006C1CEC">
        <w:rPr>
          <w:rFonts w:ascii="Arial" w:hAnsi="Arial" w:cs="Arial"/>
          <w:sz w:val="28"/>
          <w:szCs w:val="28"/>
        </w:rPr>
        <w:t xml:space="preserve">transparencia, </w:t>
      </w:r>
      <w:r w:rsidR="003960A6" w:rsidRPr="006C1CEC">
        <w:rPr>
          <w:rFonts w:ascii="Arial" w:hAnsi="Arial" w:cs="Arial"/>
          <w:b/>
          <w:bCs/>
          <w:sz w:val="28"/>
          <w:szCs w:val="28"/>
        </w:rPr>
        <w:t xml:space="preserve">no </w:t>
      </w:r>
      <w:r w:rsidR="00563AFD" w:rsidRPr="006C1CEC">
        <w:rPr>
          <w:rFonts w:ascii="Arial" w:hAnsi="Arial" w:cs="Arial"/>
          <w:b/>
          <w:bCs/>
          <w:sz w:val="28"/>
          <w:szCs w:val="28"/>
        </w:rPr>
        <w:t xml:space="preserve">estoy </w:t>
      </w:r>
      <w:r w:rsidR="006C6F25" w:rsidRPr="006C1CEC">
        <w:rPr>
          <w:rFonts w:ascii="Arial" w:hAnsi="Arial" w:cs="Arial"/>
          <w:b/>
          <w:bCs/>
          <w:sz w:val="28"/>
          <w:szCs w:val="28"/>
        </w:rPr>
        <w:t>de acuerdo con el criterio</w:t>
      </w:r>
      <w:r w:rsidR="00563AFD" w:rsidRPr="006C1CEC">
        <w:rPr>
          <w:rFonts w:ascii="Arial" w:hAnsi="Arial" w:cs="Arial"/>
          <w:b/>
          <w:bCs/>
          <w:sz w:val="28"/>
          <w:szCs w:val="28"/>
          <w:lang w:val="es-MX"/>
        </w:rPr>
        <w:t xml:space="preserve"> de que la mera existencia de una remisión a las leyes en la materia</w:t>
      </w:r>
      <w:r w:rsidR="008E47C6" w:rsidRPr="006C1CEC">
        <w:rPr>
          <w:rFonts w:ascii="Arial" w:hAnsi="Arial" w:cs="Arial"/>
          <w:sz w:val="28"/>
          <w:szCs w:val="28"/>
          <w:lang w:val="es-MX"/>
        </w:rPr>
        <w:t>,</w:t>
      </w:r>
      <w:r w:rsidR="009C7DF3" w:rsidRPr="006C1CEC">
        <w:rPr>
          <w:rFonts w:ascii="Arial" w:hAnsi="Arial" w:cs="Arial"/>
          <w:sz w:val="28"/>
          <w:szCs w:val="28"/>
          <w:lang w:val="es-MX"/>
        </w:rPr>
        <w:t xml:space="preserve"> como lo es,</w:t>
      </w:r>
      <w:r w:rsidR="003F1365" w:rsidRPr="006C1CEC">
        <w:rPr>
          <w:rFonts w:ascii="Arial" w:hAnsi="Arial" w:cs="Arial"/>
          <w:sz w:val="28"/>
          <w:szCs w:val="28"/>
          <w:lang w:val="es-MX"/>
        </w:rPr>
        <w:t xml:space="preserve"> </w:t>
      </w:r>
      <w:r w:rsidR="009C7DF3" w:rsidRPr="006C1CEC">
        <w:rPr>
          <w:rFonts w:ascii="Arial" w:eastAsia="Calibri" w:hAnsi="Arial" w:cs="Arial"/>
          <w:sz w:val="28"/>
          <w:szCs w:val="28"/>
        </w:rPr>
        <w:t xml:space="preserve">la </w:t>
      </w:r>
      <w:r w:rsidR="009C7DF3" w:rsidRPr="006C1CEC">
        <w:rPr>
          <w:rFonts w:ascii="Arial" w:hAnsi="Arial" w:cs="Arial"/>
          <w:sz w:val="28"/>
          <w:szCs w:val="28"/>
        </w:rPr>
        <w:t xml:space="preserve">Ley General de Transparencia y Acceso a la Información Pública </w:t>
      </w:r>
      <w:r w:rsidR="006F73ED" w:rsidRPr="006C1CEC">
        <w:rPr>
          <w:rFonts w:ascii="Arial" w:hAnsi="Arial" w:cs="Arial"/>
          <w:sz w:val="28"/>
          <w:szCs w:val="28"/>
        </w:rPr>
        <w:t>y l</w:t>
      </w:r>
      <w:r w:rsidR="009C7DF3" w:rsidRPr="006C1CEC">
        <w:rPr>
          <w:rFonts w:ascii="Arial" w:hAnsi="Arial" w:cs="Arial"/>
          <w:sz w:val="28"/>
          <w:szCs w:val="28"/>
        </w:rPr>
        <w:t>a Ley de Transparencia y Acceso a la Información Pública del Estado de Tamaulipas</w:t>
      </w:r>
      <w:r w:rsidR="00816A02" w:rsidRPr="006C1CEC">
        <w:rPr>
          <w:rFonts w:ascii="Arial" w:hAnsi="Arial" w:cs="Arial"/>
          <w:sz w:val="28"/>
          <w:szCs w:val="28"/>
        </w:rPr>
        <w:t>,</w:t>
      </w:r>
      <w:r w:rsidR="00816A02" w:rsidRPr="006C1CEC">
        <w:rPr>
          <w:rFonts w:ascii="Arial" w:hAnsi="Arial" w:cs="Arial"/>
          <w:b/>
          <w:sz w:val="28"/>
          <w:szCs w:val="28"/>
        </w:rPr>
        <w:t xml:space="preserve"> </w:t>
      </w:r>
      <w:r w:rsidR="00563AFD" w:rsidRPr="006C1CEC">
        <w:rPr>
          <w:rFonts w:ascii="Arial" w:hAnsi="Arial" w:cs="Arial"/>
          <w:sz w:val="28"/>
          <w:szCs w:val="28"/>
          <w:lang w:val="es-MX"/>
        </w:rPr>
        <w:t>permit</w:t>
      </w:r>
      <w:r w:rsidR="006F73ED" w:rsidRPr="006C1CEC">
        <w:rPr>
          <w:rFonts w:ascii="Arial" w:hAnsi="Arial" w:cs="Arial"/>
          <w:sz w:val="28"/>
          <w:szCs w:val="28"/>
          <w:lang w:val="es-MX"/>
        </w:rPr>
        <w:t>a</w:t>
      </w:r>
      <w:r w:rsidR="00563AFD" w:rsidRPr="006C1CEC">
        <w:rPr>
          <w:rFonts w:ascii="Arial" w:hAnsi="Arial" w:cs="Arial"/>
          <w:sz w:val="28"/>
          <w:szCs w:val="28"/>
          <w:lang w:val="es-MX"/>
        </w:rPr>
        <w:t xml:space="preserve"> considerar, conforme a una interpretación sistemática, que no se exime de la realización de una prueba de daño para reservar la información.</w:t>
      </w:r>
    </w:p>
    <w:p w14:paraId="038AA2DF" w14:textId="77777777" w:rsidR="00366ECC" w:rsidRPr="006C1CEC" w:rsidRDefault="00366ECC" w:rsidP="00591B9F">
      <w:pPr>
        <w:pStyle w:val="Prrafodelista"/>
        <w:spacing w:line="360" w:lineRule="auto"/>
        <w:ind w:left="0"/>
        <w:jc w:val="both"/>
        <w:rPr>
          <w:rFonts w:ascii="Arial" w:hAnsi="Arial" w:cs="Arial"/>
          <w:sz w:val="28"/>
          <w:szCs w:val="28"/>
          <w:u w:val="single"/>
          <w:lang w:val="es-MX"/>
        </w:rPr>
      </w:pPr>
    </w:p>
    <w:p w14:paraId="6F45117B" w14:textId="47A1B941" w:rsidR="003C2DB9" w:rsidRPr="006C1CEC" w:rsidRDefault="00D85AF8" w:rsidP="002822BA">
      <w:pPr>
        <w:pStyle w:val="Prrafodelista"/>
        <w:numPr>
          <w:ilvl w:val="0"/>
          <w:numId w:val="15"/>
        </w:numPr>
        <w:spacing w:line="360" w:lineRule="auto"/>
        <w:ind w:left="0" w:hanging="567"/>
        <w:jc w:val="both"/>
        <w:rPr>
          <w:rFonts w:ascii="Arial" w:hAnsi="Arial" w:cs="Arial"/>
          <w:sz w:val="28"/>
          <w:szCs w:val="28"/>
          <w:lang w:val="es-MX"/>
        </w:rPr>
      </w:pPr>
      <w:r>
        <w:rPr>
          <w:rFonts w:ascii="Arial" w:hAnsi="Arial" w:cs="Arial"/>
          <w:sz w:val="28"/>
          <w:szCs w:val="28"/>
          <w:lang w:val="es-MX"/>
        </w:rPr>
        <w:t xml:space="preserve">Lo anterior, porque </w:t>
      </w:r>
      <w:r w:rsidR="009D1F3F" w:rsidRPr="006C1CEC">
        <w:rPr>
          <w:rFonts w:ascii="Arial" w:hAnsi="Arial" w:cs="Arial"/>
          <w:sz w:val="28"/>
          <w:szCs w:val="28"/>
        </w:rPr>
        <w:t>el artículo impugnado</w:t>
      </w:r>
      <w:r w:rsidR="008F3D22" w:rsidRPr="006C1CEC">
        <w:rPr>
          <w:rFonts w:ascii="Arial" w:hAnsi="Arial" w:cs="Arial"/>
          <w:sz w:val="28"/>
          <w:szCs w:val="28"/>
        </w:rPr>
        <w:t xml:space="preserve"> </w:t>
      </w:r>
      <w:r w:rsidR="0033049C" w:rsidRPr="006C1CEC">
        <w:rPr>
          <w:rFonts w:ascii="Arial" w:hAnsi="Arial" w:cs="Arial"/>
          <w:sz w:val="28"/>
          <w:szCs w:val="28"/>
          <w:lang w:val="es-ES"/>
        </w:rPr>
        <w:t xml:space="preserve">al </w:t>
      </w:r>
      <w:r w:rsidR="00981130" w:rsidRPr="006C1CEC">
        <w:rPr>
          <w:rFonts w:ascii="Arial" w:hAnsi="Arial" w:cs="Arial"/>
          <w:sz w:val="28"/>
          <w:szCs w:val="28"/>
          <w:lang w:val="es-ES"/>
        </w:rPr>
        <w:t>prever</w:t>
      </w:r>
      <w:r w:rsidR="0033049C" w:rsidRPr="006C1CEC">
        <w:rPr>
          <w:rFonts w:ascii="Arial" w:hAnsi="Arial" w:cs="Arial"/>
          <w:sz w:val="28"/>
          <w:szCs w:val="28"/>
          <w:lang w:val="es-ES"/>
        </w:rPr>
        <w:t xml:space="preserve"> </w:t>
      </w:r>
      <w:r w:rsidR="00292EDC" w:rsidRPr="006C1CEC">
        <w:rPr>
          <w:rFonts w:ascii="Arial" w:hAnsi="Arial" w:cs="Arial"/>
          <w:b/>
          <w:bCs/>
          <w:sz w:val="28"/>
          <w:szCs w:val="28"/>
          <w:lang w:val="es-ES"/>
        </w:rPr>
        <w:t>expresamente</w:t>
      </w:r>
      <w:r w:rsidR="00D63A69" w:rsidRPr="006C1CEC">
        <w:rPr>
          <w:b/>
          <w:bCs/>
          <w:vertAlign w:val="superscript"/>
          <w:lang w:val="es-ES"/>
        </w:rPr>
        <w:footnoteReference w:id="3"/>
      </w:r>
      <w:r w:rsidR="00292EDC" w:rsidRPr="006C1CEC">
        <w:rPr>
          <w:rFonts w:ascii="Arial" w:hAnsi="Arial" w:cs="Arial"/>
          <w:sz w:val="28"/>
          <w:szCs w:val="28"/>
          <w:lang w:val="es-ES"/>
        </w:rPr>
        <w:t xml:space="preserve"> </w:t>
      </w:r>
      <w:r w:rsidR="00F207E8" w:rsidRPr="006C1CEC">
        <w:rPr>
          <w:rFonts w:ascii="Arial" w:hAnsi="Arial" w:cs="Arial"/>
          <w:sz w:val="28"/>
          <w:szCs w:val="28"/>
          <w:lang w:val="es-ES"/>
        </w:rPr>
        <w:t xml:space="preserve">que </w:t>
      </w:r>
      <w:r w:rsidR="0033049C" w:rsidRPr="006C1CEC">
        <w:rPr>
          <w:rFonts w:ascii="Arial" w:hAnsi="Arial" w:cs="Arial"/>
          <w:sz w:val="28"/>
          <w:szCs w:val="28"/>
          <w:lang w:val="es-ES"/>
        </w:rPr>
        <w:t xml:space="preserve">toda la información contenida en los </w:t>
      </w:r>
      <w:r w:rsidR="00D200DF" w:rsidRPr="006C1CEC">
        <w:rPr>
          <w:rFonts w:ascii="Arial" w:hAnsi="Arial" w:cs="Arial"/>
          <w:sz w:val="28"/>
          <w:szCs w:val="28"/>
          <w:lang w:val="es-MX"/>
        </w:rPr>
        <w:t xml:space="preserve">expedientes y reportes de resultados de los exámenes de evaluación </w:t>
      </w:r>
      <w:r w:rsidR="00D200DF" w:rsidRPr="00397B8B">
        <w:rPr>
          <w:rFonts w:ascii="Arial" w:hAnsi="Arial" w:cs="Arial"/>
          <w:sz w:val="28"/>
          <w:szCs w:val="28"/>
          <w:lang w:val="es-MX"/>
        </w:rPr>
        <w:t>será considerada como información reservada</w:t>
      </w:r>
      <w:r w:rsidR="008A68B0" w:rsidRPr="006C1CEC">
        <w:rPr>
          <w:rFonts w:ascii="Arial" w:hAnsi="Arial" w:cs="Arial"/>
          <w:sz w:val="28"/>
          <w:szCs w:val="28"/>
          <w:lang w:val="es-MX"/>
        </w:rPr>
        <w:t xml:space="preserve">, </w:t>
      </w:r>
      <w:r w:rsidR="00E27C9A" w:rsidRPr="006C1CEC">
        <w:rPr>
          <w:rFonts w:ascii="Arial" w:hAnsi="Arial" w:cs="Arial"/>
          <w:b/>
          <w:bCs/>
          <w:sz w:val="28"/>
          <w:szCs w:val="28"/>
          <w:lang w:val="es-MX"/>
        </w:rPr>
        <w:t>en mi opinión,</w:t>
      </w:r>
      <w:r w:rsidR="00991685" w:rsidRPr="006C1CEC">
        <w:rPr>
          <w:rFonts w:ascii="Arial" w:hAnsi="Arial" w:cs="Arial"/>
          <w:b/>
          <w:bCs/>
          <w:sz w:val="28"/>
          <w:szCs w:val="28"/>
          <w:lang w:val="es-MX"/>
        </w:rPr>
        <w:t xml:space="preserve"> </w:t>
      </w:r>
      <w:r w:rsidR="008E47C6" w:rsidRPr="006C1CEC">
        <w:rPr>
          <w:rFonts w:ascii="Arial" w:hAnsi="Arial" w:cs="Arial"/>
          <w:b/>
          <w:bCs/>
          <w:sz w:val="28"/>
          <w:szCs w:val="28"/>
          <w:lang w:val="es-MX"/>
        </w:rPr>
        <w:t xml:space="preserve">es a todas luces que </w:t>
      </w:r>
      <w:r w:rsidR="00991685" w:rsidRPr="006C1CEC">
        <w:rPr>
          <w:rFonts w:ascii="Arial" w:hAnsi="Arial" w:cs="Arial"/>
          <w:b/>
          <w:bCs/>
          <w:sz w:val="28"/>
          <w:szCs w:val="28"/>
          <w:lang w:val="es-MX"/>
        </w:rPr>
        <w:t xml:space="preserve">prevé una reserva absoluta, indeterminada y previa de toda la información contenida en </w:t>
      </w:r>
      <w:r w:rsidR="00A47404" w:rsidRPr="006C1CEC">
        <w:rPr>
          <w:rFonts w:ascii="Arial" w:hAnsi="Arial" w:cs="Arial"/>
          <w:b/>
          <w:bCs/>
          <w:sz w:val="28"/>
          <w:szCs w:val="28"/>
          <w:lang w:val="es-MX"/>
        </w:rPr>
        <w:t>ellos</w:t>
      </w:r>
      <w:r w:rsidR="002822BA" w:rsidRPr="006C1CEC">
        <w:rPr>
          <w:rFonts w:ascii="Arial" w:hAnsi="Arial" w:cs="Arial"/>
          <w:b/>
          <w:bCs/>
          <w:sz w:val="28"/>
          <w:szCs w:val="28"/>
          <w:lang w:val="es-MX"/>
        </w:rPr>
        <w:t>,</w:t>
      </w:r>
      <w:r w:rsidR="00A47404" w:rsidRPr="006C1CEC">
        <w:rPr>
          <w:rFonts w:ascii="Arial" w:hAnsi="Arial" w:cs="Arial"/>
          <w:b/>
          <w:bCs/>
          <w:sz w:val="28"/>
          <w:szCs w:val="28"/>
          <w:lang w:val="es-MX"/>
        </w:rPr>
        <w:t xml:space="preserve"> </w:t>
      </w:r>
      <w:r w:rsidR="00991685" w:rsidRPr="006C1CEC">
        <w:rPr>
          <w:rFonts w:ascii="Arial" w:hAnsi="Arial" w:cs="Arial"/>
          <w:b/>
          <w:bCs/>
          <w:sz w:val="28"/>
          <w:szCs w:val="28"/>
          <w:lang w:val="es-MX"/>
        </w:rPr>
        <w:t>sin sujetar la reserva a una prueba de daño.</w:t>
      </w:r>
      <w:r w:rsidR="004F7380" w:rsidRPr="006C1CEC">
        <w:rPr>
          <w:rFonts w:ascii="Arial" w:hAnsi="Arial" w:cs="Arial"/>
          <w:b/>
          <w:bCs/>
          <w:sz w:val="28"/>
          <w:szCs w:val="28"/>
          <w:lang w:val="es-MX"/>
        </w:rPr>
        <w:t xml:space="preserve"> </w:t>
      </w:r>
      <w:r w:rsidR="004F7380" w:rsidRPr="005A326F">
        <w:rPr>
          <w:rFonts w:ascii="Arial" w:hAnsi="Arial" w:cs="Arial"/>
          <w:sz w:val="28"/>
          <w:szCs w:val="28"/>
          <w:lang w:val="es-MX"/>
        </w:rPr>
        <w:t>De manera</w:t>
      </w:r>
      <w:r w:rsidR="00C82601" w:rsidRPr="005A326F">
        <w:rPr>
          <w:rFonts w:ascii="Arial" w:hAnsi="Arial" w:cs="Arial"/>
          <w:sz w:val="28"/>
          <w:szCs w:val="28"/>
          <w:lang w:val="es-MX"/>
        </w:rPr>
        <w:t xml:space="preserve"> </w:t>
      </w:r>
      <w:r w:rsidR="00A47404" w:rsidRPr="005A326F">
        <w:rPr>
          <w:rFonts w:ascii="Arial" w:hAnsi="Arial" w:cs="Arial"/>
          <w:sz w:val="28"/>
          <w:szCs w:val="28"/>
          <w:lang w:val="es-MX"/>
        </w:rPr>
        <w:t>similar así</w:t>
      </w:r>
      <w:r w:rsidR="00C82601" w:rsidRPr="005A326F">
        <w:rPr>
          <w:rFonts w:ascii="Arial" w:hAnsi="Arial" w:cs="Arial"/>
          <w:sz w:val="28"/>
          <w:szCs w:val="28"/>
          <w:lang w:val="es-MX"/>
        </w:rPr>
        <w:t xml:space="preserve"> lo sostuve </w:t>
      </w:r>
      <w:r w:rsidR="00CB5FDF" w:rsidRPr="005A326F">
        <w:rPr>
          <w:rFonts w:ascii="Arial" w:hAnsi="Arial" w:cs="Arial"/>
          <w:sz w:val="28"/>
          <w:szCs w:val="28"/>
          <w:lang w:val="es-MX"/>
        </w:rPr>
        <w:t xml:space="preserve">en </w:t>
      </w:r>
      <w:r w:rsidR="00C82601" w:rsidRPr="005A326F">
        <w:rPr>
          <w:rFonts w:ascii="Arial" w:hAnsi="Arial" w:cs="Arial"/>
          <w:sz w:val="28"/>
          <w:szCs w:val="28"/>
          <w:lang w:val="es-ES"/>
        </w:rPr>
        <w:t>la acción de inconstitucionalidad 88/2018</w:t>
      </w:r>
      <w:r w:rsidR="00C82601" w:rsidRPr="005A326F">
        <w:rPr>
          <w:vertAlign w:val="superscript"/>
          <w:lang w:val="es-ES"/>
        </w:rPr>
        <w:footnoteReference w:id="4"/>
      </w:r>
      <w:r w:rsidR="00C82601" w:rsidRPr="005A326F">
        <w:rPr>
          <w:rFonts w:ascii="Arial" w:hAnsi="Arial" w:cs="Arial"/>
          <w:sz w:val="28"/>
          <w:szCs w:val="28"/>
          <w:lang w:val="es-ES"/>
        </w:rPr>
        <w:t xml:space="preserve"> en la que se analizó una norma </w:t>
      </w:r>
      <w:r>
        <w:rPr>
          <w:rFonts w:ascii="Arial" w:hAnsi="Arial" w:cs="Arial"/>
          <w:sz w:val="28"/>
          <w:szCs w:val="28"/>
          <w:lang w:val="es-ES"/>
        </w:rPr>
        <w:t xml:space="preserve">de contenido </w:t>
      </w:r>
      <w:r w:rsidR="00C82601" w:rsidRPr="005A326F">
        <w:rPr>
          <w:rFonts w:ascii="Arial" w:hAnsi="Arial" w:cs="Arial"/>
          <w:sz w:val="28"/>
          <w:szCs w:val="28"/>
          <w:lang w:val="es-ES"/>
        </w:rPr>
        <w:t>similar</w:t>
      </w:r>
      <w:r w:rsidR="00650ABD" w:rsidRPr="005A326F">
        <w:rPr>
          <w:rFonts w:ascii="Arial" w:hAnsi="Arial" w:cs="Arial"/>
          <w:sz w:val="28"/>
          <w:szCs w:val="28"/>
          <w:lang w:val="es-ES"/>
        </w:rPr>
        <w:t>.</w:t>
      </w:r>
      <w:r w:rsidR="003C2DB9" w:rsidRPr="005A326F">
        <w:rPr>
          <w:rStyle w:val="Refdenotaalpie"/>
          <w:rFonts w:ascii="Arial" w:hAnsi="Arial" w:cs="Arial"/>
          <w:sz w:val="28"/>
          <w:szCs w:val="28"/>
        </w:rPr>
        <w:footnoteReference w:id="5"/>
      </w:r>
    </w:p>
    <w:p w14:paraId="17DA4538" w14:textId="77777777" w:rsidR="00B05547" w:rsidRPr="006C1CEC" w:rsidRDefault="00B05547" w:rsidP="00B05547">
      <w:pPr>
        <w:pStyle w:val="Prrafodelista"/>
        <w:rPr>
          <w:rFonts w:ascii="Arial" w:hAnsi="Arial" w:cs="Arial"/>
          <w:sz w:val="28"/>
          <w:szCs w:val="28"/>
          <w:lang w:val="es-MX"/>
        </w:rPr>
      </w:pPr>
    </w:p>
    <w:p w14:paraId="1F8A1DE9" w14:textId="6AE7C16E" w:rsidR="002D6B9E" w:rsidRPr="00642840" w:rsidRDefault="00376129" w:rsidP="007013A6">
      <w:pPr>
        <w:pStyle w:val="Prrafodelista"/>
        <w:numPr>
          <w:ilvl w:val="0"/>
          <w:numId w:val="15"/>
        </w:numPr>
        <w:spacing w:line="360" w:lineRule="auto"/>
        <w:ind w:left="0" w:hanging="567"/>
        <w:jc w:val="both"/>
        <w:rPr>
          <w:rFonts w:ascii="Arial" w:hAnsi="Arial" w:cs="Arial"/>
          <w:sz w:val="28"/>
          <w:szCs w:val="28"/>
          <w:lang w:val="es-MX"/>
        </w:rPr>
      </w:pPr>
      <w:r w:rsidRPr="006C1CEC">
        <w:rPr>
          <w:rFonts w:ascii="Arial" w:hAnsi="Arial" w:cs="Arial"/>
          <w:sz w:val="28"/>
          <w:szCs w:val="28"/>
          <w:lang w:val="es-MX"/>
        </w:rPr>
        <w:t>De este m</w:t>
      </w:r>
      <w:r w:rsidR="0086307A" w:rsidRPr="006C1CEC">
        <w:rPr>
          <w:rFonts w:ascii="Arial" w:hAnsi="Arial" w:cs="Arial"/>
          <w:sz w:val="28"/>
          <w:szCs w:val="28"/>
          <w:lang w:val="es-MX"/>
        </w:rPr>
        <w:t>odo</w:t>
      </w:r>
      <w:r w:rsidR="00AF26FC" w:rsidRPr="006C1CEC">
        <w:rPr>
          <w:rFonts w:ascii="Arial" w:hAnsi="Arial" w:cs="Arial"/>
          <w:sz w:val="28"/>
          <w:szCs w:val="28"/>
          <w:lang w:val="es-MX"/>
        </w:rPr>
        <w:t xml:space="preserve">, </w:t>
      </w:r>
      <w:r w:rsidR="00D11D0C" w:rsidRPr="006C1CEC">
        <w:rPr>
          <w:rFonts w:ascii="Arial" w:hAnsi="Arial" w:cs="Arial"/>
          <w:sz w:val="28"/>
          <w:szCs w:val="28"/>
          <w:lang w:val="es-MX"/>
        </w:rPr>
        <w:t>considero</w:t>
      </w:r>
      <w:r w:rsidR="00AF26FC" w:rsidRPr="006C1CEC">
        <w:rPr>
          <w:rFonts w:ascii="Arial" w:hAnsi="Arial" w:cs="Arial"/>
          <w:sz w:val="28"/>
          <w:szCs w:val="28"/>
          <w:lang w:val="es-MX"/>
        </w:rPr>
        <w:t xml:space="preserve"> </w:t>
      </w:r>
      <w:r w:rsidR="00D11D0C" w:rsidRPr="006C1CEC">
        <w:rPr>
          <w:rFonts w:ascii="Arial" w:hAnsi="Arial" w:cs="Arial"/>
          <w:sz w:val="28"/>
          <w:szCs w:val="28"/>
          <w:lang w:val="es-MX"/>
        </w:rPr>
        <w:t>que el artículo 67</w:t>
      </w:r>
      <w:r w:rsidR="009C6703" w:rsidRPr="006C1CEC">
        <w:rPr>
          <w:rFonts w:ascii="Arial" w:hAnsi="Arial" w:cs="Arial"/>
          <w:sz w:val="28"/>
          <w:szCs w:val="28"/>
          <w:lang w:val="es-MX"/>
        </w:rPr>
        <w:t xml:space="preserve"> de la </w:t>
      </w:r>
      <w:r w:rsidR="009C6703" w:rsidRPr="006C1CEC">
        <w:rPr>
          <w:rFonts w:ascii="Arial" w:hAnsi="Arial" w:cs="Arial"/>
          <w:sz w:val="28"/>
          <w:szCs w:val="28"/>
        </w:rPr>
        <w:t xml:space="preserve">Ley Orgánica de la Fiscalía General de Justicia del Estado de Tamaulipas </w:t>
      </w:r>
      <w:r w:rsidR="00C82601" w:rsidRPr="006C1CEC">
        <w:rPr>
          <w:rFonts w:ascii="Arial" w:hAnsi="Arial" w:cs="Arial"/>
          <w:sz w:val="28"/>
          <w:szCs w:val="28"/>
          <w:lang w:val="es-ES"/>
        </w:rPr>
        <w:t>vulnera el principio de máxima publicidad</w:t>
      </w:r>
      <w:r w:rsidR="00D85AF8">
        <w:rPr>
          <w:rFonts w:ascii="Arial" w:hAnsi="Arial" w:cs="Arial"/>
          <w:sz w:val="28"/>
          <w:szCs w:val="28"/>
          <w:lang w:val="es-ES"/>
        </w:rPr>
        <w:t>, ya que</w:t>
      </w:r>
      <w:r w:rsidR="002D6B9E">
        <w:rPr>
          <w:rFonts w:ascii="Arial" w:hAnsi="Arial" w:cs="Arial"/>
          <w:sz w:val="28"/>
          <w:szCs w:val="28"/>
          <w:lang w:val="es-ES"/>
        </w:rPr>
        <w:t xml:space="preserve"> la norma impugnada </w:t>
      </w:r>
      <w:r w:rsidR="002D6B9E" w:rsidRPr="00F079CC">
        <w:rPr>
          <w:rFonts w:ascii="Arial" w:hAnsi="Arial" w:cs="Arial"/>
          <w:sz w:val="28"/>
          <w:szCs w:val="28"/>
        </w:rPr>
        <w:t xml:space="preserve">genera la consecuencia de que los sujetos obligados deban considerar como </w:t>
      </w:r>
      <w:r w:rsidR="002D6B9E" w:rsidRPr="00F079CC">
        <w:rPr>
          <w:rFonts w:ascii="Arial" w:hAnsi="Arial" w:cs="Arial"/>
          <w:sz w:val="28"/>
          <w:szCs w:val="28"/>
        </w:rPr>
        <w:lastRenderedPageBreak/>
        <w:t xml:space="preserve">información reservada, sin excepción, </w:t>
      </w:r>
      <w:r w:rsidR="003D0857" w:rsidRPr="00F079CC">
        <w:rPr>
          <w:rFonts w:ascii="Arial" w:hAnsi="Arial" w:cs="Arial"/>
          <w:sz w:val="28"/>
          <w:szCs w:val="28"/>
          <w:lang w:val="es-ES"/>
        </w:rPr>
        <w:t>la inform</w:t>
      </w:r>
      <w:r w:rsidR="003D0857" w:rsidRPr="003D0857">
        <w:rPr>
          <w:rFonts w:ascii="Arial" w:hAnsi="Arial" w:cs="Arial"/>
          <w:sz w:val="28"/>
          <w:szCs w:val="28"/>
          <w:lang w:val="es-ES"/>
        </w:rPr>
        <w:t xml:space="preserve">ación contenida en los </w:t>
      </w:r>
      <w:r w:rsidR="003D0857" w:rsidRPr="0058070A">
        <w:rPr>
          <w:rFonts w:ascii="Arial" w:hAnsi="Arial" w:cs="Arial"/>
          <w:sz w:val="28"/>
          <w:szCs w:val="28"/>
          <w:lang w:val="es-MX"/>
        </w:rPr>
        <w:t>expedientes y reportes de resultados de los exámenes de evaluación</w:t>
      </w:r>
      <w:r w:rsidR="002D6B9E" w:rsidRPr="0058070A">
        <w:rPr>
          <w:rFonts w:ascii="Arial" w:hAnsi="Arial" w:cs="Arial"/>
          <w:sz w:val="28"/>
          <w:szCs w:val="28"/>
        </w:rPr>
        <w:t xml:space="preserve">, sin que exista, en atención al </w:t>
      </w:r>
      <w:r w:rsidR="00BC5F86">
        <w:rPr>
          <w:rFonts w:ascii="Arial" w:hAnsi="Arial" w:cs="Arial"/>
          <w:sz w:val="28"/>
          <w:szCs w:val="28"/>
        </w:rPr>
        <w:t xml:space="preserve">referido </w:t>
      </w:r>
      <w:r w:rsidR="002D6B9E" w:rsidRPr="0058070A">
        <w:rPr>
          <w:rFonts w:ascii="Arial" w:hAnsi="Arial" w:cs="Arial"/>
          <w:sz w:val="28"/>
          <w:szCs w:val="28"/>
        </w:rPr>
        <w:t>principio, la obligación de justificar dicha limitación, lo cual resulta inconstitucional.</w:t>
      </w:r>
    </w:p>
    <w:p w14:paraId="21197A57" w14:textId="77777777" w:rsidR="00642840" w:rsidRPr="00642840" w:rsidRDefault="00642840" w:rsidP="00642840">
      <w:pPr>
        <w:pStyle w:val="Prrafodelista"/>
        <w:rPr>
          <w:rFonts w:ascii="Arial" w:hAnsi="Arial" w:cs="Arial"/>
          <w:sz w:val="28"/>
          <w:szCs w:val="28"/>
          <w:lang w:val="es-MX"/>
        </w:rPr>
      </w:pPr>
    </w:p>
    <w:p w14:paraId="28BD098F" w14:textId="5BF2DF9E" w:rsidR="00642840" w:rsidRPr="000411D0" w:rsidRDefault="00642840" w:rsidP="000411D0">
      <w:pPr>
        <w:pStyle w:val="Prrafodelista"/>
        <w:numPr>
          <w:ilvl w:val="0"/>
          <w:numId w:val="15"/>
        </w:numPr>
        <w:spacing w:line="360" w:lineRule="auto"/>
        <w:ind w:left="0" w:hanging="567"/>
        <w:jc w:val="both"/>
        <w:rPr>
          <w:rFonts w:ascii="Arial" w:hAnsi="Arial" w:cs="Arial"/>
          <w:sz w:val="28"/>
          <w:szCs w:val="28"/>
          <w:lang w:val="es-MX"/>
        </w:rPr>
      </w:pPr>
      <w:r>
        <w:rPr>
          <w:rFonts w:ascii="Arial" w:hAnsi="Arial" w:cs="Arial"/>
          <w:sz w:val="28"/>
          <w:szCs w:val="28"/>
          <w:lang w:val="es-MX"/>
        </w:rPr>
        <w:t xml:space="preserve">En efecto, </w:t>
      </w:r>
      <w:r w:rsidRPr="00642840">
        <w:rPr>
          <w:rFonts w:ascii="Arial" w:hAnsi="Arial" w:cs="Arial"/>
          <w:sz w:val="28"/>
          <w:szCs w:val="28"/>
          <w:u w:val="single"/>
        </w:rPr>
        <w:t>puede existir información que no se trate de información personal y que, a pesar de estar relacionada con la</w:t>
      </w:r>
      <w:r w:rsidR="001A21CE">
        <w:rPr>
          <w:rFonts w:ascii="Arial" w:hAnsi="Arial" w:cs="Arial"/>
          <w:sz w:val="28"/>
          <w:szCs w:val="28"/>
          <w:u w:val="single"/>
        </w:rPr>
        <w:t>s</w:t>
      </w:r>
      <w:r w:rsidRPr="00642840">
        <w:rPr>
          <w:rFonts w:ascii="Arial" w:hAnsi="Arial" w:cs="Arial"/>
          <w:sz w:val="28"/>
          <w:szCs w:val="28"/>
          <w:u w:val="single"/>
        </w:rPr>
        <w:t xml:space="preserve"> </w:t>
      </w:r>
      <w:r w:rsidR="007A2081">
        <w:rPr>
          <w:rFonts w:ascii="Arial" w:hAnsi="Arial" w:cs="Arial"/>
          <w:sz w:val="28"/>
          <w:szCs w:val="28"/>
          <w:u w:val="single"/>
        </w:rPr>
        <w:t>funciones</w:t>
      </w:r>
      <w:r w:rsidR="00AD4E0A">
        <w:rPr>
          <w:rFonts w:ascii="Arial" w:hAnsi="Arial" w:cs="Arial"/>
          <w:sz w:val="28"/>
          <w:szCs w:val="28"/>
          <w:u w:val="single"/>
        </w:rPr>
        <w:t xml:space="preserve"> </w:t>
      </w:r>
      <w:r w:rsidR="007A2081">
        <w:rPr>
          <w:rFonts w:ascii="Arial" w:hAnsi="Arial" w:cs="Arial"/>
          <w:sz w:val="28"/>
          <w:szCs w:val="28"/>
          <w:u w:val="single"/>
        </w:rPr>
        <w:t xml:space="preserve">de procuración de justicia </w:t>
      </w:r>
      <w:r w:rsidRPr="00642840">
        <w:rPr>
          <w:rFonts w:ascii="Arial" w:hAnsi="Arial" w:cs="Arial"/>
          <w:sz w:val="28"/>
          <w:szCs w:val="28"/>
          <w:u w:val="single"/>
        </w:rPr>
        <w:t>no deba ser reservada ya que su divulgación no es susceptible de ocasionar alguna afectación a aquélla</w:t>
      </w:r>
      <w:r w:rsidRPr="00FB1B42">
        <w:rPr>
          <w:rFonts w:ascii="Arial" w:hAnsi="Arial" w:cs="Arial"/>
          <w:sz w:val="28"/>
          <w:szCs w:val="28"/>
        </w:rPr>
        <w:t>.</w:t>
      </w:r>
      <w:r w:rsidR="00121995" w:rsidRPr="00FB1B42">
        <w:rPr>
          <w:rFonts w:ascii="Arial" w:hAnsi="Arial" w:cs="Arial"/>
          <w:sz w:val="28"/>
          <w:szCs w:val="28"/>
        </w:rPr>
        <w:t xml:space="preserve"> </w:t>
      </w:r>
      <w:r w:rsidR="002D1C9C">
        <w:rPr>
          <w:rFonts w:ascii="Arial" w:hAnsi="Arial" w:cs="Arial"/>
          <w:sz w:val="28"/>
          <w:szCs w:val="28"/>
        </w:rPr>
        <w:t>P</w:t>
      </w:r>
      <w:r w:rsidR="00253DDC" w:rsidRPr="00121995">
        <w:rPr>
          <w:rFonts w:ascii="Arial" w:hAnsi="Arial" w:cs="Arial"/>
          <w:sz w:val="28"/>
          <w:szCs w:val="28"/>
        </w:rPr>
        <w:t>or lo que</w:t>
      </w:r>
      <w:r w:rsidR="00253DDC">
        <w:rPr>
          <w:rFonts w:ascii="Arial" w:hAnsi="Arial" w:cs="Arial"/>
          <w:sz w:val="28"/>
          <w:szCs w:val="28"/>
        </w:rPr>
        <w:t>,</w:t>
      </w:r>
      <w:r w:rsidRPr="00121995">
        <w:rPr>
          <w:rFonts w:ascii="Arial" w:hAnsi="Arial" w:cs="Arial"/>
          <w:sz w:val="28"/>
          <w:szCs w:val="28"/>
        </w:rPr>
        <w:t xml:space="preserve"> consider</w:t>
      </w:r>
      <w:r w:rsidR="002D1C9C">
        <w:rPr>
          <w:rFonts w:ascii="Arial" w:hAnsi="Arial" w:cs="Arial"/>
          <w:sz w:val="28"/>
          <w:szCs w:val="28"/>
        </w:rPr>
        <w:t>o</w:t>
      </w:r>
      <w:r w:rsidRPr="00121995">
        <w:rPr>
          <w:rFonts w:ascii="Arial" w:hAnsi="Arial" w:cs="Arial"/>
          <w:sz w:val="28"/>
          <w:szCs w:val="28"/>
        </w:rPr>
        <w:t xml:space="preserve"> que la porción normativa impugnada es </w:t>
      </w:r>
      <w:proofErr w:type="spellStart"/>
      <w:r w:rsidRPr="00121995">
        <w:rPr>
          <w:rFonts w:ascii="Arial" w:hAnsi="Arial" w:cs="Arial"/>
          <w:sz w:val="28"/>
          <w:szCs w:val="28"/>
        </w:rPr>
        <w:t>sobre</w:t>
      </w:r>
      <w:r w:rsidR="00706B4A">
        <w:rPr>
          <w:rFonts w:ascii="Arial" w:hAnsi="Arial" w:cs="Arial"/>
          <w:sz w:val="28"/>
          <w:szCs w:val="28"/>
        </w:rPr>
        <w:t>-</w:t>
      </w:r>
      <w:r w:rsidRPr="00121995">
        <w:rPr>
          <w:rFonts w:ascii="Arial" w:hAnsi="Arial" w:cs="Arial"/>
          <w:sz w:val="28"/>
          <w:szCs w:val="28"/>
        </w:rPr>
        <w:t>inclusiva</w:t>
      </w:r>
      <w:proofErr w:type="spellEnd"/>
      <w:r w:rsidRPr="00121995">
        <w:rPr>
          <w:rFonts w:ascii="Arial" w:hAnsi="Arial" w:cs="Arial"/>
          <w:sz w:val="28"/>
          <w:szCs w:val="28"/>
        </w:rPr>
        <w:t xml:space="preserve">, ya que se limita el acceso a información pública que verse sobre </w:t>
      </w:r>
      <w:r w:rsidR="00636218" w:rsidRPr="000411D0">
        <w:rPr>
          <w:rFonts w:ascii="Arial" w:hAnsi="Arial" w:cs="Arial"/>
          <w:sz w:val="28"/>
          <w:szCs w:val="28"/>
          <w:lang w:val="es-MX"/>
        </w:rPr>
        <w:t>expedientes y reportes de resultados de los exámenes de evaluación</w:t>
      </w:r>
      <w:r w:rsidR="000411D0">
        <w:rPr>
          <w:rFonts w:ascii="Arial" w:hAnsi="Arial" w:cs="Arial"/>
          <w:sz w:val="28"/>
          <w:szCs w:val="28"/>
          <w:lang w:val="es-MX"/>
        </w:rPr>
        <w:t xml:space="preserve"> </w:t>
      </w:r>
      <w:r w:rsidRPr="000411D0">
        <w:rPr>
          <w:rFonts w:ascii="Arial" w:hAnsi="Arial" w:cs="Arial"/>
          <w:sz w:val="28"/>
          <w:szCs w:val="28"/>
        </w:rPr>
        <w:t>y que, a pesar de estar relacionada de forma directa o indirecta con la</w:t>
      </w:r>
      <w:r w:rsidR="000411D0">
        <w:rPr>
          <w:rFonts w:ascii="Arial" w:hAnsi="Arial" w:cs="Arial"/>
          <w:sz w:val="28"/>
          <w:szCs w:val="28"/>
        </w:rPr>
        <w:t>s funciones de procuración de justicia</w:t>
      </w:r>
      <w:r w:rsidRPr="000411D0">
        <w:rPr>
          <w:rFonts w:ascii="Arial" w:hAnsi="Arial" w:cs="Arial"/>
          <w:sz w:val="28"/>
          <w:szCs w:val="28"/>
        </w:rPr>
        <w:t>, no forzosamente debe ser reservada, lo cual vulnera el principio constitucional de máxima publicidad</w:t>
      </w:r>
      <w:r w:rsidR="00D85AF8">
        <w:rPr>
          <w:rFonts w:ascii="Arial" w:hAnsi="Arial" w:cs="Arial"/>
          <w:sz w:val="28"/>
          <w:szCs w:val="28"/>
        </w:rPr>
        <w:t xml:space="preserve"> contenido en el artículo 6º constitucional.</w:t>
      </w:r>
    </w:p>
    <w:p w14:paraId="714A0BDB" w14:textId="77777777" w:rsidR="00642840" w:rsidRPr="0058070A" w:rsidRDefault="00642840" w:rsidP="001E389C">
      <w:pPr>
        <w:pStyle w:val="Prrafodelista"/>
        <w:spacing w:line="360" w:lineRule="auto"/>
        <w:ind w:left="0"/>
        <w:jc w:val="both"/>
        <w:rPr>
          <w:rFonts w:ascii="Arial" w:hAnsi="Arial" w:cs="Arial"/>
          <w:sz w:val="28"/>
          <w:szCs w:val="28"/>
          <w:lang w:val="es-MX"/>
        </w:rPr>
      </w:pPr>
    </w:p>
    <w:p w14:paraId="0CD17575" w14:textId="77777777" w:rsidR="00B05547" w:rsidRDefault="00B05547" w:rsidP="00B05547">
      <w:pPr>
        <w:pStyle w:val="Prrafodelista"/>
        <w:spacing w:line="360" w:lineRule="auto"/>
        <w:ind w:left="0"/>
        <w:jc w:val="both"/>
        <w:rPr>
          <w:rFonts w:ascii="Arial" w:hAnsi="Arial" w:cs="Arial"/>
          <w:sz w:val="28"/>
          <w:szCs w:val="28"/>
          <w:highlight w:val="yellow"/>
          <w:u w:val="single"/>
          <w:lang w:val="es-MX"/>
        </w:rPr>
      </w:pPr>
    </w:p>
    <w:p w14:paraId="201CC26D" w14:textId="77777777" w:rsidR="00846758" w:rsidRDefault="00846758" w:rsidP="00B05547">
      <w:pPr>
        <w:pStyle w:val="Prrafodelista"/>
        <w:spacing w:line="360" w:lineRule="auto"/>
        <w:ind w:left="0"/>
        <w:jc w:val="both"/>
        <w:rPr>
          <w:rFonts w:ascii="Arial" w:hAnsi="Arial" w:cs="Arial"/>
          <w:sz w:val="28"/>
          <w:szCs w:val="28"/>
          <w:highlight w:val="yellow"/>
          <w:u w:val="single"/>
          <w:lang w:val="es-MX"/>
        </w:rPr>
      </w:pPr>
    </w:p>
    <w:p w14:paraId="5B4737C3" w14:textId="77777777" w:rsidR="006C1CEC" w:rsidRPr="006C1CEC" w:rsidRDefault="006C1CEC" w:rsidP="00B05547">
      <w:pPr>
        <w:pStyle w:val="Prrafodelista"/>
        <w:spacing w:line="360" w:lineRule="auto"/>
        <w:ind w:left="0"/>
        <w:jc w:val="both"/>
        <w:rPr>
          <w:rFonts w:ascii="Arial" w:hAnsi="Arial" w:cs="Arial"/>
          <w:sz w:val="28"/>
          <w:szCs w:val="28"/>
          <w:u w:val="single"/>
          <w:lang w:val="es-MX"/>
        </w:rPr>
      </w:pPr>
    </w:p>
    <w:p w14:paraId="45E8BBE9" w14:textId="1146A291" w:rsidR="003C7F93" w:rsidRPr="006C1CEC" w:rsidRDefault="004015BC" w:rsidP="004015BC">
      <w:pPr>
        <w:jc w:val="center"/>
        <w:rPr>
          <w:rFonts w:ascii="Arial" w:hAnsi="Arial" w:cs="Arial"/>
          <w:b/>
          <w:sz w:val="28"/>
          <w:szCs w:val="28"/>
        </w:rPr>
      </w:pPr>
      <w:r w:rsidRPr="006C1CEC">
        <w:rPr>
          <w:rFonts w:ascii="Arial" w:hAnsi="Arial" w:cs="Arial"/>
          <w:b/>
          <w:sz w:val="28"/>
          <w:szCs w:val="28"/>
        </w:rPr>
        <w:t>____________</w:t>
      </w:r>
      <w:r w:rsidR="003C7F93" w:rsidRPr="006C1CEC">
        <w:rPr>
          <w:rFonts w:ascii="Arial" w:hAnsi="Arial" w:cs="Arial"/>
          <w:b/>
          <w:sz w:val="28"/>
          <w:szCs w:val="28"/>
        </w:rPr>
        <w:t>_____</w:t>
      </w:r>
      <w:r w:rsidR="00601BA6">
        <w:rPr>
          <w:rFonts w:ascii="Arial" w:hAnsi="Arial" w:cs="Arial"/>
          <w:b/>
          <w:sz w:val="28"/>
          <w:szCs w:val="28"/>
        </w:rPr>
        <w:t>___________</w:t>
      </w:r>
      <w:r w:rsidR="003C7F93" w:rsidRPr="006C1CEC">
        <w:rPr>
          <w:rFonts w:ascii="Arial" w:hAnsi="Arial" w:cs="Arial"/>
          <w:b/>
          <w:sz w:val="28"/>
          <w:szCs w:val="28"/>
        </w:rPr>
        <w:t>________________________</w:t>
      </w:r>
    </w:p>
    <w:p w14:paraId="4B05889E" w14:textId="0F49869A" w:rsidR="003C7F93" w:rsidRPr="006C1CEC" w:rsidRDefault="00601BA6" w:rsidP="004015BC">
      <w:pPr>
        <w:jc w:val="center"/>
        <w:rPr>
          <w:rFonts w:ascii="Arial" w:hAnsi="Arial" w:cs="Arial"/>
          <w:b/>
          <w:sz w:val="28"/>
          <w:szCs w:val="28"/>
        </w:rPr>
      </w:pPr>
      <w:r w:rsidRPr="006C1CEC">
        <w:rPr>
          <w:rFonts w:ascii="Arial" w:hAnsi="Arial" w:cs="Arial"/>
          <w:b/>
          <w:sz w:val="28"/>
          <w:szCs w:val="28"/>
        </w:rPr>
        <w:t>MINISTRO JUAN LUIS GONZÁLEZ ALCÁNTARA CARRANCÁ</w:t>
      </w:r>
    </w:p>
    <w:p w14:paraId="0C6F1112" w14:textId="77777777" w:rsidR="00736824" w:rsidRPr="006C1CEC" w:rsidRDefault="00736824" w:rsidP="00E320F6">
      <w:pPr>
        <w:spacing w:line="360" w:lineRule="auto"/>
        <w:jc w:val="both"/>
        <w:rPr>
          <w:rFonts w:ascii="Arial" w:hAnsi="Arial" w:cs="Arial"/>
          <w:sz w:val="28"/>
          <w:szCs w:val="28"/>
        </w:rPr>
      </w:pPr>
    </w:p>
    <w:p w14:paraId="29F66B3B" w14:textId="77777777" w:rsidR="00122755" w:rsidRDefault="00122755" w:rsidP="00E320F6">
      <w:pPr>
        <w:spacing w:line="360" w:lineRule="auto"/>
        <w:jc w:val="both"/>
        <w:rPr>
          <w:rFonts w:ascii="Arial" w:hAnsi="Arial" w:cs="Arial"/>
          <w:sz w:val="28"/>
          <w:szCs w:val="28"/>
        </w:rPr>
      </w:pPr>
    </w:p>
    <w:p w14:paraId="55BDEC9A" w14:textId="77777777" w:rsidR="00846758" w:rsidRDefault="00846758" w:rsidP="00E320F6">
      <w:pPr>
        <w:spacing w:line="360" w:lineRule="auto"/>
        <w:jc w:val="both"/>
        <w:rPr>
          <w:rFonts w:ascii="Arial" w:hAnsi="Arial" w:cs="Arial"/>
          <w:sz w:val="28"/>
          <w:szCs w:val="28"/>
        </w:rPr>
      </w:pPr>
    </w:p>
    <w:p w14:paraId="68C36112" w14:textId="77777777" w:rsidR="00846758" w:rsidRPr="006C1CEC" w:rsidRDefault="00846758" w:rsidP="00E320F6">
      <w:pPr>
        <w:spacing w:line="360" w:lineRule="auto"/>
        <w:jc w:val="both"/>
        <w:rPr>
          <w:rFonts w:ascii="Arial" w:hAnsi="Arial" w:cs="Arial"/>
          <w:sz w:val="28"/>
          <w:szCs w:val="28"/>
        </w:rPr>
      </w:pPr>
    </w:p>
    <w:p w14:paraId="79C9E726" w14:textId="4BD09F7C" w:rsidR="004015BC" w:rsidRPr="006C1CEC" w:rsidRDefault="004015BC" w:rsidP="004015BC">
      <w:pPr>
        <w:ind w:left="1416" w:firstLine="708"/>
        <w:jc w:val="both"/>
        <w:rPr>
          <w:rFonts w:ascii="Arial" w:hAnsi="Arial" w:cs="Arial"/>
          <w:sz w:val="28"/>
          <w:szCs w:val="28"/>
        </w:rPr>
      </w:pPr>
      <w:r w:rsidRPr="006C1CEC">
        <w:rPr>
          <w:rFonts w:ascii="Arial" w:hAnsi="Arial" w:cs="Arial"/>
          <w:sz w:val="28"/>
          <w:szCs w:val="28"/>
        </w:rPr>
        <w:t>_________________</w:t>
      </w:r>
      <w:r w:rsidR="00601BA6">
        <w:rPr>
          <w:rFonts w:ascii="Arial" w:hAnsi="Arial" w:cs="Arial"/>
          <w:sz w:val="28"/>
          <w:szCs w:val="28"/>
        </w:rPr>
        <w:t>_______</w:t>
      </w:r>
      <w:r w:rsidRPr="006C1CEC">
        <w:rPr>
          <w:rFonts w:ascii="Arial" w:hAnsi="Arial" w:cs="Arial"/>
          <w:sz w:val="28"/>
          <w:szCs w:val="28"/>
        </w:rPr>
        <w:t>_______</w:t>
      </w:r>
    </w:p>
    <w:p w14:paraId="51B5A59F" w14:textId="2690567F" w:rsidR="004015BC" w:rsidRPr="006C1CEC" w:rsidRDefault="00601BA6" w:rsidP="004015BC">
      <w:pPr>
        <w:jc w:val="center"/>
        <w:rPr>
          <w:rFonts w:ascii="Arial" w:hAnsi="Arial" w:cs="Arial"/>
          <w:b/>
          <w:sz w:val="28"/>
          <w:szCs w:val="28"/>
        </w:rPr>
      </w:pPr>
      <w:r w:rsidRPr="006C1CEC">
        <w:rPr>
          <w:rFonts w:ascii="Arial" w:hAnsi="Arial" w:cs="Arial"/>
          <w:b/>
          <w:sz w:val="28"/>
          <w:szCs w:val="28"/>
        </w:rPr>
        <w:t>LIC. RAFAEL COELLO CETINA</w:t>
      </w:r>
    </w:p>
    <w:p w14:paraId="409FB8AD" w14:textId="01D0BE7F" w:rsidR="00601BA6" w:rsidRPr="006C1CEC" w:rsidRDefault="00601BA6" w:rsidP="00601BA6">
      <w:pPr>
        <w:jc w:val="center"/>
        <w:rPr>
          <w:rFonts w:ascii="Arial" w:hAnsi="Arial" w:cs="Arial"/>
          <w:b/>
          <w:sz w:val="28"/>
          <w:szCs w:val="28"/>
        </w:rPr>
      </w:pPr>
      <w:r w:rsidRPr="006C1CEC">
        <w:rPr>
          <w:rFonts w:ascii="Arial" w:hAnsi="Arial" w:cs="Arial"/>
          <w:b/>
          <w:sz w:val="28"/>
          <w:szCs w:val="28"/>
        </w:rPr>
        <w:t>SECRETARIO GENERAL DE ACUERDOS</w:t>
      </w:r>
    </w:p>
    <w:p w14:paraId="3CB18398" w14:textId="2CDF9E41" w:rsidR="008A1180" w:rsidRPr="006C1CEC" w:rsidRDefault="008A1180" w:rsidP="00CB48E5">
      <w:pPr>
        <w:jc w:val="center"/>
        <w:rPr>
          <w:rFonts w:ascii="Arial" w:hAnsi="Arial" w:cs="Arial"/>
          <w:b/>
          <w:sz w:val="28"/>
          <w:szCs w:val="28"/>
        </w:rPr>
      </w:pPr>
    </w:p>
    <w:p w14:paraId="73C3BCC4" w14:textId="372DA723" w:rsidR="00971025" w:rsidRPr="006C1CEC" w:rsidRDefault="00971025" w:rsidP="00CB48E5">
      <w:pPr>
        <w:jc w:val="center"/>
        <w:rPr>
          <w:rFonts w:ascii="Arial" w:hAnsi="Arial" w:cs="Arial"/>
          <w:b/>
          <w:sz w:val="28"/>
          <w:szCs w:val="28"/>
        </w:rPr>
      </w:pPr>
    </w:p>
    <w:p w14:paraId="0C33ED53" w14:textId="77777777" w:rsidR="00D85AF8" w:rsidRPr="006C1CEC" w:rsidRDefault="00D85AF8" w:rsidP="00CB48E5">
      <w:pPr>
        <w:jc w:val="center"/>
        <w:rPr>
          <w:rFonts w:ascii="Arial" w:hAnsi="Arial" w:cs="Arial"/>
          <w:b/>
          <w:sz w:val="28"/>
          <w:szCs w:val="28"/>
        </w:rPr>
      </w:pPr>
    </w:p>
    <w:p w14:paraId="252BC1E6" w14:textId="06569E97" w:rsidR="00180A43" w:rsidRPr="00E43982" w:rsidRDefault="00354387" w:rsidP="00E320F6">
      <w:pPr>
        <w:spacing w:line="360" w:lineRule="auto"/>
        <w:jc w:val="both"/>
        <w:rPr>
          <w:rFonts w:ascii="Arial" w:hAnsi="Arial" w:cs="Arial"/>
          <w:sz w:val="28"/>
          <w:szCs w:val="28"/>
        </w:rPr>
      </w:pP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Pr="006C1CEC">
        <w:rPr>
          <w:rFonts w:ascii="Arial" w:hAnsi="Arial" w:cs="Arial"/>
          <w:sz w:val="28"/>
          <w:szCs w:val="28"/>
        </w:rPr>
        <w:tab/>
      </w:r>
      <w:r w:rsidR="00D85AF8">
        <w:rPr>
          <w:rFonts w:ascii="Arial" w:hAnsi="Arial" w:cs="Arial"/>
          <w:sz w:val="28"/>
          <w:szCs w:val="28"/>
        </w:rPr>
        <w:t>DCB/</w:t>
      </w:r>
      <w:r w:rsidR="008A1180" w:rsidRPr="006C1CEC">
        <w:rPr>
          <w:rFonts w:ascii="Arial" w:hAnsi="Arial" w:cs="Arial"/>
          <w:sz w:val="28"/>
          <w:szCs w:val="28"/>
        </w:rPr>
        <w:t>OCC</w:t>
      </w:r>
      <w:r w:rsidR="0000299E" w:rsidRPr="006C1CEC">
        <w:rPr>
          <w:rFonts w:ascii="Arial" w:hAnsi="Arial" w:cs="Arial"/>
          <w:sz w:val="28"/>
          <w:szCs w:val="28"/>
        </w:rPr>
        <w:t>/JJZB</w:t>
      </w:r>
    </w:p>
    <w:sectPr w:rsidR="00180A43" w:rsidRPr="00E43982" w:rsidSect="00846758">
      <w:headerReference w:type="even" r:id="rId8"/>
      <w:headerReference w:type="default" r:id="rId9"/>
      <w:footerReference w:type="even" r:id="rId10"/>
      <w:footerReference w:type="default" r:id="rId11"/>
      <w:footerReference w:type="first" r:id="rId12"/>
      <w:pgSz w:w="12240" w:h="19293" w:code="305"/>
      <w:pgMar w:top="2552"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3C41" w14:textId="77777777" w:rsidR="007703DF" w:rsidRDefault="007703DF" w:rsidP="00574349">
      <w:r>
        <w:separator/>
      </w:r>
    </w:p>
  </w:endnote>
  <w:endnote w:type="continuationSeparator" w:id="0">
    <w:p w14:paraId="0195914D" w14:textId="77777777" w:rsidR="007703DF" w:rsidRDefault="007703DF" w:rsidP="0057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6026"/>
      <w:docPartObj>
        <w:docPartGallery w:val="Page Numbers (Bottom of Page)"/>
        <w:docPartUnique/>
      </w:docPartObj>
    </w:sdtPr>
    <w:sdtEndPr>
      <w:rPr>
        <w:rFonts w:ascii="Arial" w:hAnsi="Arial" w:cs="Arial"/>
      </w:rPr>
    </w:sdtEndPr>
    <w:sdtContent>
      <w:p w14:paraId="2DCBD193" w14:textId="374C3A3B" w:rsidR="00846758" w:rsidRPr="00846758" w:rsidRDefault="00846758">
        <w:pPr>
          <w:pStyle w:val="Piedepgina"/>
          <w:jc w:val="center"/>
          <w:rPr>
            <w:rFonts w:ascii="Arial" w:hAnsi="Arial" w:cs="Arial"/>
          </w:rPr>
        </w:pPr>
        <w:r w:rsidRPr="00846758">
          <w:rPr>
            <w:rFonts w:ascii="Arial" w:hAnsi="Arial" w:cs="Arial"/>
          </w:rPr>
          <w:fldChar w:fldCharType="begin"/>
        </w:r>
        <w:r w:rsidRPr="00846758">
          <w:rPr>
            <w:rFonts w:ascii="Arial" w:hAnsi="Arial" w:cs="Arial"/>
          </w:rPr>
          <w:instrText>PAGE   \* MERGEFORMAT</w:instrText>
        </w:r>
        <w:r w:rsidRPr="00846758">
          <w:rPr>
            <w:rFonts w:ascii="Arial" w:hAnsi="Arial" w:cs="Arial"/>
          </w:rPr>
          <w:fldChar w:fldCharType="separate"/>
        </w:r>
        <w:r w:rsidRPr="00846758">
          <w:rPr>
            <w:rFonts w:ascii="Arial" w:hAnsi="Arial" w:cs="Arial"/>
            <w:lang w:val="es-ES"/>
          </w:rPr>
          <w:t>2</w:t>
        </w:r>
        <w:r w:rsidRPr="00846758">
          <w:rPr>
            <w:rFonts w:ascii="Arial" w:hAnsi="Arial" w:cs="Arial"/>
          </w:rPr>
          <w:fldChar w:fldCharType="end"/>
        </w:r>
      </w:p>
    </w:sdtContent>
  </w:sdt>
  <w:p w14:paraId="4708774F" w14:textId="77777777" w:rsidR="00846758" w:rsidRDefault="008467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69523"/>
      <w:docPartObj>
        <w:docPartGallery w:val="Page Numbers (Bottom of Page)"/>
        <w:docPartUnique/>
      </w:docPartObj>
    </w:sdtPr>
    <w:sdtEndPr>
      <w:rPr>
        <w:rFonts w:ascii="Arial" w:hAnsi="Arial" w:cs="Arial"/>
      </w:rPr>
    </w:sdtEndPr>
    <w:sdtContent>
      <w:p w14:paraId="01B86915" w14:textId="66B2E815" w:rsidR="00846758" w:rsidRPr="00846758" w:rsidRDefault="00846758">
        <w:pPr>
          <w:pStyle w:val="Piedepgina"/>
          <w:jc w:val="center"/>
          <w:rPr>
            <w:rFonts w:ascii="Arial" w:hAnsi="Arial" w:cs="Arial"/>
          </w:rPr>
        </w:pPr>
        <w:r w:rsidRPr="00846758">
          <w:rPr>
            <w:rFonts w:ascii="Arial" w:hAnsi="Arial" w:cs="Arial"/>
          </w:rPr>
          <w:fldChar w:fldCharType="begin"/>
        </w:r>
        <w:r w:rsidRPr="00846758">
          <w:rPr>
            <w:rFonts w:ascii="Arial" w:hAnsi="Arial" w:cs="Arial"/>
          </w:rPr>
          <w:instrText>PAGE   \* MERGEFORMAT</w:instrText>
        </w:r>
        <w:r w:rsidRPr="00846758">
          <w:rPr>
            <w:rFonts w:ascii="Arial" w:hAnsi="Arial" w:cs="Arial"/>
          </w:rPr>
          <w:fldChar w:fldCharType="separate"/>
        </w:r>
        <w:r w:rsidRPr="00846758">
          <w:rPr>
            <w:rFonts w:ascii="Arial" w:hAnsi="Arial" w:cs="Arial"/>
            <w:lang w:val="es-ES"/>
          </w:rPr>
          <w:t>2</w:t>
        </w:r>
        <w:r w:rsidRPr="00846758">
          <w:rPr>
            <w:rFonts w:ascii="Arial" w:hAnsi="Arial" w:cs="Arial"/>
          </w:rPr>
          <w:fldChar w:fldCharType="end"/>
        </w:r>
      </w:p>
    </w:sdtContent>
  </w:sdt>
  <w:p w14:paraId="5B982E45" w14:textId="77777777" w:rsidR="00846758" w:rsidRDefault="008467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635510"/>
      <w:docPartObj>
        <w:docPartGallery w:val="Page Numbers (Bottom of Page)"/>
        <w:docPartUnique/>
      </w:docPartObj>
    </w:sdtPr>
    <w:sdtContent>
      <w:p w14:paraId="4DC46A84" w14:textId="6B2AD0F8" w:rsidR="00846758" w:rsidRDefault="00846758">
        <w:pPr>
          <w:pStyle w:val="Piedepgina"/>
          <w:jc w:val="center"/>
        </w:pPr>
        <w:r>
          <w:fldChar w:fldCharType="begin"/>
        </w:r>
        <w:r>
          <w:instrText>PAGE   \* MERGEFORMAT</w:instrText>
        </w:r>
        <w:r>
          <w:fldChar w:fldCharType="separate"/>
        </w:r>
        <w:r>
          <w:rPr>
            <w:lang w:val="es-ES"/>
          </w:rPr>
          <w:t>2</w:t>
        </w:r>
        <w:r>
          <w:fldChar w:fldCharType="end"/>
        </w:r>
      </w:p>
    </w:sdtContent>
  </w:sdt>
  <w:p w14:paraId="5580EB01" w14:textId="77777777" w:rsidR="00846758" w:rsidRDefault="00846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1118" w14:textId="77777777" w:rsidR="007703DF" w:rsidRDefault="007703DF" w:rsidP="00574349">
      <w:r>
        <w:separator/>
      </w:r>
    </w:p>
  </w:footnote>
  <w:footnote w:type="continuationSeparator" w:id="0">
    <w:p w14:paraId="413FCEB9" w14:textId="77777777" w:rsidR="007703DF" w:rsidRDefault="007703DF" w:rsidP="00574349">
      <w:r>
        <w:continuationSeparator/>
      </w:r>
    </w:p>
  </w:footnote>
  <w:footnote w:id="1">
    <w:p w14:paraId="521CA7BC" w14:textId="63EAF53E" w:rsidR="00826000" w:rsidRPr="006320E1" w:rsidRDefault="00765B9A" w:rsidP="00765B9A">
      <w:pPr>
        <w:pStyle w:val="Textonotapie"/>
        <w:jc w:val="both"/>
        <w:rPr>
          <w:rFonts w:ascii="Arial" w:hAnsi="Arial" w:cs="Arial"/>
          <w:sz w:val="20"/>
          <w:szCs w:val="20"/>
        </w:rPr>
      </w:pPr>
      <w:r w:rsidRPr="006320E1">
        <w:rPr>
          <w:rStyle w:val="Refdenotaalpie"/>
          <w:rFonts w:ascii="Arial" w:hAnsi="Arial" w:cs="Arial"/>
          <w:sz w:val="20"/>
          <w:szCs w:val="20"/>
        </w:rPr>
        <w:footnoteRef/>
      </w:r>
      <w:r w:rsidRPr="006320E1">
        <w:rPr>
          <w:rFonts w:ascii="Arial" w:hAnsi="Arial" w:cs="Arial"/>
          <w:sz w:val="20"/>
          <w:szCs w:val="20"/>
        </w:rPr>
        <w:t xml:space="preserve"> </w:t>
      </w:r>
      <w:r w:rsidR="00231938" w:rsidRPr="006320E1">
        <w:rPr>
          <w:rFonts w:ascii="Arial" w:hAnsi="Arial" w:cs="Arial"/>
          <w:sz w:val="20"/>
          <w:szCs w:val="20"/>
        </w:rPr>
        <w:t>Las razones que expongo en mi vot</w:t>
      </w:r>
      <w:r w:rsidR="00020D85" w:rsidRPr="006320E1">
        <w:rPr>
          <w:rFonts w:ascii="Arial" w:hAnsi="Arial" w:cs="Arial"/>
          <w:sz w:val="20"/>
          <w:szCs w:val="20"/>
        </w:rPr>
        <w:t xml:space="preserve">o fueron sustento para declarar la invalidez </w:t>
      </w:r>
      <w:r w:rsidR="00826000" w:rsidRPr="00826000">
        <w:rPr>
          <w:rFonts w:ascii="Arial" w:hAnsi="Arial" w:cs="Arial"/>
          <w:sz w:val="20"/>
          <w:szCs w:val="20"/>
          <w:lang w:val="es-MX"/>
        </w:rPr>
        <w:t xml:space="preserve">de las normas impugnadas, en las porciones respectivas que refieren </w:t>
      </w:r>
      <w:r w:rsidR="00826000" w:rsidRPr="00826000">
        <w:rPr>
          <w:rFonts w:ascii="Arial" w:hAnsi="Arial" w:cs="Arial"/>
          <w:b/>
          <w:i/>
          <w:sz w:val="20"/>
          <w:szCs w:val="20"/>
          <w:lang w:val="es-MX"/>
        </w:rPr>
        <w:t>“ni haber sido destituido o inhabilitado por resolución firme como servidor público;”</w:t>
      </w:r>
      <w:r w:rsidR="00826000" w:rsidRPr="00826000">
        <w:rPr>
          <w:rFonts w:ascii="Arial" w:hAnsi="Arial" w:cs="Arial"/>
          <w:sz w:val="20"/>
          <w:szCs w:val="20"/>
          <w:lang w:val="es-MX"/>
        </w:rPr>
        <w:t xml:space="preserve"> contenidas en los artículos 74, fracción VII, 75, fracción VI, 84, apartado A, fracción VIII, 85, apartado A, fracción XI; y, 86, apartado A, fracción VIII</w:t>
      </w:r>
      <w:r w:rsidR="00F72A1B">
        <w:rPr>
          <w:rFonts w:ascii="Arial" w:hAnsi="Arial" w:cs="Arial"/>
          <w:sz w:val="20"/>
          <w:szCs w:val="20"/>
          <w:lang w:val="es-MX"/>
        </w:rPr>
        <w:t>,</w:t>
      </w:r>
      <w:r w:rsidR="00826000" w:rsidRPr="00826000">
        <w:rPr>
          <w:rFonts w:ascii="Arial" w:hAnsi="Arial" w:cs="Arial"/>
          <w:sz w:val="20"/>
          <w:szCs w:val="20"/>
          <w:lang w:val="es-MX"/>
        </w:rPr>
        <w:t xml:space="preserve"> de la Ley Orgánica de la Fiscalía General del Estado de Quintana Roo.</w:t>
      </w:r>
    </w:p>
  </w:footnote>
  <w:footnote w:id="2">
    <w:p w14:paraId="0F96C94F" w14:textId="33555B6C" w:rsidR="00E61525" w:rsidRPr="00826000" w:rsidRDefault="000C0F43" w:rsidP="000C0F43">
      <w:pPr>
        <w:pStyle w:val="Textonotapie"/>
        <w:jc w:val="both"/>
        <w:rPr>
          <w:rFonts w:ascii="Arial" w:hAnsi="Arial" w:cs="Arial"/>
          <w:sz w:val="20"/>
          <w:szCs w:val="20"/>
          <w:lang w:val="es-MX"/>
        </w:rPr>
      </w:pPr>
      <w:r w:rsidRPr="006320E1">
        <w:rPr>
          <w:rStyle w:val="Refdenotaalpie"/>
          <w:rFonts w:ascii="Arial" w:hAnsi="Arial" w:cs="Arial"/>
          <w:sz w:val="20"/>
          <w:szCs w:val="20"/>
        </w:rPr>
        <w:footnoteRef/>
      </w:r>
      <w:r w:rsidRPr="006320E1">
        <w:rPr>
          <w:rFonts w:ascii="Arial" w:hAnsi="Arial" w:cs="Arial"/>
          <w:sz w:val="20"/>
          <w:szCs w:val="20"/>
        </w:rPr>
        <w:t xml:space="preserve"> Las razones que expongo en mi voto</w:t>
      </w:r>
      <w:r w:rsidR="00F97845" w:rsidRPr="006320E1">
        <w:rPr>
          <w:rFonts w:ascii="Arial" w:hAnsi="Arial" w:cs="Arial"/>
          <w:sz w:val="20"/>
          <w:szCs w:val="20"/>
        </w:rPr>
        <w:t>, también</w:t>
      </w:r>
      <w:r w:rsidRPr="006320E1">
        <w:rPr>
          <w:rFonts w:ascii="Arial" w:hAnsi="Arial" w:cs="Arial"/>
          <w:sz w:val="20"/>
          <w:szCs w:val="20"/>
        </w:rPr>
        <w:t xml:space="preserve"> fueron sustento para declarar la invalidez </w:t>
      </w:r>
      <w:r w:rsidR="00E61525" w:rsidRPr="006320E1">
        <w:rPr>
          <w:rFonts w:ascii="Arial" w:hAnsi="Arial" w:cs="Arial"/>
          <w:sz w:val="20"/>
          <w:szCs w:val="20"/>
        </w:rPr>
        <w:t>de la porci</w:t>
      </w:r>
      <w:r w:rsidR="00323A5A" w:rsidRPr="006320E1">
        <w:rPr>
          <w:rFonts w:ascii="Arial" w:hAnsi="Arial" w:cs="Arial"/>
          <w:sz w:val="20"/>
          <w:szCs w:val="20"/>
        </w:rPr>
        <w:t>ó</w:t>
      </w:r>
      <w:r w:rsidR="00E61525" w:rsidRPr="006320E1">
        <w:rPr>
          <w:rFonts w:ascii="Arial" w:hAnsi="Arial" w:cs="Arial"/>
          <w:sz w:val="20"/>
          <w:szCs w:val="20"/>
        </w:rPr>
        <w:t>n normativa “</w:t>
      </w:r>
      <w:r w:rsidR="00E61525" w:rsidRPr="006320E1">
        <w:rPr>
          <w:rFonts w:ascii="Arial" w:hAnsi="Arial" w:cs="Arial"/>
          <w:b/>
          <w:bCs/>
          <w:i/>
          <w:iCs/>
          <w:sz w:val="20"/>
          <w:szCs w:val="20"/>
        </w:rPr>
        <w:t>no haber sido condenado por delito doloso</w:t>
      </w:r>
      <w:r w:rsidR="00E61525" w:rsidRPr="006320E1">
        <w:rPr>
          <w:rFonts w:ascii="Arial" w:hAnsi="Arial" w:cs="Arial"/>
          <w:sz w:val="20"/>
          <w:szCs w:val="20"/>
        </w:rPr>
        <w:t>”, prevista en la fracción X del artículo 28 de la Ley del Notariado para el Estado de Quintana Roo.</w:t>
      </w:r>
    </w:p>
    <w:p w14:paraId="095B7EAD" w14:textId="77777777" w:rsidR="000C0F43" w:rsidRPr="005D4D30" w:rsidRDefault="000C0F43" w:rsidP="000C0F43">
      <w:pPr>
        <w:pStyle w:val="Textonotapie"/>
        <w:jc w:val="both"/>
        <w:rPr>
          <w:rFonts w:ascii="Arial Narrow" w:hAnsi="Arial Narrow" w:cs="Arial"/>
          <w:sz w:val="22"/>
          <w:szCs w:val="22"/>
        </w:rPr>
      </w:pPr>
    </w:p>
  </w:footnote>
  <w:footnote w:id="3">
    <w:p w14:paraId="2593A9AE" w14:textId="6D266B97" w:rsidR="00D63A69" w:rsidRPr="001C465F" w:rsidRDefault="00D63A69" w:rsidP="001C465F">
      <w:pPr>
        <w:pStyle w:val="Textonotapie"/>
        <w:jc w:val="both"/>
        <w:rPr>
          <w:rFonts w:ascii="Arial" w:hAnsi="Arial" w:cs="Arial"/>
          <w:sz w:val="20"/>
          <w:szCs w:val="20"/>
          <w:lang w:val="es-MX"/>
        </w:rPr>
      </w:pPr>
      <w:r w:rsidRPr="001C465F">
        <w:rPr>
          <w:rStyle w:val="Refdenotaalpie"/>
          <w:rFonts w:ascii="Arial" w:hAnsi="Arial" w:cs="Arial"/>
          <w:sz w:val="20"/>
          <w:szCs w:val="20"/>
        </w:rPr>
        <w:footnoteRef/>
      </w:r>
      <w:r w:rsidR="001C465F" w:rsidRPr="001C465F">
        <w:rPr>
          <w:rFonts w:ascii="Arial" w:hAnsi="Arial" w:cs="Arial"/>
          <w:sz w:val="20"/>
          <w:szCs w:val="20"/>
          <w:lang w:val="es-MX"/>
        </w:rPr>
        <w:t xml:space="preserve">Artículo 67. </w:t>
      </w:r>
      <w:r w:rsidR="001C465F" w:rsidRPr="008159FB">
        <w:rPr>
          <w:rFonts w:ascii="Arial" w:hAnsi="Arial" w:cs="Arial"/>
          <w:sz w:val="20"/>
          <w:szCs w:val="20"/>
          <w:u w:val="single"/>
          <w:lang w:val="es-MX"/>
        </w:rPr>
        <w:t>La información contenida en los expedientes y reportes de resultados de los exámenes de evaluación, será considerada como información reservada</w:t>
      </w:r>
      <w:r w:rsidR="001C465F" w:rsidRPr="001C465F">
        <w:rPr>
          <w:rFonts w:ascii="Arial" w:hAnsi="Arial" w:cs="Arial"/>
          <w:sz w:val="20"/>
          <w:szCs w:val="20"/>
          <w:lang w:val="es-MX"/>
        </w:rPr>
        <w:t>, salvo que sean requeridos por la autoridad competente para ser presentados en procedimientos administrativos o procesos judiciales.</w:t>
      </w:r>
    </w:p>
  </w:footnote>
  <w:footnote w:id="4">
    <w:p w14:paraId="195509CA" w14:textId="77777777" w:rsidR="00C82601" w:rsidRPr="001C465F" w:rsidRDefault="00C82601" w:rsidP="001C465F">
      <w:pPr>
        <w:pStyle w:val="Textonotapie"/>
        <w:jc w:val="both"/>
        <w:rPr>
          <w:rFonts w:ascii="Arial" w:hAnsi="Arial" w:cs="Arial"/>
          <w:sz w:val="20"/>
          <w:szCs w:val="20"/>
          <w:lang w:val="es-ES"/>
        </w:rPr>
      </w:pPr>
      <w:r w:rsidRPr="001C465F">
        <w:rPr>
          <w:rStyle w:val="Refdenotaalpie"/>
          <w:rFonts w:ascii="Arial" w:hAnsi="Arial" w:cs="Arial"/>
          <w:sz w:val="20"/>
          <w:szCs w:val="20"/>
        </w:rPr>
        <w:footnoteRef/>
      </w:r>
      <w:r w:rsidRPr="001C465F">
        <w:rPr>
          <w:rFonts w:ascii="Arial" w:hAnsi="Arial" w:cs="Arial"/>
          <w:sz w:val="20"/>
          <w:szCs w:val="20"/>
        </w:rPr>
        <w:t xml:space="preserve"> </w:t>
      </w:r>
      <w:r w:rsidRPr="001C465F">
        <w:rPr>
          <w:rFonts w:ascii="Arial" w:hAnsi="Arial" w:cs="Arial"/>
          <w:sz w:val="20"/>
          <w:szCs w:val="20"/>
          <w:lang w:val="es-ES"/>
        </w:rPr>
        <w:t>Resuelta por el Tribunal Pleno en sesión de 17 de febrero de 2020.</w:t>
      </w:r>
    </w:p>
  </w:footnote>
  <w:footnote w:id="5">
    <w:p w14:paraId="5DBB99AC" w14:textId="36AB1289" w:rsidR="005022A0" w:rsidRPr="005022A0" w:rsidRDefault="003C2DB9" w:rsidP="001C465F">
      <w:pPr>
        <w:pStyle w:val="Textonotapie"/>
        <w:jc w:val="both"/>
        <w:rPr>
          <w:rFonts w:ascii="Arial" w:hAnsi="Arial" w:cs="Arial"/>
          <w:sz w:val="20"/>
          <w:szCs w:val="20"/>
          <w:lang w:val="es-ES"/>
        </w:rPr>
      </w:pPr>
      <w:r w:rsidRPr="001C465F">
        <w:rPr>
          <w:rStyle w:val="Refdenotaalpie"/>
          <w:rFonts w:ascii="Arial" w:hAnsi="Arial" w:cs="Arial"/>
          <w:sz w:val="20"/>
          <w:szCs w:val="20"/>
        </w:rPr>
        <w:footnoteRef/>
      </w:r>
      <w:r w:rsidRPr="001C465F">
        <w:rPr>
          <w:rFonts w:ascii="Arial" w:hAnsi="Arial" w:cs="Arial"/>
          <w:sz w:val="20"/>
          <w:szCs w:val="20"/>
        </w:rPr>
        <w:t xml:space="preserve"> </w:t>
      </w:r>
      <w:r w:rsidR="005022A0" w:rsidRPr="001C465F">
        <w:rPr>
          <w:rFonts w:ascii="Arial" w:hAnsi="Arial" w:cs="Arial"/>
          <w:sz w:val="20"/>
          <w:szCs w:val="20"/>
        </w:rPr>
        <w:t xml:space="preserve">En dicho asunto </w:t>
      </w:r>
      <w:r w:rsidR="005022A0" w:rsidRPr="001C465F">
        <w:rPr>
          <w:rFonts w:ascii="Arial" w:hAnsi="Arial" w:cs="Arial"/>
          <w:sz w:val="20"/>
          <w:szCs w:val="20"/>
          <w:u w:val="single"/>
        </w:rPr>
        <w:t xml:space="preserve">se determinó que </w:t>
      </w:r>
      <w:r w:rsidR="005022A0" w:rsidRPr="005022A0">
        <w:rPr>
          <w:rFonts w:ascii="Arial" w:hAnsi="Arial" w:cs="Arial"/>
          <w:sz w:val="20"/>
          <w:szCs w:val="20"/>
          <w:u w:val="single"/>
          <w:lang w:val="es-ES"/>
        </w:rPr>
        <w:t>el artículo 139, último párrafo</w:t>
      </w:r>
      <w:r w:rsidR="00706B4A">
        <w:rPr>
          <w:rFonts w:ascii="Arial" w:hAnsi="Arial" w:cs="Arial"/>
          <w:sz w:val="20"/>
          <w:szCs w:val="20"/>
          <w:u w:val="single"/>
          <w:lang w:val="es-ES"/>
        </w:rPr>
        <w:t>,</w:t>
      </w:r>
      <w:r w:rsidR="00982B28" w:rsidRPr="001C465F">
        <w:rPr>
          <w:rFonts w:ascii="Arial" w:hAnsi="Arial" w:cs="Arial"/>
          <w:sz w:val="20"/>
          <w:szCs w:val="20"/>
          <w:u w:val="single"/>
          <w:lang w:val="es-ES"/>
        </w:rPr>
        <w:t xml:space="preserve"> de la </w:t>
      </w:r>
      <w:r w:rsidR="00982B28" w:rsidRPr="001C465F">
        <w:rPr>
          <w:rFonts w:ascii="Arial" w:hAnsi="Arial" w:cs="Arial"/>
          <w:sz w:val="20"/>
          <w:szCs w:val="20"/>
          <w:u w:val="single"/>
          <w:lang w:val="es-MX"/>
        </w:rPr>
        <w:t>Ley de Seguridad del Estado de México</w:t>
      </w:r>
      <w:r w:rsidR="005022A0" w:rsidRPr="005022A0">
        <w:rPr>
          <w:rFonts w:ascii="Arial" w:hAnsi="Arial" w:cs="Arial"/>
          <w:sz w:val="20"/>
          <w:szCs w:val="20"/>
          <w:u w:val="single"/>
          <w:lang w:val="es-ES"/>
        </w:rPr>
        <w:t>, es inconstituciona</w:t>
      </w:r>
      <w:r w:rsidR="005022A0" w:rsidRPr="005022A0">
        <w:rPr>
          <w:rFonts w:ascii="Arial" w:hAnsi="Arial" w:cs="Arial"/>
          <w:sz w:val="20"/>
          <w:szCs w:val="20"/>
          <w:lang w:val="es-ES"/>
        </w:rPr>
        <w:t xml:space="preserve">l, al establecer como confidencial toda la información contenida en los protocolos de actuación policial, </w:t>
      </w:r>
      <w:r w:rsidR="00534925" w:rsidRPr="001C465F">
        <w:rPr>
          <w:rFonts w:ascii="Arial" w:hAnsi="Arial" w:cs="Arial"/>
          <w:sz w:val="20"/>
          <w:szCs w:val="20"/>
          <w:lang w:val="es-ES"/>
        </w:rPr>
        <w:t xml:space="preserve">ya que </w:t>
      </w:r>
      <w:r w:rsidR="005022A0" w:rsidRPr="005022A0">
        <w:rPr>
          <w:rFonts w:ascii="Arial" w:hAnsi="Arial" w:cs="Arial"/>
          <w:sz w:val="20"/>
          <w:szCs w:val="20"/>
          <w:lang w:val="es-ES"/>
        </w:rPr>
        <w:t>impide que se haga una distinción casuística entre la información que se refiere a datos personales, que sí tendría que clasificarse como confidencial, y cualquier otro tipo de información.</w:t>
      </w:r>
    </w:p>
    <w:p w14:paraId="0103516D" w14:textId="77777777" w:rsidR="005022A0" w:rsidRPr="005022A0" w:rsidRDefault="005022A0" w:rsidP="001C465F">
      <w:pPr>
        <w:pStyle w:val="Textonotapie"/>
        <w:jc w:val="both"/>
        <w:rPr>
          <w:rFonts w:ascii="Arial" w:hAnsi="Arial" w:cs="Arial"/>
          <w:sz w:val="20"/>
          <w:szCs w:val="20"/>
          <w:lang w:val="es-ES"/>
        </w:rPr>
      </w:pPr>
      <w:r w:rsidRPr="005022A0">
        <w:rPr>
          <w:rFonts w:ascii="Arial" w:hAnsi="Arial" w:cs="Arial"/>
          <w:sz w:val="20"/>
          <w:szCs w:val="20"/>
          <w:lang w:val="es-ES"/>
        </w:rPr>
        <w:t xml:space="preserve">Se explica que </w:t>
      </w:r>
      <w:r w:rsidRPr="005022A0">
        <w:rPr>
          <w:rFonts w:ascii="Arial" w:hAnsi="Arial" w:cs="Arial"/>
          <w:sz w:val="20"/>
          <w:szCs w:val="20"/>
          <w:u w:val="single"/>
          <w:lang w:val="es-ES"/>
        </w:rPr>
        <w:t>la norma obliga a considerar como información reservada, sin excepción, toda la información contenida en los protocolos de actuación, sin que exista una obligación de justificar esa limitación</w:t>
      </w:r>
      <w:r w:rsidRPr="005022A0">
        <w:rPr>
          <w:rFonts w:ascii="Arial" w:hAnsi="Arial" w:cs="Arial"/>
          <w:sz w:val="20"/>
          <w:szCs w:val="20"/>
          <w:lang w:val="es-ES"/>
        </w:rPr>
        <w:t>. Así se constituye una reserva previa, genérica e indeterminada que impide al sujeto obligado la aplicación de la prueba de daño, violando así el principio de máxima publicidad.</w:t>
      </w:r>
    </w:p>
    <w:p w14:paraId="53F26A95" w14:textId="77777777" w:rsidR="005022A0" w:rsidRPr="00C53173" w:rsidRDefault="005022A0" w:rsidP="003C2DB9">
      <w:pPr>
        <w:pStyle w:val="Textonotapie"/>
        <w:jc w:val="both"/>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FDF8" w14:textId="77777777" w:rsidR="00A573B8" w:rsidRDefault="00A573B8" w:rsidP="004015BC">
    <w:pPr>
      <w:pStyle w:val="Encabezado"/>
      <w:jc w:val="right"/>
      <w:rPr>
        <w:rFonts w:ascii="Arial" w:hAnsi="Arial" w:cs="Arial"/>
        <w:b/>
        <w:lang w:val="es-MX"/>
      </w:rPr>
    </w:pPr>
  </w:p>
  <w:p w14:paraId="0457D449" w14:textId="77777777" w:rsidR="00A573B8" w:rsidRDefault="00A573B8" w:rsidP="004015BC">
    <w:pPr>
      <w:pStyle w:val="Encabezado"/>
      <w:jc w:val="right"/>
      <w:rPr>
        <w:rFonts w:ascii="Arial" w:hAnsi="Arial" w:cs="Arial"/>
        <w:b/>
        <w:lang w:val="es-MX"/>
      </w:rPr>
    </w:pPr>
  </w:p>
  <w:p w14:paraId="2B347CD4" w14:textId="5FFE01C9" w:rsidR="004015BC" w:rsidRPr="004015BC" w:rsidRDefault="004015BC" w:rsidP="004015BC">
    <w:pPr>
      <w:pStyle w:val="Encabezado"/>
      <w:jc w:val="right"/>
      <w:rPr>
        <w:rFonts w:ascii="Arial" w:hAnsi="Arial" w:cs="Arial"/>
        <w:b/>
        <w:lang w:val="es-MX"/>
      </w:rPr>
    </w:pPr>
    <w:r w:rsidRPr="004015BC">
      <w:rPr>
        <w:rFonts w:ascii="Arial" w:hAnsi="Arial" w:cs="Arial"/>
        <w:b/>
        <w:lang w:val="es-MX"/>
      </w:rPr>
      <w:t>VOTO</w:t>
    </w:r>
    <w:r w:rsidR="005F6CCB">
      <w:rPr>
        <w:rFonts w:ascii="Arial" w:hAnsi="Arial" w:cs="Arial"/>
        <w:b/>
        <w:lang w:val="es-MX"/>
      </w:rPr>
      <w:t xml:space="preserve"> </w:t>
    </w:r>
    <w:r w:rsidR="005F6CCB" w:rsidRPr="005F6CCB">
      <w:rPr>
        <w:rFonts w:ascii="Arial" w:hAnsi="Arial" w:cs="Arial"/>
        <w:b/>
      </w:rPr>
      <w:t>PART</w:t>
    </w:r>
    <w:r w:rsidR="005A38B2">
      <w:rPr>
        <w:rFonts w:ascii="Arial" w:hAnsi="Arial" w:cs="Arial"/>
        <w:b/>
      </w:rPr>
      <w:t>I</w:t>
    </w:r>
    <w:r w:rsidR="005F6CCB" w:rsidRPr="005F6CCB">
      <w:rPr>
        <w:rFonts w:ascii="Arial" w:hAnsi="Arial" w:cs="Arial"/>
        <w:b/>
      </w:rPr>
      <w:t>CULAR</w:t>
    </w:r>
    <w:r w:rsidR="005F6CCB">
      <w:rPr>
        <w:rFonts w:ascii="Arial" w:hAnsi="Arial" w:cs="Arial"/>
        <w:b/>
      </w:rPr>
      <w:t xml:space="preserve"> </w:t>
    </w:r>
    <w:r w:rsidR="004F3A89">
      <w:rPr>
        <w:rFonts w:ascii="Arial" w:hAnsi="Arial" w:cs="Arial"/>
        <w:b/>
      </w:rPr>
      <w:t xml:space="preserve">Y CONCURRENTE </w:t>
    </w:r>
    <w:r w:rsidRPr="004015BC">
      <w:rPr>
        <w:rFonts w:ascii="Arial" w:hAnsi="Arial" w:cs="Arial"/>
        <w:b/>
        <w:lang w:val="es-MX"/>
      </w:rPr>
      <w:t xml:space="preserve">EN LA </w:t>
    </w:r>
  </w:p>
  <w:p w14:paraId="23A133EA" w14:textId="089257E5" w:rsidR="004015BC" w:rsidRPr="004015BC" w:rsidRDefault="004015BC" w:rsidP="004015BC">
    <w:pPr>
      <w:pStyle w:val="Encabezado"/>
      <w:jc w:val="right"/>
      <w:rPr>
        <w:rFonts w:ascii="Arial" w:hAnsi="Arial" w:cs="Arial"/>
        <w:b/>
        <w:lang w:val="es-MX"/>
      </w:rPr>
    </w:pPr>
    <w:r w:rsidRPr="004015BC">
      <w:rPr>
        <w:rFonts w:ascii="Arial" w:hAnsi="Arial" w:cs="Arial"/>
        <w:b/>
        <w:lang w:val="es-MX"/>
      </w:rPr>
      <w:t>A</w:t>
    </w:r>
    <w:r w:rsidR="00A573B8">
      <w:rPr>
        <w:rFonts w:ascii="Arial" w:hAnsi="Arial" w:cs="Arial"/>
        <w:b/>
        <w:lang w:val="es-MX"/>
      </w:rPr>
      <w:t>CCIÓN DE INCONSTITUCIONALIDAD 1</w:t>
    </w:r>
    <w:r w:rsidR="00A46079">
      <w:rPr>
        <w:rFonts w:ascii="Arial" w:hAnsi="Arial" w:cs="Arial"/>
        <w:b/>
        <w:lang w:val="es-MX"/>
      </w:rPr>
      <w:t>0</w:t>
    </w:r>
    <w:r w:rsidR="007F13EE">
      <w:rPr>
        <w:rFonts w:ascii="Arial" w:hAnsi="Arial" w:cs="Arial"/>
        <w:b/>
        <w:lang w:val="es-MX"/>
      </w:rPr>
      <w:t>6</w:t>
    </w:r>
    <w:r w:rsidR="00122755">
      <w:rPr>
        <w:rFonts w:ascii="Arial" w:hAnsi="Arial" w:cs="Arial"/>
        <w:b/>
        <w:lang w:val="es-MX"/>
      </w:rPr>
      <w:t>/20</w:t>
    </w:r>
    <w:r w:rsidR="007F13EE">
      <w:rPr>
        <w:rFonts w:ascii="Arial" w:hAnsi="Arial" w:cs="Arial"/>
        <w:b/>
        <w:lang w:val="es-MX"/>
      </w:rPr>
      <w:t>19</w:t>
    </w:r>
    <w:r w:rsidR="00601BA6">
      <w:rPr>
        <w:rFonts w:ascii="Arial" w:hAnsi="Arial" w:cs="Arial"/>
        <w:b/>
        <w:lang w:val="es-MX"/>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6DFB" w14:textId="77777777" w:rsidR="00A573B8" w:rsidRDefault="00A573B8" w:rsidP="003C7F93">
    <w:pPr>
      <w:pStyle w:val="Encabezado"/>
      <w:jc w:val="right"/>
      <w:rPr>
        <w:rFonts w:ascii="Arial" w:hAnsi="Arial" w:cs="Arial"/>
        <w:b/>
        <w:lang w:val="es-MX"/>
      </w:rPr>
    </w:pPr>
  </w:p>
  <w:p w14:paraId="34290336" w14:textId="77777777" w:rsidR="00A573B8" w:rsidRDefault="00A573B8" w:rsidP="003C7F93">
    <w:pPr>
      <w:pStyle w:val="Encabezado"/>
      <w:jc w:val="right"/>
      <w:rPr>
        <w:rFonts w:ascii="Arial" w:hAnsi="Arial" w:cs="Arial"/>
        <w:b/>
        <w:lang w:val="es-MX"/>
      </w:rPr>
    </w:pPr>
  </w:p>
  <w:p w14:paraId="27347065" w14:textId="7460C061" w:rsidR="005F6CCB" w:rsidRPr="004015BC" w:rsidRDefault="005F6CCB" w:rsidP="005F6CCB">
    <w:pPr>
      <w:pStyle w:val="Encabezado"/>
      <w:jc w:val="right"/>
      <w:rPr>
        <w:rFonts w:ascii="Arial" w:hAnsi="Arial" w:cs="Arial"/>
        <w:b/>
        <w:lang w:val="es-MX"/>
      </w:rPr>
    </w:pPr>
    <w:r w:rsidRPr="004015BC">
      <w:rPr>
        <w:rFonts w:ascii="Arial" w:hAnsi="Arial" w:cs="Arial"/>
        <w:b/>
        <w:lang w:val="es-MX"/>
      </w:rPr>
      <w:t>VOTO</w:t>
    </w:r>
    <w:r>
      <w:rPr>
        <w:rFonts w:ascii="Arial" w:hAnsi="Arial" w:cs="Arial"/>
        <w:b/>
        <w:lang w:val="es-MX"/>
      </w:rPr>
      <w:t xml:space="preserve"> </w:t>
    </w:r>
    <w:r w:rsidRPr="005F6CCB">
      <w:rPr>
        <w:rFonts w:ascii="Arial" w:hAnsi="Arial" w:cs="Arial"/>
        <w:b/>
      </w:rPr>
      <w:t>PART</w:t>
    </w:r>
    <w:r w:rsidR="00223F3F">
      <w:rPr>
        <w:rFonts w:ascii="Arial" w:hAnsi="Arial" w:cs="Arial"/>
        <w:b/>
      </w:rPr>
      <w:t>I</w:t>
    </w:r>
    <w:r w:rsidRPr="005F6CCB">
      <w:rPr>
        <w:rFonts w:ascii="Arial" w:hAnsi="Arial" w:cs="Arial"/>
        <w:b/>
      </w:rPr>
      <w:t>CULAR</w:t>
    </w:r>
    <w:r>
      <w:rPr>
        <w:rFonts w:ascii="Arial" w:hAnsi="Arial" w:cs="Arial"/>
        <w:b/>
      </w:rPr>
      <w:t xml:space="preserve"> </w:t>
    </w:r>
    <w:r w:rsidR="004F3A89">
      <w:rPr>
        <w:rFonts w:ascii="Arial" w:hAnsi="Arial" w:cs="Arial"/>
        <w:b/>
      </w:rPr>
      <w:t xml:space="preserve">Y CONCURRENTE </w:t>
    </w:r>
    <w:r w:rsidRPr="004015BC">
      <w:rPr>
        <w:rFonts w:ascii="Arial" w:hAnsi="Arial" w:cs="Arial"/>
        <w:b/>
        <w:lang w:val="es-MX"/>
      </w:rPr>
      <w:t xml:space="preserve">EN LA </w:t>
    </w:r>
  </w:p>
  <w:p w14:paraId="21C89D3F" w14:textId="7142AFA0" w:rsidR="005F6CCB" w:rsidRPr="004015BC" w:rsidRDefault="005F6CCB" w:rsidP="005F6CCB">
    <w:pPr>
      <w:pStyle w:val="Encabezado"/>
      <w:jc w:val="right"/>
      <w:rPr>
        <w:rFonts w:ascii="Arial" w:hAnsi="Arial" w:cs="Arial"/>
        <w:b/>
        <w:lang w:val="es-MX"/>
      </w:rPr>
    </w:pPr>
    <w:r w:rsidRPr="004015BC">
      <w:rPr>
        <w:rFonts w:ascii="Arial" w:hAnsi="Arial" w:cs="Arial"/>
        <w:b/>
        <w:lang w:val="es-MX"/>
      </w:rPr>
      <w:t>A</w:t>
    </w:r>
    <w:r>
      <w:rPr>
        <w:rFonts w:ascii="Arial" w:hAnsi="Arial" w:cs="Arial"/>
        <w:b/>
        <w:lang w:val="es-MX"/>
      </w:rPr>
      <w:t>CCIÓN DE INCONSTITUCIONALIDAD 106/2019</w:t>
    </w:r>
    <w:r w:rsidR="00601BA6">
      <w:rPr>
        <w:rFonts w:ascii="Arial" w:hAnsi="Arial" w:cs="Arial"/>
        <w:b/>
        <w:lang w:val="es-MX"/>
      </w:rPr>
      <w:t>.</w:t>
    </w:r>
  </w:p>
  <w:p w14:paraId="064F1E4A" w14:textId="7BEF5247" w:rsidR="003C7F93" w:rsidRPr="008A0F27" w:rsidRDefault="003C7F93" w:rsidP="005F6CCB">
    <w:pPr>
      <w:pStyle w:val="Encabezado"/>
      <w:jc w:val="right"/>
      <w:rPr>
        <w:rFonts w:ascii="Arial" w:hAnsi="Arial" w:cs="Arial"/>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89"/>
    <w:multiLevelType w:val="hybridMultilevel"/>
    <w:tmpl w:val="141CF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C1166"/>
    <w:multiLevelType w:val="hybridMultilevel"/>
    <w:tmpl w:val="5EEE4D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22276"/>
    <w:multiLevelType w:val="hybridMultilevel"/>
    <w:tmpl w:val="7C94B55C"/>
    <w:lvl w:ilvl="0" w:tplc="828830D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56C2D"/>
    <w:multiLevelType w:val="hybridMultilevel"/>
    <w:tmpl w:val="2CAC4938"/>
    <w:lvl w:ilvl="0" w:tplc="C14627E0">
      <w:start w:val="1"/>
      <w:numFmt w:val="decimal"/>
      <w:lvlText w:val="%1."/>
      <w:lvlJc w:val="left"/>
      <w:pPr>
        <w:ind w:left="578"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098A25FC"/>
    <w:multiLevelType w:val="multilevel"/>
    <w:tmpl w:val="E86E8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D024C"/>
    <w:multiLevelType w:val="multilevel"/>
    <w:tmpl w:val="9A149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F550F"/>
    <w:multiLevelType w:val="hybridMultilevel"/>
    <w:tmpl w:val="F24876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9045EB"/>
    <w:multiLevelType w:val="hybridMultilevel"/>
    <w:tmpl w:val="F9469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3B3007D"/>
    <w:multiLevelType w:val="hybridMultilevel"/>
    <w:tmpl w:val="CA72F75E"/>
    <w:lvl w:ilvl="0" w:tplc="962A45B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0A47F5"/>
    <w:multiLevelType w:val="hybridMultilevel"/>
    <w:tmpl w:val="F99EA640"/>
    <w:lvl w:ilvl="0" w:tplc="5228625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20D03C4"/>
    <w:multiLevelType w:val="hybridMultilevel"/>
    <w:tmpl w:val="7C94B55C"/>
    <w:lvl w:ilvl="0" w:tplc="FFFFFFFF">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595F1C"/>
    <w:multiLevelType w:val="hybridMultilevel"/>
    <w:tmpl w:val="E7EAB6E8"/>
    <w:lvl w:ilvl="0" w:tplc="810649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F5D49"/>
    <w:multiLevelType w:val="multilevel"/>
    <w:tmpl w:val="1FB81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C5238"/>
    <w:multiLevelType w:val="hybridMultilevel"/>
    <w:tmpl w:val="1F960D4A"/>
    <w:lvl w:ilvl="0" w:tplc="37F2CA2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A92909"/>
    <w:multiLevelType w:val="hybridMultilevel"/>
    <w:tmpl w:val="742AE60E"/>
    <w:lvl w:ilvl="0" w:tplc="D8D28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CD020E"/>
    <w:multiLevelType w:val="hybridMultilevel"/>
    <w:tmpl w:val="AE34A4B6"/>
    <w:lvl w:ilvl="0" w:tplc="4C4C8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1A4528"/>
    <w:multiLevelType w:val="hybridMultilevel"/>
    <w:tmpl w:val="94E6E71E"/>
    <w:lvl w:ilvl="0" w:tplc="EFE49DA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7D266A"/>
    <w:multiLevelType w:val="hybridMultilevel"/>
    <w:tmpl w:val="F56CD0C4"/>
    <w:lvl w:ilvl="0" w:tplc="051A12A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4C3C57"/>
    <w:multiLevelType w:val="hybridMultilevel"/>
    <w:tmpl w:val="94E6E71E"/>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DA512A"/>
    <w:multiLevelType w:val="hybridMultilevel"/>
    <w:tmpl w:val="233614F8"/>
    <w:lvl w:ilvl="0" w:tplc="DDEA150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702FD4"/>
    <w:multiLevelType w:val="multilevel"/>
    <w:tmpl w:val="43821EB2"/>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0D1377E"/>
    <w:multiLevelType w:val="hybridMultilevel"/>
    <w:tmpl w:val="5C02298C"/>
    <w:lvl w:ilvl="0" w:tplc="192E6DD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152344"/>
    <w:multiLevelType w:val="hybridMultilevel"/>
    <w:tmpl w:val="F6221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3A7322"/>
    <w:multiLevelType w:val="hybridMultilevel"/>
    <w:tmpl w:val="22EABF6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E2002B"/>
    <w:multiLevelType w:val="hybridMultilevel"/>
    <w:tmpl w:val="AE58DBE8"/>
    <w:lvl w:ilvl="0" w:tplc="318E86BE">
      <w:start w:val="1"/>
      <w:numFmt w:val="decimal"/>
      <w:lvlText w:val="%1."/>
      <w:lvlJc w:val="left"/>
      <w:pPr>
        <w:ind w:left="1211" w:hanging="360"/>
      </w:pPr>
      <w:rPr>
        <w:b w:val="0"/>
        <w:i w:val="0"/>
        <w:color w:val="auto"/>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8234BB"/>
    <w:multiLevelType w:val="multilevel"/>
    <w:tmpl w:val="9D10E084"/>
    <w:lvl w:ilvl="0">
      <w:start w:val="1"/>
      <w:numFmt w:val="decimal"/>
      <w:lvlText w:val="%1."/>
      <w:lvlJc w:val="left"/>
      <w:pPr>
        <w:ind w:left="1070" w:hanging="360"/>
      </w:pPr>
      <w:rPr>
        <w:b w:val="0"/>
        <w:i w:val="0"/>
        <w:strike w:val="0"/>
        <w:dstrike w:val="0"/>
        <w:color w:val="auto"/>
        <w:sz w:val="20"/>
        <w:szCs w:val="16"/>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547CF9"/>
    <w:multiLevelType w:val="hybridMultilevel"/>
    <w:tmpl w:val="22EABF64"/>
    <w:lvl w:ilvl="0" w:tplc="D60664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F0028C"/>
    <w:multiLevelType w:val="hybridMultilevel"/>
    <w:tmpl w:val="1D9EB358"/>
    <w:lvl w:ilvl="0" w:tplc="5DB2F80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16cid:durableId="928317884">
    <w:abstractNumId w:val="20"/>
  </w:num>
  <w:num w:numId="2" w16cid:durableId="25953890">
    <w:abstractNumId w:val="4"/>
  </w:num>
  <w:num w:numId="3" w16cid:durableId="581960811">
    <w:abstractNumId w:val="5"/>
  </w:num>
  <w:num w:numId="4" w16cid:durableId="1197430080">
    <w:abstractNumId w:val="12"/>
  </w:num>
  <w:num w:numId="5" w16cid:durableId="773131414">
    <w:abstractNumId w:val="0"/>
  </w:num>
  <w:num w:numId="6" w16cid:durableId="61366755">
    <w:abstractNumId w:val="7"/>
  </w:num>
  <w:num w:numId="7" w16cid:durableId="607155834">
    <w:abstractNumId w:val="1"/>
  </w:num>
  <w:num w:numId="8" w16cid:durableId="2013947828">
    <w:abstractNumId w:val="22"/>
  </w:num>
  <w:num w:numId="9" w16cid:durableId="2003577380">
    <w:abstractNumId w:val="14"/>
  </w:num>
  <w:num w:numId="10" w16cid:durableId="1668678836">
    <w:abstractNumId w:val="17"/>
  </w:num>
  <w:num w:numId="11" w16cid:durableId="1302080125">
    <w:abstractNumId w:val="15"/>
  </w:num>
  <w:num w:numId="12" w16cid:durableId="542865028">
    <w:abstractNumId w:val="26"/>
  </w:num>
  <w:num w:numId="13" w16cid:durableId="1875651457">
    <w:abstractNumId w:val="19"/>
  </w:num>
  <w:num w:numId="14" w16cid:durableId="1022439506">
    <w:abstractNumId w:val="3"/>
  </w:num>
  <w:num w:numId="15" w16cid:durableId="458187319">
    <w:abstractNumId w:val="11"/>
  </w:num>
  <w:num w:numId="16" w16cid:durableId="1933275623">
    <w:abstractNumId w:val="6"/>
  </w:num>
  <w:num w:numId="17" w16cid:durableId="626935545">
    <w:abstractNumId w:val="23"/>
  </w:num>
  <w:num w:numId="18" w16cid:durableId="1091002732">
    <w:abstractNumId w:val="16"/>
  </w:num>
  <w:num w:numId="19" w16cid:durableId="1115640283">
    <w:abstractNumId w:val="13"/>
  </w:num>
  <w:num w:numId="20" w16cid:durableId="1280910976">
    <w:abstractNumId w:val="9"/>
  </w:num>
  <w:num w:numId="21" w16cid:durableId="211305763">
    <w:abstractNumId w:val="18"/>
  </w:num>
  <w:num w:numId="22" w16cid:durableId="1186404987">
    <w:abstractNumId w:val="2"/>
  </w:num>
  <w:num w:numId="23" w16cid:durableId="274600544">
    <w:abstractNumId w:val="8"/>
  </w:num>
  <w:num w:numId="24" w16cid:durableId="880480523">
    <w:abstractNumId w:val="10"/>
  </w:num>
  <w:num w:numId="25" w16cid:durableId="618803331">
    <w:abstractNumId w:val="21"/>
  </w:num>
  <w:num w:numId="26" w16cid:durableId="527448147">
    <w:abstractNumId w:val="25"/>
  </w:num>
  <w:num w:numId="27" w16cid:durableId="1212227010">
    <w:abstractNumId w:val="24"/>
  </w:num>
  <w:num w:numId="28" w16cid:durableId="3976775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58"/>
    <w:rsid w:val="00001A3F"/>
    <w:rsid w:val="00001DEF"/>
    <w:rsid w:val="0000299E"/>
    <w:rsid w:val="00004F2B"/>
    <w:rsid w:val="0001003B"/>
    <w:rsid w:val="00010F31"/>
    <w:rsid w:val="00016415"/>
    <w:rsid w:val="00016DB1"/>
    <w:rsid w:val="000208BF"/>
    <w:rsid w:val="00020D85"/>
    <w:rsid w:val="00021725"/>
    <w:rsid w:val="00022434"/>
    <w:rsid w:val="00023527"/>
    <w:rsid w:val="00023CBE"/>
    <w:rsid w:val="00023F30"/>
    <w:rsid w:val="00026815"/>
    <w:rsid w:val="00032E75"/>
    <w:rsid w:val="00035467"/>
    <w:rsid w:val="00037E6F"/>
    <w:rsid w:val="00040BE2"/>
    <w:rsid w:val="000411D0"/>
    <w:rsid w:val="0005442F"/>
    <w:rsid w:val="0006245B"/>
    <w:rsid w:val="0006282E"/>
    <w:rsid w:val="00070E19"/>
    <w:rsid w:val="000804BD"/>
    <w:rsid w:val="00081492"/>
    <w:rsid w:val="00087E88"/>
    <w:rsid w:val="000968CF"/>
    <w:rsid w:val="000A3C23"/>
    <w:rsid w:val="000A5433"/>
    <w:rsid w:val="000A78EC"/>
    <w:rsid w:val="000C0B3F"/>
    <w:rsid w:val="000C0F43"/>
    <w:rsid w:val="000C496B"/>
    <w:rsid w:val="000C6530"/>
    <w:rsid w:val="000C79F3"/>
    <w:rsid w:val="000D7282"/>
    <w:rsid w:val="000E2164"/>
    <w:rsid w:val="000E6F58"/>
    <w:rsid w:val="000E6FF3"/>
    <w:rsid w:val="000F1F51"/>
    <w:rsid w:val="000F46D4"/>
    <w:rsid w:val="000F6875"/>
    <w:rsid w:val="000F6989"/>
    <w:rsid w:val="000F78C6"/>
    <w:rsid w:val="00101CA1"/>
    <w:rsid w:val="00102431"/>
    <w:rsid w:val="001024A5"/>
    <w:rsid w:val="00121631"/>
    <w:rsid w:val="00121995"/>
    <w:rsid w:val="00122755"/>
    <w:rsid w:val="00125777"/>
    <w:rsid w:val="00131E17"/>
    <w:rsid w:val="0013233E"/>
    <w:rsid w:val="00135EAE"/>
    <w:rsid w:val="0014059F"/>
    <w:rsid w:val="001428E1"/>
    <w:rsid w:val="001437EA"/>
    <w:rsid w:val="00151520"/>
    <w:rsid w:val="00163CC0"/>
    <w:rsid w:val="00174908"/>
    <w:rsid w:val="00174F1E"/>
    <w:rsid w:val="00180A43"/>
    <w:rsid w:val="001813A3"/>
    <w:rsid w:val="00182293"/>
    <w:rsid w:val="00183786"/>
    <w:rsid w:val="00183AC2"/>
    <w:rsid w:val="00186CCD"/>
    <w:rsid w:val="00187FBC"/>
    <w:rsid w:val="00190621"/>
    <w:rsid w:val="00196254"/>
    <w:rsid w:val="00197311"/>
    <w:rsid w:val="001A0731"/>
    <w:rsid w:val="001A1D53"/>
    <w:rsid w:val="001A21CE"/>
    <w:rsid w:val="001A76FD"/>
    <w:rsid w:val="001A79A6"/>
    <w:rsid w:val="001B2FD2"/>
    <w:rsid w:val="001C465F"/>
    <w:rsid w:val="001C4F40"/>
    <w:rsid w:val="001C58D9"/>
    <w:rsid w:val="001D0B6E"/>
    <w:rsid w:val="001D66E1"/>
    <w:rsid w:val="001E374B"/>
    <w:rsid w:val="001E389C"/>
    <w:rsid w:val="001E7CD2"/>
    <w:rsid w:val="001E7D9F"/>
    <w:rsid w:val="001F3AC8"/>
    <w:rsid w:val="001F5271"/>
    <w:rsid w:val="00204CF6"/>
    <w:rsid w:val="00210864"/>
    <w:rsid w:val="00220C15"/>
    <w:rsid w:val="00223160"/>
    <w:rsid w:val="00223F3F"/>
    <w:rsid w:val="00231938"/>
    <w:rsid w:val="00232C94"/>
    <w:rsid w:val="00233B60"/>
    <w:rsid w:val="00235985"/>
    <w:rsid w:val="002444C4"/>
    <w:rsid w:val="0024495C"/>
    <w:rsid w:val="002449CC"/>
    <w:rsid w:val="00247615"/>
    <w:rsid w:val="002516F9"/>
    <w:rsid w:val="00253DDC"/>
    <w:rsid w:val="00260B44"/>
    <w:rsid w:val="00265238"/>
    <w:rsid w:val="0026696D"/>
    <w:rsid w:val="002745B7"/>
    <w:rsid w:val="002755C6"/>
    <w:rsid w:val="002822BA"/>
    <w:rsid w:val="002872A6"/>
    <w:rsid w:val="00292EDC"/>
    <w:rsid w:val="00292F0D"/>
    <w:rsid w:val="002A32F4"/>
    <w:rsid w:val="002A4681"/>
    <w:rsid w:val="002A4A46"/>
    <w:rsid w:val="002A59C4"/>
    <w:rsid w:val="002B3453"/>
    <w:rsid w:val="002B452E"/>
    <w:rsid w:val="002C413C"/>
    <w:rsid w:val="002C507A"/>
    <w:rsid w:val="002C6665"/>
    <w:rsid w:val="002C716B"/>
    <w:rsid w:val="002D04AD"/>
    <w:rsid w:val="002D1C9C"/>
    <w:rsid w:val="002D3417"/>
    <w:rsid w:val="002D6B9E"/>
    <w:rsid w:val="002D700B"/>
    <w:rsid w:val="002E136E"/>
    <w:rsid w:val="002E65B1"/>
    <w:rsid w:val="002F15FA"/>
    <w:rsid w:val="002F2E50"/>
    <w:rsid w:val="002F55C2"/>
    <w:rsid w:val="002F738E"/>
    <w:rsid w:val="00302991"/>
    <w:rsid w:val="00304503"/>
    <w:rsid w:val="003064F5"/>
    <w:rsid w:val="00307275"/>
    <w:rsid w:val="003078B9"/>
    <w:rsid w:val="00310B1E"/>
    <w:rsid w:val="00313C69"/>
    <w:rsid w:val="00315609"/>
    <w:rsid w:val="0031757B"/>
    <w:rsid w:val="003211C7"/>
    <w:rsid w:val="003229F3"/>
    <w:rsid w:val="00323A5A"/>
    <w:rsid w:val="003244DB"/>
    <w:rsid w:val="00325227"/>
    <w:rsid w:val="003275FD"/>
    <w:rsid w:val="00327A18"/>
    <w:rsid w:val="0033049C"/>
    <w:rsid w:val="00331A1D"/>
    <w:rsid w:val="003362BC"/>
    <w:rsid w:val="00347216"/>
    <w:rsid w:val="0035106C"/>
    <w:rsid w:val="00351083"/>
    <w:rsid w:val="00354387"/>
    <w:rsid w:val="00360FFC"/>
    <w:rsid w:val="003629A7"/>
    <w:rsid w:val="00364148"/>
    <w:rsid w:val="00366ECC"/>
    <w:rsid w:val="00376129"/>
    <w:rsid w:val="003839AC"/>
    <w:rsid w:val="003848F5"/>
    <w:rsid w:val="00391772"/>
    <w:rsid w:val="0039224D"/>
    <w:rsid w:val="003924AE"/>
    <w:rsid w:val="003960A6"/>
    <w:rsid w:val="00397B8B"/>
    <w:rsid w:val="003A2910"/>
    <w:rsid w:val="003A3117"/>
    <w:rsid w:val="003A7FC8"/>
    <w:rsid w:val="003B12F2"/>
    <w:rsid w:val="003B239E"/>
    <w:rsid w:val="003B2F69"/>
    <w:rsid w:val="003C1D9F"/>
    <w:rsid w:val="003C2AFB"/>
    <w:rsid w:val="003C2DB9"/>
    <w:rsid w:val="003C307E"/>
    <w:rsid w:val="003C7F93"/>
    <w:rsid w:val="003D01A1"/>
    <w:rsid w:val="003D0857"/>
    <w:rsid w:val="003D2950"/>
    <w:rsid w:val="003D688C"/>
    <w:rsid w:val="003D7661"/>
    <w:rsid w:val="003E04EF"/>
    <w:rsid w:val="003E20A2"/>
    <w:rsid w:val="003E44F9"/>
    <w:rsid w:val="003F1365"/>
    <w:rsid w:val="003F35D9"/>
    <w:rsid w:val="003F4B21"/>
    <w:rsid w:val="00400201"/>
    <w:rsid w:val="004015BC"/>
    <w:rsid w:val="00403694"/>
    <w:rsid w:val="00404EC5"/>
    <w:rsid w:val="00413D4A"/>
    <w:rsid w:val="004245A2"/>
    <w:rsid w:val="00427053"/>
    <w:rsid w:val="00432E41"/>
    <w:rsid w:val="0044250E"/>
    <w:rsid w:val="0044514B"/>
    <w:rsid w:val="004559DC"/>
    <w:rsid w:val="00464547"/>
    <w:rsid w:val="00470260"/>
    <w:rsid w:val="00471F98"/>
    <w:rsid w:val="004726C7"/>
    <w:rsid w:val="00476DCB"/>
    <w:rsid w:val="00477229"/>
    <w:rsid w:val="00483BD4"/>
    <w:rsid w:val="00487A27"/>
    <w:rsid w:val="00494D35"/>
    <w:rsid w:val="00495733"/>
    <w:rsid w:val="0049790E"/>
    <w:rsid w:val="004A39B6"/>
    <w:rsid w:val="004A54FC"/>
    <w:rsid w:val="004A6DC8"/>
    <w:rsid w:val="004C35B7"/>
    <w:rsid w:val="004C401E"/>
    <w:rsid w:val="004C500D"/>
    <w:rsid w:val="004C77B9"/>
    <w:rsid w:val="004D3CDD"/>
    <w:rsid w:val="004D410D"/>
    <w:rsid w:val="004E5BD8"/>
    <w:rsid w:val="004F332D"/>
    <w:rsid w:val="004F3A89"/>
    <w:rsid w:val="004F4374"/>
    <w:rsid w:val="004F7380"/>
    <w:rsid w:val="0050177C"/>
    <w:rsid w:val="005022A0"/>
    <w:rsid w:val="00502D54"/>
    <w:rsid w:val="00514B26"/>
    <w:rsid w:val="005155CE"/>
    <w:rsid w:val="005207B3"/>
    <w:rsid w:val="005258E3"/>
    <w:rsid w:val="00525B33"/>
    <w:rsid w:val="00534925"/>
    <w:rsid w:val="00535683"/>
    <w:rsid w:val="00541A30"/>
    <w:rsid w:val="005443CB"/>
    <w:rsid w:val="00545CB8"/>
    <w:rsid w:val="00546052"/>
    <w:rsid w:val="0054619E"/>
    <w:rsid w:val="0054672B"/>
    <w:rsid w:val="0054776C"/>
    <w:rsid w:val="00553B0E"/>
    <w:rsid w:val="00554DA1"/>
    <w:rsid w:val="005637CD"/>
    <w:rsid w:val="00563AFD"/>
    <w:rsid w:val="00564520"/>
    <w:rsid w:val="00565357"/>
    <w:rsid w:val="005660F3"/>
    <w:rsid w:val="0056645E"/>
    <w:rsid w:val="00566970"/>
    <w:rsid w:val="00566999"/>
    <w:rsid w:val="00574349"/>
    <w:rsid w:val="0058070A"/>
    <w:rsid w:val="00581F80"/>
    <w:rsid w:val="00586702"/>
    <w:rsid w:val="005868EF"/>
    <w:rsid w:val="00591B9F"/>
    <w:rsid w:val="00597939"/>
    <w:rsid w:val="005A2703"/>
    <w:rsid w:val="005A326F"/>
    <w:rsid w:val="005A38B2"/>
    <w:rsid w:val="005A494E"/>
    <w:rsid w:val="005A72DB"/>
    <w:rsid w:val="005B07ED"/>
    <w:rsid w:val="005B4390"/>
    <w:rsid w:val="005B5102"/>
    <w:rsid w:val="005B66D8"/>
    <w:rsid w:val="005C12A1"/>
    <w:rsid w:val="005C2C10"/>
    <w:rsid w:val="005C50B9"/>
    <w:rsid w:val="005D54A6"/>
    <w:rsid w:val="005D6135"/>
    <w:rsid w:val="005D691C"/>
    <w:rsid w:val="005E02CF"/>
    <w:rsid w:val="005E32FE"/>
    <w:rsid w:val="005E6133"/>
    <w:rsid w:val="005E727F"/>
    <w:rsid w:val="005F21A1"/>
    <w:rsid w:val="005F420E"/>
    <w:rsid w:val="005F432D"/>
    <w:rsid w:val="005F5995"/>
    <w:rsid w:val="005F6CCB"/>
    <w:rsid w:val="0060043C"/>
    <w:rsid w:val="00600684"/>
    <w:rsid w:val="0060146A"/>
    <w:rsid w:val="00601BA6"/>
    <w:rsid w:val="0060576B"/>
    <w:rsid w:val="00613284"/>
    <w:rsid w:val="00613CA9"/>
    <w:rsid w:val="00613EF2"/>
    <w:rsid w:val="00613F88"/>
    <w:rsid w:val="006174BC"/>
    <w:rsid w:val="00621D57"/>
    <w:rsid w:val="006263BD"/>
    <w:rsid w:val="006320E1"/>
    <w:rsid w:val="00632CF5"/>
    <w:rsid w:val="00635026"/>
    <w:rsid w:val="00636218"/>
    <w:rsid w:val="00637A46"/>
    <w:rsid w:val="00642840"/>
    <w:rsid w:val="006440D2"/>
    <w:rsid w:val="00650ABD"/>
    <w:rsid w:val="00651A58"/>
    <w:rsid w:val="0065509C"/>
    <w:rsid w:val="006560D5"/>
    <w:rsid w:val="00661600"/>
    <w:rsid w:val="00663198"/>
    <w:rsid w:val="006639F1"/>
    <w:rsid w:val="00670E22"/>
    <w:rsid w:val="006725D1"/>
    <w:rsid w:val="00672703"/>
    <w:rsid w:val="00673D9D"/>
    <w:rsid w:val="0067545D"/>
    <w:rsid w:val="006767E8"/>
    <w:rsid w:val="006831A5"/>
    <w:rsid w:val="00685193"/>
    <w:rsid w:val="00687A6C"/>
    <w:rsid w:val="00687DFF"/>
    <w:rsid w:val="006A609C"/>
    <w:rsid w:val="006B0BE0"/>
    <w:rsid w:val="006B4EDF"/>
    <w:rsid w:val="006B572D"/>
    <w:rsid w:val="006B6650"/>
    <w:rsid w:val="006B70AA"/>
    <w:rsid w:val="006C1CEC"/>
    <w:rsid w:val="006C6F25"/>
    <w:rsid w:val="006C7116"/>
    <w:rsid w:val="006E596B"/>
    <w:rsid w:val="006E61B6"/>
    <w:rsid w:val="006F50F3"/>
    <w:rsid w:val="006F73ED"/>
    <w:rsid w:val="00700F6F"/>
    <w:rsid w:val="007013A6"/>
    <w:rsid w:val="00706B4A"/>
    <w:rsid w:val="007161C5"/>
    <w:rsid w:val="00721D8B"/>
    <w:rsid w:val="0072242D"/>
    <w:rsid w:val="007238A9"/>
    <w:rsid w:val="00731486"/>
    <w:rsid w:val="00736824"/>
    <w:rsid w:val="007401C4"/>
    <w:rsid w:val="00741886"/>
    <w:rsid w:val="00744584"/>
    <w:rsid w:val="0075110E"/>
    <w:rsid w:val="007547D9"/>
    <w:rsid w:val="007555F4"/>
    <w:rsid w:val="00755BC3"/>
    <w:rsid w:val="00757BF1"/>
    <w:rsid w:val="00762681"/>
    <w:rsid w:val="00764966"/>
    <w:rsid w:val="00765B9A"/>
    <w:rsid w:val="00767A41"/>
    <w:rsid w:val="007703DF"/>
    <w:rsid w:val="00773336"/>
    <w:rsid w:val="00780139"/>
    <w:rsid w:val="00790B97"/>
    <w:rsid w:val="00796018"/>
    <w:rsid w:val="0079691D"/>
    <w:rsid w:val="00797E56"/>
    <w:rsid w:val="007A2081"/>
    <w:rsid w:val="007A6253"/>
    <w:rsid w:val="007A66FF"/>
    <w:rsid w:val="007A7089"/>
    <w:rsid w:val="007B15F1"/>
    <w:rsid w:val="007B2E2C"/>
    <w:rsid w:val="007D094D"/>
    <w:rsid w:val="007D6177"/>
    <w:rsid w:val="007E1618"/>
    <w:rsid w:val="007E3E0D"/>
    <w:rsid w:val="007E3E9A"/>
    <w:rsid w:val="007F13EE"/>
    <w:rsid w:val="00802561"/>
    <w:rsid w:val="008110B7"/>
    <w:rsid w:val="008117EB"/>
    <w:rsid w:val="00812AF8"/>
    <w:rsid w:val="00814633"/>
    <w:rsid w:val="00815902"/>
    <w:rsid w:val="008159FB"/>
    <w:rsid w:val="00816A02"/>
    <w:rsid w:val="00820425"/>
    <w:rsid w:val="0082429F"/>
    <w:rsid w:val="00826000"/>
    <w:rsid w:val="00827B24"/>
    <w:rsid w:val="00831D39"/>
    <w:rsid w:val="00834F2E"/>
    <w:rsid w:val="008365FC"/>
    <w:rsid w:val="00837054"/>
    <w:rsid w:val="0084154E"/>
    <w:rsid w:val="00844E3A"/>
    <w:rsid w:val="00846758"/>
    <w:rsid w:val="00847A5A"/>
    <w:rsid w:val="00850CAD"/>
    <w:rsid w:val="008578A7"/>
    <w:rsid w:val="00860918"/>
    <w:rsid w:val="00862D73"/>
    <w:rsid w:val="0086307A"/>
    <w:rsid w:val="00867768"/>
    <w:rsid w:val="008715B6"/>
    <w:rsid w:val="00887D1D"/>
    <w:rsid w:val="0089771D"/>
    <w:rsid w:val="008A0F27"/>
    <w:rsid w:val="008A1180"/>
    <w:rsid w:val="008A4EBE"/>
    <w:rsid w:val="008A68B0"/>
    <w:rsid w:val="008B1AA7"/>
    <w:rsid w:val="008B22CC"/>
    <w:rsid w:val="008B658F"/>
    <w:rsid w:val="008B7517"/>
    <w:rsid w:val="008C08A4"/>
    <w:rsid w:val="008C57AD"/>
    <w:rsid w:val="008C6431"/>
    <w:rsid w:val="008D3AFB"/>
    <w:rsid w:val="008E0D47"/>
    <w:rsid w:val="008E47C6"/>
    <w:rsid w:val="008F0744"/>
    <w:rsid w:val="008F1A3E"/>
    <w:rsid w:val="008F3D22"/>
    <w:rsid w:val="00905A49"/>
    <w:rsid w:val="00907B9A"/>
    <w:rsid w:val="0091345F"/>
    <w:rsid w:val="00914D8A"/>
    <w:rsid w:val="00916C3C"/>
    <w:rsid w:val="00920CE2"/>
    <w:rsid w:val="00924971"/>
    <w:rsid w:val="0093041D"/>
    <w:rsid w:val="0093061A"/>
    <w:rsid w:val="00934A76"/>
    <w:rsid w:val="009378A0"/>
    <w:rsid w:val="0094140E"/>
    <w:rsid w:val="00960D82"/>
    <w:rsid w:val="00965567"/>
    <w:rsid w:val="00965787"/>
    <w:rsid w:val="00970527"/>
    <w:rsid w:val="00971025"/>
    <w:rsid w:val="00976156"/>
    <w:rsid w:val="00981130"/>
    <w:rsid w:val="00982B28"/>
    <w:rsid w:val="00983257"/>
    <w:rsid w:val="00985124"/>
    <w:rsid w:val="009866C4"/>
    <w:rsid w:val="00991685"/>
    <w:rsid w:val="009A06F2"/>
    <w:rsid w:val="009A5268"/>
    <w:rsid w:val="009A5DD5"/>
    <w:rsid w:val="009C6703"/>
    <w:rsid w:val="009C7DF3"/>
    <w:rsid w:val="009D15B8"/>
    <w:rsid w:val="009D1F3F"/>
    <w:rsid w:val="009D3BA0"/>
    <w:rsid w:val="009D54E5"/>
    <w:rsid w:val="009D6900"/>
    <w:rsid w:val="009E2BB9"/>
    <w:rsid w:val="009F09AD"/>
    <w:rsid w:val="009F4674"/>
    <w:rsid w:val="00A02A03"/>
    <w:rsid w:val="00A07B66"/>
    <w:rsid w:val="00A15AD9"/>
    <w:rsid w:val="00A20C8A"/>
    <w:rsid w:val="00A240EB"/>
    <w:rsid w:val="00A25A55"/>
    <w:rsid w:val="00A3169C"/>
    <w:rsid w:val="00A46079"/>
    <w:rsid w:val="00A47404"/>
    <w:rsid w:val="00A47B76"/>
    <w:rsid w:val="00A54C8F"/>
    <w:rsid w:val="00A573B8"/>
    <w:rsid w:val="00A60F1F"/>
    <w:rsid w:val="00A61CBE"/>
    <w:rsid w:val="00A6739E"/>
    <w:rsid w:val="00A67B62"/>
    <w:rsid w:val="00A75322"/>
    <w:rsid w:val="00A801D9"/>
    <w:rsid w:val="00A8073B"/>
    <w:rsid w:val="00A81C39"/>
    <w:rsid w:val="00AA4A55"/>
    <w:rsid w:val="00AA725D"/>
    <w:rsid w:val="00AA78A8"/>
    <w:rsid w:val="00AB33D0"/>
    <w:rsid w:val="00AB3420"/>
    <w:rsid w:val="00AB664C"/>
    <w:rsid w:val="00AC122B"/>
    <w:rsid w:val="00AC33CB"/>
    <w:rsid w:val="00AC6A7A"/>
    <w:rsid w:val="00AD429D"/>
    <w:rsid w:val="00AD4E0A"/>
    <w:rsid w:val="00AF1F36"/>
    <w:rsid w:val="00AF1FF9"/>
    <w:rsid w:val="00AF26FC"/>
    <w:rsid w:val="00B03CF6"/>
    <w:rsid w:val="00B0455F"/>
    <w:rsid w:val="00B04FE7"/>
    <w:rsid w:val="00B05037"/>
    <w:rsid w:val="00B05547"/>
    <w:rsid w:val="00B20D0A"/>
    <w:rsid w:val="00B23DC0"/>
    <w:rsid w:val="00B30403"/>
    <w:rsid w:val="00B3699C"/>
    <w:rsid w:val="00B443CF"/>
    <w:rsid w:val="00B44DD1"/>
    <w:rsid w:val="00B47B24"/>
    <w:rsid w:val="00B62021"/>
    <w:rsid w:val="00B6472F"/>
    <w:rsid w:val="00B660E3"/>
    <w:rsid w:val="00B731C9"/>
    <w:rsid w:val="00B77683"/>
    <w:rsid w:val="00B77A8E"/>
    <w:rsid w:val="00B857C6"/>
    <w:rsid w:val="00B87020"/>
    <w:rsid w:val="00B92F14"/>
    <w:rsid w:val="00BA1E18"/>
    <w:rsid w:val="00BC5F86"/>
    <w:rsid w:val="00BC6929"/>
    <w:rsid w:val="00BC788E"/>
    <w:rsid w:val="00BD0FF7"/>
    <w:rsid w:val="00BD5530"/>
    <w:rsid w:val="00BD5B57"/>
    <w:rsid w:val="00BE434D"/>
    <w:rsid w:val="00BE5650"/>
    <w:rsid w:val="00BF4A53"/>
    <w:rsid w:val="00C007D9"/>
    <w:rsid w:val="00C04F47"/>
    <w:rsid w:val="00C136A4"/>
    <w:rsid w:val="00C14874"/>
    <w:rsid w:val="00C222E7"/>
    <w:rsid w:val="00C22358"/>
    <w:rsid w:val="00C25F71"/>
    <w:rsid w:val="00C26C9E"/>
    <w:rsid w:val="00C345E5"/>
    <w:rsid w:val="00C34B75"/>
    <w:rsid w:val="00C361A4"/>
    <w:rsid w:val="00C3643F"/>
    <w:rsid w:val="00C367DE"/>
    <w:rsid w:val="00C40EA6"/>
    <w:rsid w:val="00C4286C"/>
    <w:rsid w:val="00C45004"/>
    <w:rsid w:val="00C52DA0"/>
    <w:rsid w:val="00C53173"/>
    <w:rsid w:val="00C55F9C"/>
    <w:rsid w:val="00C60517"/>
    <w:rsid w:val="00C63ED4"/>
    <w:rsid w:val="00C677F2"/>
    <w:rsid w:val="00C7676A"/>
    <w:rsid w:val="00C82601"/>
    <w:rsid w:val="00C8664A"/>
    <w:rsid w:val="00C86D29"/>
    <w:rsid w:val="00C95EF8"/>
    <w:rsid w:val="00C9678B"/>
    <w:rsid w:val="00CA1276"/>
    <w:rsid w:val="00CA37DE"/>
    <w:rsid w:val="00CA7EA1"/>
    <w:rsid w:val="00CB0686"/>
    <w:rsid w:val="00CB1F34"/>
    <w:rsid w:val="00CB2FCB"/>
    <w:rsid w:val="00CB3F5D"/>
    <w:rsid w:val="00CB48E5"/>
    <w:rsid w:val="00CB5B42"/>
    <w:rsid w:val="00CB5FDF"/>
    <w:rsid w:val="00CB6D68"/>
    <w:rsid w:val="00CC0F19"/>
    <w:rsid w:val="00CC4DFF"/>
    <w:rsid w:val="00CC5F52"/>
    <w:rsid w:val="00CD0676"/>
    <w:rsid w:val="00CD0F35"/>
    <w:rsid w:val="00CD2E3C"/>
    <w:rsid w:val="00CD7D04"/>
    <w:rsid w:val="00CE592A"/>
    <w:rsid w:val="00CE75B8"/>
    <w:rsid w:val="00CF2125"/>
    <w:rsid w:val="00CF34D0"/>
    <w:rsid w:val="00CF435A"/>
    <w:rsid w:val="00CF6EC8"/>
    <w:rsid w:val="00CF7249"/>
    <w:rsid w:val="00D01DC4"/>
    <w:rsid w:val="00D11D0C"/>
    <w:rsid w:val="00D13533"/>
    <w:rsid w:val="00D200DF"/>
    <w:rsid w:val="00D212F5"/>
    <w:rsid w:val="00D22FF1"/>
    <w:rsid w:val="00D26946"/>
    <w:rsid w:val="00D319F1"/>
    <w:rsid w:val="00D3393A"/>
    <w:rsid w:val="00D36FC9"/>
    <w:rsid w:val="00D44615"/>
    <w:rsid w:val="00D4520B"/>
    <w:rsid w:val="00D53A82"/>
    <w:rsid w:val="00D53C6A"/>
    <w:rsid w:val="00D5477D"/>
    <w:rsid w:val="00D63089"/>
    <w:rsid w:val="00D63A69"/>
    <w:rsid w:val="00D63B2B"/>
    <w:rsid w:val="00D67F51"/>
    <w:rsid w:val="00D7355F"/>
    <w:rsid w:val="00D85AF8"/>
    <w:rsid w:val="00D87AE6"/>
    <w:rsid w:val="00D95081"/>
    <w:rsid w:val="00D97FCD"/>
    <w:rsid w:val="00DA1D71"/>
    <w:rsid w:val="00DB4583"/>
    <w:rsid w:val="00DC1CB4"/>
    <w:rsid w:val="00DC2789"/>
    <w:rsid w:val="00DE5AAC"/>
    <w:rsid w:val="00DE7422"/>
    <w:rsid w:val="00DF0DEA"/>
    <w:rsid w:val="00DF5079"/>
    <w:rsid w:val="00DF529A"/>
    <w:rsid w:val="00E02E8B"/>
    <w:rsid w:val="00E0396C"/>
    <w:rsid w:val="00E06D6B"/>
    <w:rsid w:val="00E21E6E"/>
    <w:rsid w:val="00E2418B"/>
    <w:rsid w:val="00E257A8"/>
    <w:rsid w:val="00E27C9A"/>
    <w:rsid w:val="00E320F6"/>
    <w:rsid w:val="00E43982"/>
    <w:rsid w:val="00E509B5"/>
    <w:rsid w:val="00E54D66"/>
    <w:rsid w:val="00E57D7D"/>
    <w:rsid w:val="00E60839"/>
    <w:rsid w:val="00E61525"/>
    <w:rsid w:val="00E63897"/>
    <w:rsid w:val="00E66831"/>
    <w:rsid w:val="00E73CCF"/>
    <w:rsid w:val="00E76622"/>
    <w:rsid w:val="00E80318"/>
    <w:rsid w:val="00E81D8D"/>
    <w:rsid w:val="00E93605"/>
    <w:rsid w:val="00EA0617"/>
    <w:rsid w:val="00EA0D77"/>
    <w:rsid w:val="00EA2331"/>
    <w:rsid w:val="00EA4839"/>
    <w:rsid w:val="00EA55ED"/>
    <w:rsid w:val="00EB185B"/>
    <w:rsid w:val="00EB3007"/>
    <w:rsid w:val="00EB321E"/>
    <w:rsid w:val="00EB5AC5"/>
    <w:rsid w:val="00EB6193"/>
    <w:rsid w:val="00EC6E28"/>
    <w:rsid w:val="00ED5E9E"/>
    <w:rsid w:val="00ED64D9"/>
    <w:rsid w:val="00EE089C"/>
    <w:rsid w:val="00EE727F"/>
    <w:rsid w:val="00EF2CF0"/>
    <w:rsid w:val="00F01960"/>
    <w:rsid w:val="00F06D0A"/>
    <w:rsid w:val="00F079CC"/>
    <w:rsid w:val="00F20747"/>
    <w:rsid w:val="00F207E8"/>
    <w:rsid w:val="00F220D4"/>
    <w:rsid w:val="00F2684D"/>
    <w:rsid w:val="00F3735C"/>
    <w:rsid w:val="00F373FE"/>
    <w:rsid w:val="00F37F2F"/>
    <w:rsid w:val="00F44BAC"/>
    <w:rsid w:val="00F5503C"/>
    <w:rsid w:val="00F55FA4"/>
    <w:rsid w:val="00F60075"/>
    <w:rsid w:val="00F6284E"/>
    <w:rsid w:val="00F71888"/>
    <w:rsid w:val="00F72A1B"/>
    <w:rsid w:val="00F75B32"/>
    <w:rsid w:val="00F81BB9"/>
    <w:rsid w:val="00F8357B"/>
    <w:rsid w:val="00F934B3"/>
    <w:rsid w:val="00F948B0"/>
    <w:rsid w:val="00F959B7"/>
    <w:rsid w:val="00F95FEF"/>
    <w:rsid w:val="00F97331"/>
    <w:rsid w:val="00F97845"/>
    <w:rsid w:val="00FA272C"/>
    <w:rsid w:val="00FA58F4"/>
    <w:rsid w:val="00FA6090"/>
    <w:rsid w:val="00FA625C"/>
    <w:rsid w:val="00FA7B39"/>
    <w:rsid w:val="00FB1B42"/>
    <w:rsid w:val="00FB501E"/>
    <w:rsid w:val="00FC50BD"/>
    <w:rsid w:val="00FC6EED"/>
    <w:rsid w:val="00FE1D97"/>
    <w:rsid w:val="00FE7534"/>
    <w:rsid w:val="00FF29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D5F36"/>
  <w14:defaultImageDpi w14:val="300"/>
  <w15:docId w15:val="{85817F3A-0884-4E83-9EDF-BCF063FA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3, C"/>
    <w:basedOn w:val="Normal"/>
    <w:link w:val="TextonotapieCar"/>
    <w:unhideWhenUsed/>
    <w:qFormat/>
    <w:rsid w:val="00574349"/>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574349"/>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Stinking Styles6,ftref"/>
    <w:basedOn w:val="Fuentedeprrafopredeter"/>
    <w:link w:val="4GChar"/>
    <w:unhideWhenUsed/>
    <w:qFormat/>
    <w:rsid w:val="00574349"/>
    <w:rPr>
      <w:vertAlign w:val="superscript"/>
    </w:rPr>
  </w:style>
  <w:style w:type="paragraph" w:styleId="NormalWeb">
    <w:name w:val="Normal (Web)"/>
    <w:basedOn w:val="Normal"/>
    <w:uiPriority w:val="99"/>
    <w:unhideWhenUsed/>
    <w:rsid w:val="00574349"/>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CB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F5D"/>
    <w:rPr>
      <w:rFonts w:ascii="Segoe UI" w:hAnsi="Segoe UI" w:cs="Segoe UI"/>
      <w:sz w:val="18"/>
      <w:szCs w:val="18"/>
    </w:rPr>
  </w:style>
  <w:style w:type="paragraph" w:styleId="Prrafodelista">
    <w:name w:val="List Paragraph"/>
    <w:aliases w:val="Cita texto,Footnote,Párrafo de lista1,List Paragraph1,Colorful List - Accent 11,TEXTO GENERAL SENTENCIAS,List Paragraph2,Lista vistosa - Énfasis 11,Cuadrícula clara - Énfasis 31,Párrafo de lista2,List Paragraph"/>
    <w:basedOn w:val="Normal"/>
    <w:link w:val="PrrafodelistaCar"/>
    <w:uiPriority w:val="34"/>
    <w:qFormat/>
    <w:rsid w:val="00862D73"/>
    <w:pPr>
      <w:ind w:left="720"/>
      <w:contextualSpacing/>
    </w:pPr>
  </w:style>
  <w:style w:type="paragraph" w:styleId="Encabezado">
    <w:name w:val="header"/>
    <w:basedOn w:val="Normal"/>
    <w:link w:val="EncabezadoCar"/>
    <w:uiPriority w:val="99"/>
    <w:unhideWhenUsed/>
    <w:rsid w:val="003C7F93"/>
    <w:pPr>
      <w:tabs>
        <w:tab w:val="center" w:pos="4419"/>
        <w:tab w:val="right" w:pos="8838"/>
      </w:tabs>
    </w:pPr>
  </w:style>
  <w:style w:type="character" w:customStyle="1" w:styleId="EncabezadoCar">
    <w:name w:val="Encabezado Car"/>
    <w:basedOn w:val="Fuentedeprrafopredeter"/>
    <w:link w:val="Encabezado"/>
    <w:uiPriority w:val="99"/>
    <w:rsid w:val="003C7F93"/>
  </w:style>
  <w:style w:type="paragraph" w:styleId="Piedepgina">
    <w:name w:val="footer"/>
    <w:basedOn w:val="Normal"/>
    <w:link w:val="PiedepginaCar"/>
    <w:uiPriority w:val="99"/>
    <w:unhideWhenUsed/>
    <w:rsid w:val="003C7F93"/>
    <w:pPr>
      <w:tabs>
        <w:tab w:val="center" w:pos="4419"/>
        <w:tab w:val="right" w:pos="8838"/>
      </w:tabs>
    </w:pPr>
  </w:style>
  <w:style w:type="character" w:customStyle="1" w:styleId="PiedepginaCar">
    <w:name w:val="Pie de página Car"/>
    <w:basedOn w:val="Fuentedeprrafopredeter"/>
    <w:link w:val="Piedepgina"/>
    <w:uiPriority w:val="99"/>
    <w:rsid w:val="003C7F93"/>
  </w:style>
  <w:style w:type="paragraph" w:customStyle="1" w:styleId="Estilo">
    <w:name w:val="Estilo"/>
    <w:basedOn w:val="Sinespaciado"/>
    <w:link w:val="EstiloCar"/>
    <w:qFormat/>
    <w:rsid w:val="00FA625C"/>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FA625C"/>
    <w:rPr>
      <w:rFonts w:ascii="Arial" w:eastAsiaTheme="minorHAnsi" w:hAnsi="Arial"/>
      <w:szCs w:val="22"/>
      <w:lang w:val="es-MX" w:eastAsia="en-US"/>
    </w:rPr>
  </w:style>
  <w:style w:type="paragraph" w:styleId="Sinespaciado">
    <w:name w:val="No Spacing"/>
    <w:uiPriority w:val="1"/>
    <w:qFormat/>
    <w:rsid w:val="00FA625C"/>
  </w:style>
  <w:style w:type="paragraph" w:customStyle="1" w:styleId="corte4fondo">
    <w:name w:val="corte4 fondo"/>
    <w:basedOn w:val="Normal"/>
    <w:link w:val="corte4fondoCar"/>
    <w:qFormat/>
    <w:rsid w:val="00581F80"/>
    <w:pPr>
      <w:spacing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581F80"/>
    <w:rPr>
      <w:rFonts w:ascii="Arial" w:eastAsia="Times New Roman" w:hAnsi="Arial" w:cs="Times New Roman"/>
      <w:sz w:val="30"/>
      <w:szCs w:val="20"/>
      <w:lang w:eastAsia="es-MX"/>
    </w:rPr>
  </w:style>
  <w:style w:type="character" w:customStyle="1" w:styleId="PrrafodelistaCar">
    <w:name w:val="Párrafo de lista Car"/>
    <w:aliases w:val="Cita texto Car,Footnote Car,Párrafo de lista1 Car,List Paragraph1 Car,Colorful List - Accent 11 Car,TEXTO GENERAL SENTENCIAS Car,List Paragraph2 Car,Lista vistosa - Énfasis 11 Car,Cuadrícula clara - Énfasis 31 Car,List Paragraph Car"/>
    <w:link w:val="Prrafodelista"/>
    <w:uiPriority w:val="34"/>
    <w:locked/>
    <w:rsid w:val="0000299E"/>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410D"/>
    <w:pPr>
      <w:jc w:val="both"/>
    </w:pPr>
    <w:rPr>
      <w:vertAlign w:val="superscript"/>
    </w:rPr>
  </w:style>
  <w:style w:type="character" w:customStyle="1" w:styleId="corte4fondoCar1">
    <w:name w:val="corte4 fondo Car1"/>
    <w:basedOn w:val="Fuentedeprrafopredeter"/>
    <w:rsid w:val="004C401E"/>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965787"/>
    <w:pPr>
      <w:spacing w:line="360" w:lineRule="auto"/>
      <w:ind w:firstLine="709"/>
      <w:jc w:val="both"/>
    </w:pPr>
    <w:rPr>
      <w:rFonts w:ascii="Arial" w:eastAsia="Times New Roman" w:hAnsi="Arial" w:cs="Arial"/>
      <w:sz w:val="28"/>
      <w:szCs w:val="28"/>
    </w:rPr>
  </w:style>
  <w:style w:type="character" w:customStyle="1" w:styleId="TEXTONORMALCar">
    <w:name w:val="TEXTO NORMAL Car"/>
    <w:link w:val="TEXTONORMAL"/>
    <w:rsid w:val="00965787"/>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9798">
      <w:bodyDiv w:val="1"/>
      <w:marLeft w:val="0"/>
      <w:marRight w:val="0"/>
      <w:marTop w:val="0"/>
      <w:marBottom w:val="0"/>
      <w:divBdr>
        <w:top w:val="none" w:sz="0" w:space="0" w:color="auto"/>
        <w:left w:val="none" w:sz="0" w:space="0" w:color="auto"/>
        <w:bottom w:val="none" w:sz="0" w:space="0" w:color="auto"/>
        <w:right w:val="none" w:sz="0" w:space="0" w:color="auto"/>
      </w:divBdr>
      <w:divsChild>
        <w:div w:id="611011285">
          <w:marLeft w:val="0"/>
          <w:marRight w:val="0"/>
          <w:marTop w:val="0"/>
          <w:marBottom w:val="0"/>
          <w:divBdr>
            <w:top w:val="none" w:sz="0" w:space="0" w:color="auto"/>
            <w:left w:val="none" w:sz="0" w:space="0" w:color="auto"/>
            <w:bottom w:val="none" w:sz="0" w:space="0" w:color="auto"/>
            <w:right w:val="none" w:sz="0" w:space="0" w:color="auto"/>
          </w:divBdr>
          <w:divsChild>
            <w:div w:id="1462922128">
              <w:marLeft w:val="0"/>
              <w:marRight w:val="0"/>
              <w:marTop w:val="0"/>
              <w:marBottom w:val="0"/>
              <w:divBdr>
                <w:top w:val="none" w:sz="0" w:space="0" w:color="auto"/>
                <w:left w:val="none" w:sz="0" w:space="0" w:color="auto"/>
                <w:bottom w:val="none" w:sz="0" w:space="0" w:color="auto"/>
                <w:right w:val="none" w:sz="0" w:space="0" w:color="auto"/>
              </w:divBdr>
              <w:divsChild>
                <w:div w:id="108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4180">
          <w:marLeft w:val="0"/>
          <w:marRight w:val="0"/>
          <w:marTop w:val="0"/>
          <w:marBottom w:val="0"/>
          <w:divBdr>
            <w:top w:val="none" w:sz="0" w:space="0" w:color="auto"/>
            <w:left w:val="none" w:sz="0" w:space="0" w:color="auto"/>
            <w:bottom w:val="none" w:sz="0" w:space="0" w:color="auto"/>
            <w:right w:val="none" w:sz="0" w:space="0" w:color="auto"/>
          </w:divBdr>
          <w:divsChild>
            <w:div w:id="2092701291">
              <w:marLeft w:val="0"/>
              <w:marRight w:val="0"/>
              <w:marTop w:val="0"/>
              <w:marBottom w:val="0"/>
              <w:divBdr>
                <w:top w:val="none" w:sz="0" w:space="0" w:color="auto"/>
                <w:left w:val="none" w:sz="0" w:space="0" w:color="auto"/>
                <w:bottom w:val="none" w:sz="0" w:space="0" w:color="auto"/>
                <w:right w:val="none" w:sz="0" w:space="0" w:color="auto"/>
              </w:divBdr>
              <w:divsChild>
                <w:div w:id="1699310341">
                  <w:marLeft w:val="0"/>
                  <w:marRight w:val="0"/>
                  <w:marTop w:val="0"/>
                  <w:marBottom w:val="0"/>
                  <w:divBdr>
                    <w:top w:val="none" w:sz="0" w:space="0" w:color="auto"/>
                    <w:left w:val="none" w:sz="0" w:space="0" w:color="auto"/>
                    <w:bottom w:val="none" w:sz="0" w:space="0" w:color="auto"/>
                    <w:right w:val="none" w:sz="0" w:space="0" w:color="auto"/>
                  </w:divBdr>
                </w:div>
                <w:div w:id="1340355784">
                  <w:marLeft w:val="0"/>
                  <w:marRight w:val="0"/>
                  <w:marTop w:val="0"/>
                  <w:marBottom w:val="0"/>
                  <w:divBdr>
                    <w:top w:val="none" w:sz="0" w:space="0" w:color="auto"/>
                    <w:left w:val="none" w:sz="0" w:space="0" w:color="auto"/>
                    <w:bottom w:val="none" w:sz="0" w:space="0" w:color="auto"/>
                    <w:right w:val="none" w:sz="0" w:space="0" w:color="auto"/>
                  </w:divBdr>
                </w:div>
              </w:divsChild>
            </w:div>
            <w:div w:id="78989290">
              <w:marLeft w:val="0"/>
              <w:marRight w:val="0"/>
              <w:marTop w:val="0"/>
              <w:marBottom w:val="0"/>
              <w:divBdr>
                <w:top w:val="none" w:sz="0" w:space="0" w:color="auto"/>
                <w:left w:val="none" w:sz="0" w:space="0" w:color="auto"/>
                <w:bottom w:val="none" w:sz="0" w:space="0" w:color="auto"/>
                <w:right w:val="none" w:sz="0" w:space="0" w:color="auto"/>
              </w:divBdr>
              <w:divsChild>
                <w:div w:id="1818910863">
                  <w:marLeft w:val="0"/>
                  <w:marRight w:val="0"/>
                  <w:marTop w:val="0"/>
                  <w:marBottom w:val="0"/>
                  <w:divBdr>
                    <w:top w:val="none" w:sz="0" w:space="0" w:color="auto"/>
                    <w:left w:val="none" w:sz="0" w:space="0" w:color="auto"/>
                    <w:bottom w:val="none" w:sz="0" w:space="0" w:color="auto"/>
                    <w:right w:val="none" w:sz="0" w:space="0" w:color="auto"/>
                  </w:divBdr>
                </w:div>
              </w:divsChild>
            </w:div>
            <w:div w:id="1193347791">
              <w:marLeft w:val="0"/>
              <w:marRight w:val="0"/>
              <w:marTop w:val="0"/>
              <w:marBottom w:val="0"/>
              <w:divBdr>
                <w:top w:val="none" w:sz="0" w:space="0" w:color="auto"/>
                <w:left w:val="none" w:sz="0" w:space="0" w:color="auto"/>
                <w:bottom w:val="none" w:sz="0" w:space="0" w:color="auto"/>
                <w:right w:val="none" w:sz="0" w:space="0" w:color="auto"/>
              </w:divBdr>
              <w:divsChild>
                <w:div w:id="1964919459">
                  <w:marLeft w:val="0"/>
                  <w:marRight w:val="0"/>
                  <w:marTop w:val="0"/>
                  <w:marBottom w:val="0"/>
                  <w:divBdr>
                    <w:top w:val="none" w:sz="0" w:space="0" w:color="auto"/>
                    <w:left w:val="none" w:sz="0" w:space="0" w:color="auto"/>
                    <w:bottom w:val="none" w:sz="0" w:space="0" w:color="auto"/>
                    <w:right w:val="none" w:sz="0" w:space="0" w:color="auto"/>
                  </w:divBdr>
                </w:div>
                <w:div w:id="1602957731">
                  <w:marLeft w:val="0"/>
                  <w:marRight w:val="0"/>
                  <w:marTop w:val="0"/>
                  <w:marBottom w:val="0"/>
                  <w:divBdr>
                    <w:top w:val="none" w:sz="0" w:space="0" w:color="auto"/>
                    <w:left w:val="none" w:sz="0" w:space="0" w:color="auto"/>
                    <w:bottom w:val="none" w:sz="0" w:space="0" w:color="auto"/>
                    <w:right w:val="none" w:sz="0" w:space="0" w:color="auto"/>
                  </w:divBdr>
                </w:div>
              </w:divsChild>
            </w:div>
            <w:div w:id="1680428669">
              <w:marLeft w:val="0"/>
              <w:marRight w:val="0"/>
              <w:marTop w:val="0"/>
              <w:marBottom w:val="0"/>
              <w:divBdr>
                <w:top w:val="none" w:sz="0" w:space="0" w:color="auto"/>
                <w:left w:val="none" w:sz="0" w:space="0" w:color="auto"/>
                <w:bottom w:val="none" w:sz="0" w:space="0" w:color="auto"/>
                <w:right w:val="none" w:sz="0" w:space="0" w:color="auto"/>
              </w:divBdr>
              <w:divsChild>
                <w:div w:id="180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796F-C145-4F7A-ADC7-CA824B6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1876</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MIGUEL ANGEL ANDRADE SOLANA</cp:lastModifiedBy>
  <cp:revision>3</cp:revision>
  <cp:lastPrinted>2019-12-06T19:26:00Z</cp:lastPrinted>
  <dcterms:created xsi:type="dcterms:W3CDTF">2023-04-05T04:53:00Z</dcterms:created>
  <dcterms:modified xsi:type="dcterms:W3CDTF">2023-04-05T05:22:00Z</dcterms:modified>
</cp:coreProperties>
</file>