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BADB0" w14:textId="77777777" w:rsidR="007A4E24" w:rsidRDefault="007A4E24" w:rsidP="00E75E6D">
      <w:pPr>
        <w:spacing w:before="240" w:after="240" w:line="360" w:lineRule="auto"/>
        <w:ind w:left="1701"/>
        <w:jc w:val="both"/>
        <w:rPr>
          <w:rFonts w:ascii="Arial" w:hAnsi="Arial" w:cs="Arial"/>
          <w:b/>
          <w:sz w:val="28"/>
          <w:szCs w:val="28"/>
        </w:rPr>
      </w:pPr>
    </w:p>
    <w:p w14:paraId="40E59B78" w14:textId="1C33C9A6" w:rsidR="00B62739" w:rsidRPr="00D82380" w:rsidRDefault="00B4106E" w:rsidP="00E75E6D">
      <w:pPr>
        <w:spacing w:before="240" w:after="240" w:line="360" w:lineRule="auto"/>
        <w:ind w:left="1701"/>
        <w:jc w:val="both"/>
        <w:rPr>
          <w:rFonts w:ascii="Arial" w:hAnsi="Arial" w:cs="Arial"/>
          <w:b/>
          <w:sz w:val="28"/>
          <w:szCs w:val="28"/>
        </w:rPr>
      </w:pPr>
      <w:r w:rsidRPr="00D82380">
        <w:rPr>
          <w:rFonts w:ascii="Arial" w:hAnsi="Arial" w:cs="Arial"/>
          <w:b/>
          <w:sz w:val="28"/>
          <w:szCs w:val="28"/>
        </w:rPr>
        <w:t xml:space="preserve">VOTO </w:t>
      </w:r>
      <w:r w:rsidR="001D080D" w:rsidRPr="00D82380">
        <w:rPr>
          <w:rFonts w:ascii="Arial" w:hAnsi="Arial" w:cs="Arial"/>
          <w:b/>
          <w:sz w:val="28"/>
          <w:szCs w:val="28"/>
        </w:rPr>
        <w:t>PARTICULAR</w:t>
      </w:r>
      <w:r w:rsidR="008D0134" w:rsidRPr="00D82380">
        <w:rPr>
          <w:rFonts w:ascii="Arial" w:hAnsi="Arial" w:cs="Arial"/>
          <w:b/>
          <w:sz w:val="28"/>
          <w:szCs w:val="28"/>
        </w:rPr>
        <w:t xml:space="preserve"> </w:t>
      </w:r>
      <w:r w:rsidR="002766E1" w:rsidRPr="00D82380">
        <w:rPr>
          <w:rFonts w:ascii="Arial" w:hAnsi="Arial" w:cs="Arial"/>
          <w:b/>
          <w:sz w:val="28"/>
          <w:szCs w:val="28"/>
        </w:rPr>
        <w:t>QUE FORMULA</w:t>
      </w:r>
      <w:r w:rsidR="00D075B8" w:rsidRPr="00D82380">
        <w:rPr>
          <w:rFonts w:ascii="Arial" w:hAnsi="Arial" w:cs="Arial"/>
          <w:b/>
          <w:sz w:val="28"/>
          <w:szCs w:val="28"/>
        </w:rPr>
        <w:t xml:space="preserve"> LA MINISTRA ANA MARGARITA RÍOS FARJAT</w:t>
      </w:r>
      <w:r w:rsidR="00AD6102" w:rsidRPr="00D82380">
        <w:rPr>
          <w:rFonts w:ascii="Arial" w:hAnsi="Arial" w:cs="Arial"/>
          <w:b/>
          <w:sz w:val="28"/>
          <w:szCs w:val="28"/>
        </w:rPr>
        <w:t xml:space="preserve"> </w:t>
      </w:r>
      <w:r w:rsidR="00D075B8" w:rsidRPr="00D82380">
        <w:rPr>
          <w:rFonts w:ascii="Arial" w:hAnsi="Arial" w:cs="Arial"/>
          <w:b/>
          <w:sz w:val="28"/>
          <w:szCs w:val="28"/>
        </w:rPr>
        <w:t xml:space="preserve">EN </w:t>
      </w:r>
      <w:r w:rsidR="00FA46F2" w:rsidRPr="00D82380">
        <w:rPr>
          <w:rFonts w:ascii="Arial" w:hAnsi="Arial" w:cs="Arial"/>
          <w:b/>
          <w:sz w:val="28"/>
          <w:szCs w:val="28"/>
        </w:rPr>
        <w:t xml:space="preserve">EL AMPARO EN REVISIÓN </w:t>
      </w:r>
      <w:r w:rsidR="00BB0E05" w:rsidRPr="00D82380">
        <w:rPr>
          <w:rFonts w:ascii="Arial" w:hAnsi="Arial" w:cs="Arial"/>
          <w:b/>
          <w:sz w:val="28"/>
          <w:szCs w:val="28"/>
        </w:rPr>
        <w:t>275</w:t>
      </w:r>
      <w:r w:rsidR="00E66624" w:rsidRPr="00D82380">
        <w:rPr>
          <w:rFonts w:ascii="Arial" w:hAnsi="Arial" w:cs="Arial"/>
          <w:b/>
          <w:sz w:val="28"/>
          <w:szCs w:val="28"/>
        </w:rPr>
        <w:t>/2019</w:t>
      </w:r>
    </w:p>
    <w:p w14:paraId="1BB8EE39" w14:textId="77777777" w:rsidR="002305C3" w:rsidRDefault="002305C3" w:rsidP="00280ECA">
      <w:pPr>
        <w:spacing w:before="240" w:after="240" w:line="360" w:lineRule="auto"/>
        <w:jc w:val="both"/>
        <w:rPr>
          <w:rFonts w:ascii="Arial" w:hAnsi="Arial" w:cs="Arial"/>
          <w:sz w:val="26"/>
          <w:szCs w:val="26"/>
        </w:rPr>
      </w:pPr>
    </w:p>
    <w:p w14:paraId="10E7805A" w14:textId="77777777" w:rsidR="007A4E24" w:rsidRPr="00D82380" w:rsidRDefault="007A4E24" w:rsidP="00280ECA">
      <w:pPr>
        <w:spacing w:before="240" w:after="240" w:line="360" w:lineRule="auto"/>
        <w:jc w:val="both"/>
        <w:rPr>
          <w:rFonts w:ascii="Arial" w:hAnsi="Arial" w:cs="Arial"/>
          <w:sz w:val="26"/>
          <w:szCs w:val="26"/>
        </w:rPr>
      </w:pPr>
    </w:p>
    <w:p w14:paraId="23639051" w14:textId="7D3B1BC8" w:rsidR="007A2E11" w:rsidRPr="00D82380" w:rsidRDefault="007C55E8" w:rsidP="00280ECA">
      <w:pPr>
        <w:spacing w:before="240" w:after="240" w:line="360" w:lineRule="auto"/>
        <w:jc w:val="both"/>
        <w:rPr>
          <w:rFonts w:ascii="Arial" w:hAnsi="Arial" w:cs="Arial"/>
          <w:sz w:val="26"/>
          <w:szCs w:val="26"/>
        </w:rPr>
      </w:pPr>
      <w:r w:rsidRPr="00D82380">
        <w:rPr>
          <w:rFonts w:ascii="Arial" w:hAnsi="Arial" w:cs="Arial"/>
          <w:sz w:val="26"/>
          <w:szCs w:val="26"/>
        </w:rPr>
        <w:t>La Primera Sala de la Suprema Corte de Justicia de la Nación, e</w:t>
      </w:r>
      <w:r w:rsidR="009D23DD" w:rsidRPr="00D82380">
        <w:rPr>
          <w:rFonts w:ascii="Arial" w:hAnsi="Arial" w:cs="Arial"/>
          <w:sz w:val="26"/>
          <w:szCs w:val="26"/>
        </w:rPr>
        <w:t>n</w:t>
      </w:r>
      <w:r w:rsidR="00595015" w:rsidRPr="00D82380">
        <w:rPr>
          <w:rFonts w:ascii="Arial" w:hAnsi="Arial" w:cs="Arial"/>
          <w:sz w:val="26"/>
          <w:szCs w:val="26"/>
        </w:rPr>
        <w:t xml:space="preserve"> </w:t>
      </w:r>
      <w:r w:rsidR="007A2E11" w:rsidRPr="00D82380">
        <w:rPr>
          <w:rFonts w:ascii="Arial" w:hAnsi="Arial" w:cs="Arial"/>
          <w:sz w:val="26"/>
          <w:szCs w:val="26"/>
        </w:rPr>
        <w:t xml:space="preserve">la </w:t>
      </w:r>
      <w:r w:rsidR="00595015" w:rsidRPr="00D82380">
        <w:rPr>
          <w:rFonts w:ascii="Arial" w:hAnsi="Arial" w:cs="Arial"/>
          <w:sz w:val="26"/>
          <w:szCs w:val="26"/>
        </w:rPr>
        <w:t xml:space="preserve">sesión celebrada el </w:t>
      </w:r>
      <w:r w:rsidR="00BB0E05" w:rsidRPr="00D82380">
        <w:rPr>
          <w:rFonts w:ascii="Arial" w:hAnsi="Arial" w:cs="Arial"/>
          <w:sz w:val="26"/>
          <w:szCs w:val="26"/>
        </w:rPr>
        <w:t>dieciocho de mayo de dos mil veintidós, resolvió el recurso de revisión promovido por tres personas indígenas mexicanas</w:t>
      </w:r>
      <w:r w:rsidR="001C6756" w:rsidRPr="00D82380">
        <w:rPr>
          <w:rFonts w:ascii="Arial" w:hAnsi="Arial" w:cs="Arial"/>
          <w:sz w:val="26"/>
          <w:szCs w:val="26"/>
        </w:rPr>
        <w:t xml:space="preserve"> (pertenecientes a la comunidad Maya Tzeltal)</w:t>
      </w:r>
      <w:r w:rsidR="00D74E67" w:rsidRPr="00D82380">
        <w:rPr>
          <w:rFonts w:ascii="Arial" w:hAnsi="Arial" w:cs="Arial"/>
          <w:sz w:val="26"/>
          <w:szCs w:val="26"/>
        </w:rPr>
        <w:t xml:space="preserve"> </w:t>
      </w:r>
      <w:r w:rsidR="00BB0E05" w:rsidRPr="00D82380">
        <w:rPr>
          <w:rFonts w:ascii="Arial" w:hAnsi="Arial" w:cs="Arial"/>
          <w:sz w:val="26"/>
          <w:szCs w:val="26"/>
        </w:rPr>
        <w:t xml:space="preserve">quienes se inconformaron con la decisión del Juez de Distrito de sobreseer </w:t>
      </w:r>
      <w:r w:rsidR="00C15269" w:rsidRPr="00D82380">
        <w:rPr>
          <w:rFonts w:ascii="Arial" w:hAnsi="Arial" w:cs="Arial"/>
          <w:sz w:val="26"/>
          <w:szCs w:val="26"/>
        </w:rPr>
        <w:t>en el juicio respecto de distintas normas de la Ley de Migración</w:t>
      </w:r>
      <w:r w:rsidR="006732EE" w:rsidRPr="00D82380">
        <w:rPr>
          <w:rFonts w:ascii="Arial" w:hAnsi="Arial" w:cs="Arial"/>
          <w:sz w:val="26"/>
          <w:szCs w:val="26"/>
        </w:rPr>
        <w:t>, vigentes al momento de los hechos.</w:t>
      </w:r>
    </w:p>
    <w:p w14:paraId="0723E9EB" w14:textId="77777777" w:rsidR="005567C0" w:rsidRPr="00D82380" w:rsidRDefault="005567C0" w:rsidP="00280ECA">
      <w:pPr>
        <w:spacing w:before="240" w:after="240" w:line="360" w:lineRule="auto"/>
        <w:jc w:val="both"/>
        <w:rPr>
          <w:rFonts w:ascii="Arial" w:hAnsi="Arial" w:cs="Arial"/>
          <w:sz w:val="26"/>
          <w:szCs w:val="26"/>
        </w:rPr>
      </w:pPr>
    </w:p>
    <w:p w14:paraId="355BE686" w14:textId="0FA070C5" w:rsidR="005567C0" w:rsidRPr="00D82380" w:rsidRDefault="005567C0" w:rsidP="005567C0">
      <w:pPr>
        <w:spacing w:before="240" w:after="240" w:line="360" w:lineRule="auto"/>
        <w:jc w:val="right"/>
        <w:rPr>
          <w:rFonts w:ascii="Arial" w:hAnsi="Arial" w:cs="Arial"/>
          <w:b/>
          <w:bCs/>
          <w:sz w:val="26"/>
          <w:szCs w:val="26"/>
        </w:rPr>
      </w:pPr>
      <w:r w:rsidRPr="00D82380">
        <w:rPr>
          <w:rFonts w:ascii="Arial" w:hAnsi="Arial" w:cs="Arial"/>
          <w:b/>
          <w:bCs/>
          <w:sz w:val="26"/>
          <w:szCs w:val="26"/>
        </w:rPr>
        <w:t>Aclaración previa</w:t>
      </w:r>
    </w:p>
    <w:p w14:paraId="7498242F" w14:textId="6EF04FD9" w:rsidR="007A2E11" w:rsidRPr="00D82380" w:rsidRDefault="007A2E11" w:rsidP="00280ECA">
      <w:pPr>
        <w:spacing w:before="240" w:after="240" w:line="360" w:lineRule="auto"/>
        <w:jc w:val="both"/>
        <w:rPr>
          <w:rFonts w:ascii="Arial" w:hAnsi="Arial" w:cs="Arial"/>
          <w:sz w:val="26"/>
          <w:szCs w:val="26"/>
        </w:rPr>
      </w:pPr>
      <w:r w:rsidRPr="00D82380">
        <w:rPr>
          <w:rFonts w:ascii="Arial" w:hAnsi="Arial" w:cs="Arial"/>
          <w:sz w:val="26"/>
          <w:szCs w:val="26"/>
        </w:rPr>
        <w:t>En este caso se impugn</w:t>
      </w:r>
      <w:r w:rsidR="005B6D9B" w:rsidRPr="00D82380">
        <w:rPr>
          <w:rFonts w:ascii="Arial" w:hAnsi="Arial" w:cs="Arial"/>
          <w:sz w:val="26"/>
          <w:szCs w:val="26"/>
        </w:rPr>
        <w:t xml:space="preserve">ó más de media docena de artículos </w:t>
      </w:r>
      <w:r w:rsidR="005B6D9B" w:rsidRPr="003433CD">
        <w:rPr>
          <w:rFonts w:ascii="Arial" w:hAnsi="Arial" w:cs="Arial"/>
          <w:sz w:val="26"/>
          <w:szCs w:val="26"/>
        </w:rPr>
        <w:t>de</w:t>
      </w:r>
      <w:r w:rsidR="005B6D9B" w:rsidRPr="00D82380">
        <w:rPr>
          <w:rFonts w:ascii="Arial" w:hAnsi="Arial" w:cs="Arial"/>
          <w:sz w:val="26"/>
          <w:szCs w:val="26"/>
        </w:rPr>
        <w:t xml:space="preserve"> la Ley de Migración, lo que provocó diversas posiciones diferenciadas y matices entre quienes integramos la Primera Sala, y si bien la suscrita fue ponente en este asunto, una mayoría de tres optó por la inconstitucionalidad de uno de esos preceptos (el 99), en contravención a la propuesta, que era declarar su validez, y ese es el motivo de que, siendo ponente, formule </w:t>
      </w:r>
      <w:r w:rsidR="00AF4376" w:rsidRPr="00D82380">
        <w:rPr>
          <w:rFonts w:ascii="Arial" w:hAnsi="Arial" w:cs="Arial"/>
          <w:sz w:val="26"/>
          <w:szCs w:val="26"/>
        </w:rPr>
        <w:t>un</w:t>
      </w:r>
      <w:r w:rsidR="005B6D9B" w:rsidRPr="00D82380">
        <w:rPr>
          <w:rFonts w:ascii="Arial" w:hAnsi="Arial" w:cs="Arial"/>
          <w:sz w:val="26"/>
          <w:szCs w:val="26"/>
        </w:rPr>
        <w:t xml:space="preserve"> voto particular.</w:t>
      </w:r>
    </w:p>
    <w:p w14:paraId="0A1F0085" w14:textId="77777777" w:rsidR="005567C0" w:rsidRPr="00D82380" w:rsidRDefault="005567C0" w:rsidP="00280ECA">
      <w:pPr>
        <w:spacing w:before="240" w:after="240" w:line="360" w:lineRule="auto"/>
        <w:jc w:val="both"/>
        <w:rPr>
          <w:rFonts w:ascii="Arial" w:hAnsi="Arial" w:cs="Arial"/>
          <w:sz w:val="26"/>
          <w:szCs w:val="26"/>
        </w:rPr>
      </w:pPr>
    </w:p>
    <w:p w14:paraId="0FE6CE38" w14:textId="0FBA716C" w:rsidR="005567C0" w:rsidRPr="00D82380" w:rsidRDefault="005567C0" w:rsidP="005567C0">
      <w:pPr>
        <w:spacing w:before="240" w:after="240" w:line="360" w:lineRule="auto"/>
        <w:jc w:val="right"/>
        <w:rPr>
          <w:rFonts w:ascii="Arial" w:hAnsi="Arial" w:cs="Arial"/>
          <w:b/>
          <w:bCs/>
          <w:sz w:val="26"/>
          <w:szCs w:val="26"/>
        </w:rPr>
      </w:pPr>
      <w:r w:rsidRPr="00D82380">
        <w:rPr>
          <w:rFonts w:ascii="Arial" w:hAnsi="Arial" w:cs="Arial"/>
          <w:b/>
          <w:bCs/>
          <w:sz w:val="26"/>
          <w:szCs w:val="26"/>
        </w:rPr>
        <w:t>Antecedentes del caso</w:t>
      </w:r>
    </w:p>
    <w:p w14:paraId="2ED4F49B" w14:textId="07D19FA9" w:rsidR="00825F95" w:rsidRPr="00D82380" w:rsidRDefault="00825F95" w:rsidP="00280ECA">
      <w:pPr>
        <w:spacing w:before="240" w:after="240" w:line="360" w:lineRule="auto"/>
        <w:jc w:val="both"/>
        <w:rPr>
          <w:rFonts w:ascii="Arial" w:hAnsi="Arial" w:cs="Arial"/>
          <w:sz w:val="26"/>
          <w:szCs w:val="26"/>
        </w:rPr>
      </w:pPr>
      <w:r w:rsidRPr="00D82380">
        <w:rPr>
          <w:rFonts w:ascii="Arial" w:hAnsi="Arial" w:cs="Arial"/>
          <w:sz w:val="26"/>
          <w:szCs w:val="26"/>
        </w:rPr>
        <w:t>El asunto tiene su origen en una revisión migratoria llevada a cabo en septiembre de dos mil quince, por agentes adscritos al Instituto Nacional de Migración, en el estado de Querétaro</w:t>
      </w:r>
      <w:r w:rsidR="002A4E98" w:rsidRPr="00D82380">
        <w:rPr>
          <w:rFonts w:ascii="Arial" w:hAnsi="Arial" w:cs="Arial"/>
          <w:sz w:val="26"/>
          <w:szCs w:val="26"/>
        </w:rPr>
        <w:t xml:space="preserve">. </w:t>
      </w:r>
      <w:r w:rsidRPr="00D82380">
        <w:rPr>
          <w:rFonts w:ascii="Arial" w:hAnsi="Arial" w:cs="Arial"/>
          <w:sz w:val="26"/>
          <w:szCs w:val="26"/>
        </w:rPr>
        <w:t>Dichos agentes marcaron el alto a un autobús</w:t>
      </w:r>
      <w:r w:rsidR="002A4E98" w:rsidRPr="00D82380">
        <w:rPr>
          <w:rFonts w:ascii="Arial" w:hAnsi="Arial" w:cs="Arial"/>
          <w:sz w:val="26"/>
          <w:szCs w:val="26"/>
        </w:rPr>
        <w:t xml:space="preserve"> que iba</w:t>
      </w:r>
      <w:r w:rsidRPr="00D82380">
        <w:rPr>
          <w:rFonts w:ascii="Arial" w:hAnsi="Arial" w:cs="Arial"/>
          <w:sz w:val="26"/>
          <w:szCs w:val="26"/>
        </w:rPr>
        <w:t xml:space="preserve"> con destino a la ciudad de Guaymas, Sonora</w:t>
      </w:r>
      <w:r w:rsidR="002A4E98" w:rsidRPr="00D82380">
        <w:rPr>
          <w:rFonts w:ascii="Arial" w:hAnsi="Arial" w:cs="Arial"/>
          <w:sz w:val="26"/>
          <w:szCs w:val="26"/>
        </w:rPr>
        <w:t xml:space="preserve">, en el que viajaban distintas personas (entre ellas las quejosas), a quienes les solicitaron que mostraran sus identificaciones. Dos de las personas quejosas </w:t>
      </w:r>
      <w:r w:rsidR="002A4E98" w:rsidRPr="00D82380">
        <w:rPr>
          <w:rFonts w:ascii="Arial" w:hAnsi="Arial" w:cs="Arial"/>
          <w:sz w:val="26"/>
          <w:szCs w:val="26"/>
        </w:rPr>
        <w:lastRenderedPageBreak/>
        <w:t xml:space="preserve">presentaron el original de su credencial para votar, mientras que la tercera presentó una copia de su acta de nacimiento, dado que al momento de los hechos era menor de edad (tenía dieciséis </w:t>
      </w:r>
      <w:r w:rsidR="00B7234D" w:rsidRPr="00D82380">
        <w:rPr>
          <w:rFonts w:ascii="Arial" w:hAnsi="Arial" w:cs="Arial"/>
          <w:sz w:val="26"/>
          <w:szCs w:val="26"/>
        </w:rPr>
        <w:t>años). Sin embargo, los agentes migratorios consideraron que sus documentos eran falsos y que en realidad su nacionalidad era guatemalteca. Por esta razón, las tres personas fueron detenidas</w:t>
      </w:r>
      <w:r w:rsidR="001C6756" w:rsidRPr="00D82380">
        <w:rPr>
          <w:rFonts w:ascii="Arial" w:hAnsi="Arial" w:cs="Arial"/>
          <w:sz w:val="26"/>
          <w:szCs w:val="26"/>
        </w:rPr>
        <w:t>, alojadas en una estación migratoria</w:t>
      </w:r>
      <w:r w:rsidR="00B7234D" w:rsidRPr="00D82380">
        <w:rPr>
          <w:rFonts w:ascii="Arial" w:hAnsi="Arial" w:cs="Arial"/>
          <w:sz w:val="26"/>
          <w:szCs w:val="26"/>
        </w:rPr>
        <w:t xml:space="preserve"> y sujetas </w:t>
      </w:r>
      <w:r w:rsidR="001C6756" w:rsidRPr="00D82380">
        <w:rPr>
          <w:rFonts w:ascii="Arial" w:hAnsi="Arial" w:cs="Arial"/>
          <w:sz w:val="26"/>
          <w:szCs w:val="26"/>
        </w:rPr>
        <w:t>al procedimiento administrativo correspondiente.</w:t>
      </w:r>
    </w:p>
    <w:p w14:paraId="0CAE6FB0" w14:textId="773C00C9" w:rsidR="001C6756" w:rsidRPr="00D82380" w:rsidRDefault="001C6756" w:rsidP="00280ECA">
      <w:pPr>
        <w:spacing w:before="240" w:after="240" w:line="360" w:lineRule="auto"/>
        <w:jc w:val="both"/>
        <w:rPr>
          <w:rFonts w:ascii="Arial" w:hAnsi="Arial" w:cs="Arial"/>
          <w:sz w:val="26"/>
          <w:szCs w:val="26"/>
        </w:rPr>
      </w:pPr>
      <w:r w:rsidRPr="00D82380">
        <w:rPr>
          <w:rFonts w:ascii="Arial" w:hAnsi="Arial" w:cs="Arial"/>
          <w:sz w:val="26"/>
          <w:szCs w:val="26"/>
        </w:rPr>
        <w:t>En virtud de lo anterior, una abogada presentó</w:t>
      </w:r>
      <w:r w:rsidR="00D70175" w:rsidRPr="00D82380">
        <w:rPr>
          <w:rFonts w:ascii="Arial" w:hAnsi="Arial" w:cs="Arial"/>
          <w:sz w:val="26"/>
          <w:szCs w:val="26"/>
        </w:rPr>
        <w:t xml:space="preserve"> un</w:t>
      </w:r>
      <w:r w:rsidRPr="00D82380">
        <w:rPr>
          <w:rFonts w:ascii="Arial" w:hAnsi="Arial" w:cs="Arial"/>
          <w:sz w:val="26"/>
          <w:szCs w:val="26"/>
        </w:rPr>
        <w:t xml:space="preserve"> juicio de amparo indirecto por comparecencia, a nombre de las tres personas, en el que reclamó su detención, retención e incomunicación ilegal. Posteriormente, </w:t>
      </w:r>
      <w:r w:rsidR="00256D1E" w:rsidRPr="00D82380">
        <w:rPr>
          <w:rFonts w:ascii="Arial" w:hAnsi="Arial" w:cs="Arial"/>
          <w:sz w:val="26"/>
          <w:szCs w:val="26"/>
        </w:rPr>
        <w:t>la parte quejosa</w:t>
      </w:r>
      <w:r w:rsidRPr="00D82380">
        <w:rPr>
          <w:rFonts w:ascii="Arial" w:hAnsi="Arial" w:cs="Arial"/>
          <w:sz w:val="26"/>
          <w:szCs w:val="26"/>
        </w:rPr>
        <w:t xml:space="preserve"> </w:t>
      </w:r>
      <w:r w:rsidR="001F7C7E" w:rsidRPr="00D82380">
        <w:rPr>
          <w:rFonts w:ascii="Arial" w:hAnsi="Arial" w:cs="Arial"/>
          <w:sz w:val="26"/>
          <w:szCs w:val="26"/>
        </w:rPr>
        <w:t xml:space="preserve">presentó </w:t>
      </w:r>
      <w:r w:rsidRPr="00D82380">
        <w:rPr>
          <w:rFonts w:ascii="Arial" w:hAnsi="Arial" w:cs="Arial"/>
          <w:sz w:val="26"/>
          <w:szCs w:val="26"/>
        </w:rPr>
        <w:t>diversas ampliaciones de demanda en las cuales impugnó la constitucionalidad de distintos artículos de la Ley de Migración</w:t>
      </w:r>
      <w:r w:rsidR="0066124B" w:rsidRPr="00D82380">
        <w:rPr>
          <w:rFonts w:ascii="Arial" w:hAnsi="Arial" w:cs="Arial"/>
          <w:sz w:val="26"/>
          <w:szCs w:val="26"/>
        </w:rPr>
        <w:t>; de manera destacada, los artículos 16, fracción II, 17, 20, fracción VII, 97, 98, 99, 100, 121</w:t>
      </w:r>
      <w:r w:rsidR="001F7C7E" w:rsidRPr="00D82380">
        <w:rPr>
          <w:rFonts w:ascii="Arial" w:hAnsi="Arial" w:cs="Arial"/>
          <w:sz w:val="26"/>
          <w:szCs w:val="26"/>
        </w:rPr>
        <w:t xml:space="preserve"> (los cuales contemplan las facultades para llevar a cabo la revisión, detención y alojamiento migratorio, así como solicitar documentación para acreditar la situación migratoria regular).</w:t>
      </w:r>
    </w:p>
    <w:p w14:paraId="7DC1D697" w14:textId="764A1731" w:rsidR="0066124B" w:rsidRPr="00D82380" w:rsidRDefault="0066124B"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Seguida la secuela procesal correspondiente, el Juez de Distrito dictó sentencia en la que determinó sobreseer en el juicio de amparo respecto </w:t>
      </w:r>
      <w:r w:rsidR="00CA526E" w:rsidRPr="00D82380">
        <w:rPr>
          <w:rFonts w:ascii="Arial" w:hAnsi="Arial" w:cs="Arial"/>
          <w:sz w:val="26"/>
          <w:szCs w:val="26"/>
        </w:rPr>
        <w:t>de</w:t>
      </w:r>
      <w:r w:rsidRPr="00D82380">
        <w:rPr>
          <w:rFonts w:ascii="Arial" w:hAnsi="Arial" w:cs="Arial"/>
          <w:sz w:val="26"/>
          <w:szCs w:val="26"/>
        </w:rPr>
        <w:t xml:space="preserve"> las normas reclamadas, al considerar</w:t>
      </w:r>
      <w:r w:rsidR="00773798" w:rsidRPr="00D82380">
        <w:rPr>
          <w:rFonts w:ascii="Arial" w:hAnsi="Arial" w:cs="Arial"/>
          <w:sz w:val="26"/>
          <w:szCs w:val="26"/>
        </w:rPr>
        <w:t xml:space="preserve"> que habían cesado los efectos de los actos reclamados</w:t>
      </w:r>
      <w:r w:rsidR="00207B7E" w:rsidRPr="00D82380">
        <w:rPr>
          <w:rFonts w:ascii="Arial" w:hAnsi="Arial" w:cs="Arial"/>
          <w:sz w:val="26"/>
          <w:szCs w:val="26"/>
        </w:rPr>
        <w:t>, aunado a que no se generaba a las quejosas una afectación jurídicamente relevante con la existencia de las normas dado que las mismas no resultaban estigmatizantes</w:t>
      </w:r>
      <w:r w:rsidR="00703F70" w:rsidRPr="00D82380">
        <w:rPr>
          <w:rFonts w:ascii="Arial" w:hAnsi="Arial" w:cs="Arial"/>
          <w:sz w:val="26"/>
          <w:szCs w:val="26"/>
        </w:rPr>
        <w:t xml:space="preserve"> por</w:t>
      </w:r>
      <w:r w:rsidR="00207B7E" w:rsidRPr="00D82380">
        <w:rPr>
          <w:rFonts w:ascii="Arial" w:hAnsi="Arial" w:cs="Arial"/>
          <w:sz w:val="26"/>
          <w:szCs w:val="26"/>
        </w:rPr>
        <w:t xml:space="preserve">que no proyectaban un mensaje discriminatorio. </w:t>
      </w:r>
    </w:p>
    <w:p w14:paraId="75EBECBF" w14:textId="1E5CFD72" w:rsidR="00207B7E" w:rsidRPr="00D82380" w:rsidRDefault="00207B7E"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En desacuerdo con dicha determinación, las </w:t>
      </w:r>
      <w:r w:rsidR="00AF6B7A" w:rsidRPr="00D82380">
        <w:rPr>
          <w:rFonts w:ascii="Arial" w:hAnsi="Arial" w:cs="Arial"/>
          <w:sz w:val="26"/>
          <w:szCs w:val="26"/>
        </w:rPr>
        <w:t xml:space="preserve">personas </w:t>
      </w:r>
      <w:r w:rsidRPr="00D82380">
        <w:rPr>
          <w:rFonts w:ascii="Arial" w:hAnsi="Arial" w:cs="Arial"/>
          <w:sz w:val="26"/>
          <w:szCs w:val="26"/>
        </w:rPr>
        <w:t>quejosas, por conducto de su autorizada en términos amplios, interpusieron recurso de revisión, el cual fue conocido inicialmente por un Tribunal Colegiado que levantó el sobreseimiento y reservó jurisdicción a la Suprema Corte para analizar los temas de constitucionalidad.</w:t>
      </w:r>
    </w:p>
    <w:p w14:paraId="0F9D98AF" w14:textId="77777777" w:rsidR="00D82380" w:rsidRPr="00D82380" w:rsidRDefault="00D82380" w:rsidP="00280ECA">
      <w:pPr>
        <w:spacing w:before="240" w:after="240" w:line="360" w:lineRule="auto"/>
        <w:jc w:val="both"/>
        <w:rPr>
          <w:rFonts w:ascii="Arial" w:hAnsi="Arial" w:cs="Arial"/>
          <w:sz w:val="26"/>
          <w:szCs w:val="26"/>
        </w:rPr>
      </w:pPr>
    </w:p>
    <w:p w14:paraId="662D1910" w14:textId="04A92EFC" w:rsidR="00E53683" w:rsidRPr="00D82380" w:rsidRDefault="00E53683" w:rsidP="00E53683">
      <w:pPr>
        <w:spacing w:before="240" w:after="240" w:line="360" w:lineRule="auto"/>
        <w:jc w:val="right"/>
        <w:rPr>
          <w:rFonts w:ascii="Arial" w:hAnsi="Arial" w:cs="Arial"/>
          <w:b/>
          <w:bCs/>
          <w:sz w:val="26"/>
          <w:szCs w:val="26"/>
        </w:rPr>
      </w:pPr>
      <w:r w:rsidRPr="00D82380">
        <w:rPr>
          <w:rFonts w:ascii="Arial" w:hAnsi="Arial" w:cs="Arial"/>
          <w:b/>
          <w:bCs/>
          <w:sz w:val="26"/>
          <w:szCs w:val="26"/>
        </w:rPr>
        <w:lastRenderedPageBreak/>
        <w:t xml:space="preserve">Proyecto </w:t>
      </w:r>
      <w:r w:rsidR="009E76DF" w:rsidRPr="00D82380">
        <w:rPr>
          <w:rFonts w:ascii="Arial" w:hAnsi="Arial" w:cs="Arial"/>
          <w:b/>
          <w:bCs/>
          <w:sz w:val="26"/>
          <w:szCs w:val="26"/>
        </w:rPr>
        <w:t xml:space="preserve">inicialmente </w:t>
      </w:r>
      <w:r w:rsidRPr="00D82380">
        <w:rPr>
          <w:rFonts w:ascii="Arial" w:hAnsi="Arial" w:cs="Arial"/>
          <w:b/>
          <w:bCs/>
          <w:sz w:val="26"/>
          <w:szCs w:val="26"/>
        </w:rPr>
        <w:t>presentado a la Primera Sala</w:t>
      </w:r>
    </w:p>
    <w:p w14:paraId="4EACA6A3" w14:textId="020FCE8B" w:rsidR="00256D1E" w:rsidRPr="00D82380" w:rsidRDefault="00E53683" w:rsidP="00280ECA">
      <w:pPr>
        <w:spacing w:before="240" w:after="240" w:line="360" w:lineRule="auto"/>
        <w:jc w:val="both"/>
        <w:rPr>
          <w:rFonts w:ascii="Arial" w:hAnsi="Arial" w:cs="Arial"/>
          <w:sz w:val="26"/>
          <w:szCs w:val="26"/>
        </w:rPr>
      </w:pPr>
      <w:r w:rsidRPr="00D82380">
        <w:rPr>
          <w:rFonts w:ascii="Arial" w:hAnsi="Arial" w:cs="Arial"/>
          <w:sz w:val="26"/>
          <w:szCs w:val="26"/>
        </w:rPr>
        <w:t>E</w:t>
      </w:r>
      <w:r w:rsidR="00A625F2" w:rsidRPr="00D82380">
        <w:rPr>
          <w:rFonts w:ascii="Arial" w:hAnsi="Arial" w:cs="Arial"/>
          <w:sz w:val="26"/>
          <w:szCs w:val="26"/>
        </w:rPr>
        <w:t>n</w:t>
      </w:r>
      <w:r w:rsidR="00256D1E" w:rsidRPr="00D82380">
        <w:rPr>
          <w:rFonts w:ascii="Arial" w:hAnsi="Arial" w:cs="Arial"/>
          <w:sz w:val="26"/>
          <w:szCs w:val="26"/>
        </w:rPr>
        <w:t xml:space="preserve"> el proyecto que </w:t>
      </w:r>
      <w:r w:rsidR="006732EE" w:rsidRPr="00D82380">
        <w:rPr>
          <w:rFonts w:ascii="Arial" w:hAnsi="Arial" w:cs="Arial"/>
          <w:sz w:val="26"/>
          <w:szCs w:val="26"/>
        </w:rPr>
        <w:t>sometí</w:t>
      </w:r>
      <w:r w:rsidR="00256D1E" w:rsidRPr="00D82380">
        <w:rPr>
          <w:rFonts w:ascii="Arial" w:hAnsi="Arial" w:cs="Arial"/>
          <w:sz w:val="26"/>
          <w:szCs w:val="26"/>
        </w:rPr>
        <w:t xml:space="preserve"> a consideración de la </w:t>
      </w:r>
      <w:r w:rsidR="00AF6B7A" w:rsidRPr="00D82380">
        <w:rPr>
          <w:rFonts w:ascii="Arial" w:hAnsi="Arial" w:cs="Arial"/>
          <w:sz w:val="26"/>
          <w:szCs w:val="26"/>
        </w:rPr>
        <w:t xml:space="preserve">Primera </w:t>
      </w:r>
      <w:r w:rsidR="00256D1E" w:rsidRPr="00D82380">
        <w:rPr>
          <w:rFonts w:ascii="Arial" w:hAnsi="Arial" w:cs="Arial"/>
          <w:sz w:val="26"/>
          <w:szCs w:val="26"/>
        </w:rPr>
        <w:t>Sala propus</w:t>
      </w:r>
      <w:r w:rsidR="006732EE" w:rsidRPr="00D82380">
        <w:rPr>
          <w:rFonts w:ascii="Arial" w:hAnsi="Arial" w:cs="Arial"/>
          <w:sz w:val="26"/>
          <w:szCs w:val="26"/>
        </w:rPr>
        <w:t>e declarar únicamente la inconstitucionalidad de la revisión migratoria, prevista en los artículos 97 y 98 de la Ley de Migración vigente al momento de los hechos</w:t>
      </w:r>
      <w:r w:rsidR="006732EE" w:rsidRPr="00D82380">
        <w:rPr>
          <w:rStyle w:val="Refdenotaalpie"/>
          <w:rFonts w:ascii="Arial" w:hAnsi="Arial" w:cs="Arial"/>
          <w:sz w:val="26"/>
          <w:szCs w:val="26"/>
        </w:rPr>
        <w:footnoteReference w:id="1"/>
      </w:r>
      <w:r w:rsidR="006732EE" w:rsidRPr="00D82380">
        <w:rPr>
          <w:rFonts w:ascii="Arial" w:hAnsi="Arial" w:cs="Arial"/>
          <w:sz w:val="26"/>
          <w:szCs w:val="26"/>
        </w:rPr>
        <w:t>, dado que vulnera</w:t>
      </w:r>
      <w:r w:rsidR="007060D3" w:rsidRPr="00D82380">
        <w:rPr>
          <w:rFonts w:ascii="Arial" w:hAnsi="Arial" w:cs="Arial"/>
          <w:sz w:val="26"/>
          <w:szCs w:val="26"/>
        </w:rPr>
        <w:t>n</w:t>
      </w:r>
      <w:r w:rsidR="006732EE" w:rsidRPr="00D82380">
        <w:rPr>
          <w:rFonts w:ascii="Arial" w:hAnsi="Arial" w:cs="Arial"/>
          <w:sz w:val="26"/>
          <w:szCs w:val="26"/>
        </w:rPr>
        <w:t xml:space="preserve"> el derecho a la igualdad y no discriminación</w:t>
      </w:r>
      <w:r w:rsidR="009F3C46" w:rsidRPr="00D82380">
        <w:rPr>
          <w:rFonts w:ascii="Arial" w:hAnsi="Arial" w:cs="Arial"/>
          <w:sz w:val="26"/>
          <w:szCs w:val="26"/>
        </w:rPr>
        <w:t>. Lo anterior, a partir de dos cuestiones medulares</w:t>
      </w:r>
      <w:r w:rsidR="006732EE" w:rsidRPr="00D82380">
        <w:rPr>
          <w:rFonts w:ascii="Arial" w:hAnsi="Arial" w:cs="Arial"/>
          <w:sz w:val="26"/>
          <w:szCs w:val="26"/>
        </w:rPr>
        <w:t xml:space="preserve">: la primera, porque </w:t>
      </w:r>
      <w:r w:rsidR="007212CF" w:rsidRPr="00D82380">
        <w:rPr>
          <w:rFonts w:ascii="Arial" w:hAnsi="Arial" w:cs="Arial"/>
          <w:sz w:val="26"/>
          <w:szCs w:val="26"/>
        </w:rPr>
        <w:t xml:space="preserve">el diseño de revisión migratoria que contienen esos artículos </w:t>
      </w:r>
      <w:r w:rsidR="006732EE" w:rsidRPr="00D82380">
        <w:rPr>
          <w:rFonts w:ascii="Arial" w:hAnsi="Arial" w:cs="Arial"/>
          <w:sz w:val="26"/>
          <w:szCs w:val="26"/>
        </w:rPr>
        <w:t xml:space="preserve">resulta </w:t>
      </w:r>
      <w:proofErr w:type="spellStart"/>
      <w:r w:rsidR="006732EE" w:rsidRPr="00D82380">
        <w:rPr>
          <w:rFonts w:ascii="Arial" w:hAnsi="Arial" w:cs="Arial"/>
          <w:sz w:val="26"/>
          <w:szCs w:val="26"/>
        </w:rPr>
        <w:t>sobreinclusiv</w:t>
      </w:r>
      <w:r w:rsidR="007212CF" w:rsidRPr="00D82380">
        <w:rPr>
          <w:rFonts w:ascii="Arial" w:hAnsi="Arial" w:cs="Arial"/>
          <w:sz w:val="26"/>
          <w:szCs w:val="26"/>
        </w:rPr>
        <w:t>o</w:t>
      </w:r>
      <w:proofErr w:type="spellEnd"/>
      <w:r w:rsidR="00A625F2" w:rsidRPr="00D82380">
        <w:rPr>
          <w:rFonts w:ascii="Arial" w:hAnsi="Arial" w:cs="Arial"/>
          <w:sz w:val="26"/>
          <w:szCs w:val="26"/>
        </w:rPr>
        <w:t xml:space="preserve">, </w:t>
      </w:r>
      <w:r w:rsidR="00CA526E" w:rsidRPr="00D82380">
        <w:rPr>
          <w:rFonts w:ascii="Arial" w:hAnsi="Arial" w:cs="Arial"/>
          <w:sz w:val="26"/>
          <w:szCs w:val="26"/>
        </w:rPr>
        <w:t>ya</w:t>
      </w:r>
      <w:r w:rsidR="00A625F2" w:rsidRPr="00D82380">
        <w:rPr>
          <w:rFonts w:ascii="Arial" w:hAnsi="Arial" w:cs="Arial"/>
          <w:sz w:val="26"/>
          <w:szCs w:val="26"/>
        </w:rPr>
        <w:t xml:space="preserve"> que afecta el derecho al libre tránsito de cualquier persona que se encuentr</w:t>
      </w:r>
      <w:r w:rsidR="003F1D94" w:rsidRPr="00D82380">
        <w:rPr>
          <w:rFonts w:ascii="Arial" w:hAnsi="Arial" w:cs="Arial"/>
          <w:sz w:val="26"/>
          <w:szCs w:val="26"/>
        </w:rPr>
        <w:t xml:space="preserve">e </w:t>
      </w:r>
      <w:r w:rsidR="00A625F2" w:rsidRPr="00D82380">
        <w:rPr>
          <w:rFonts w:ascii="Arial" w:hAnsi="Arial" w:cs="Arial"/>
          <w:sz w:val="26"/>
          <w:szCs w:val="26"/>
        </w:rPr>
        <w:t xml:space="preserve">dentro del territorio nacional, sin importar si </w:t>
      </w:r>
      <w:r w:rsidR="003F1D94" w:rsidRPr="00D82380">
        <w:rPr>
          <w:rFonts w:ascii="Arial" w:hAnsi="Arial" w:cs="Arial"/>
          <w:sz w:val="26"/>
          <w:szCs w:val="26"/>
        </w:rPr>
        <w:t>es</w:t>
      </w:r>
      <w:r w:rsidR="00A625F2" w:rsidRPr="00D82380">
        <w:rPr>
          <w:rFonts w:ascii="Arial" w:hAnsi="Arial" w:cs="Arial"/>
          <w:sz w:val="26"/>
          <w:szCs w:val="26"/>
        </w:rPr>
        <w:t xml:space="preserve"> mexicana o extranjera</w:t>
      </w:r>
      <w:r w:rsidR="003F1D94" w:rsidRPr="00D82380">
        <w:rPr>
          <w:rFonts w:ascii="Arial" w:hAnsi="Arial" w:cs="Arial"/>
          <w:sz w:val="26"/>
          <w:szCs w:val="26"/>
        </w:rPr>
        <w:t xml:space="preserve">; </w:t>
      </w:r>
      <w:r w:rsidR="006732EE" w:rsidRPr="00D82380">
        <w:rPr>
          <w:rFonts w:ascii="Arial" w:hAnsi="Arial" w:cs="Arial"/>
          <w:sz w:val="26"/>
          <w:szCs w:val="26"/>
        </w:rPr>
        <w:t>y la segunda, por generar impactos diferenciados en perjuicio de las personas afromexicanas e indígenas pues</w:t>
      </w:r>
      <w:r w:rsidR="00D70175" w:rsidRPr="00D82380">
        <w:rPr>
          <w:rFonts w:ascii="Arial" w:hAnsi="Arial" w:cs="Arial"/>
          <w:sz w:val="26"/>
          <w:szCs w:val="26"/>
        </w:rPr>
        <w:t>,</w:t>
      </w:r>
      <w:r w:rsidR="006732EE" w:rsidRPr="00D82380">
        <w:rPr>
          <w:rFonts w:ascii="Arial" w:hAnsi="Arial" w:cs="Arial"/>
          <w:sz w:val="26"/>
          <w:szCs w:val="26"/>
        </w:rPr>
        <w:t xml:space="preserve"> dada </w:t>
      </w:r>
      <w:r w:rsidR="00D70175" w:rsidRPr="00D82380">
        <w:rPr>
          <w:rFonts w:ascii="Arial" w:hAnsi="Arial" w:cs="Arial"/>
          <w:sz w:val="26"/>
          <w:szCs w:val="26"/>
        </w:rPr>
        <w:t>su</w:t>
      </w:r>
      <w:r w:rsidR="006732EE" w:rsidRPr="00D82380">
        <w:rPr>
          <w:rFonts w:ascii="Arial" w:hAnsi="Arial" w:cs="Arial"/>
          <w:sz w:val="26"/>
          <w:szCs w:val="26"/>
        </w:rPr>
        <w:t xml:space="preserve"> amplitud</w:t>
      </w:r>
      <w:r w:rsidR="00D70175" w:rsidRPr="00D82380">
        <w:rPr>
          <w:rFonts w:ascii="Arial" w:hAnsi="Arial" w:cs="Arial"/>
          <w:sz w:val="26"/>
          <w:szCs w:val="26"/>
        </w:rPr>
        <w:t>,</w:t>
      </w:r>
      <w:r w:rsidR="006732EE" w:rsidRPr="00D82380">
        <w:rPr>
          <w:rFonts w:ascii="Arial" w:hAnsi="Arial" w:cs="Arial"/>
          <w:sz w:val="26"/>
          <w:szCs w:val="26"/>
        </w:rPr>
        <w:t xml:space="preserve"> la norma posibilita que los agentes de migración acudan a perfiles raciales al ejercer esta facultad.</w:t>
      </w:r>
    </w:p>
    <w:p w14:paraId="69DEBF12" w14:textId="3A3AF889" w:rsidR="003F1D94" w:rsidRPr="00D82380" w:rsidRDefault="00083138" w:rsidP="00280ECA">
      <w:pPr>
        <w:spacing w:before="240" w:after="240" w:line="360" w:lineRule="auto"/>
        <w:jc w:val="both"/>
        <w:rPr>
          <w:rFonts w:ascii="Arial" w:hAnsi="Arial" w:cs="Arial"/>
          <w:sz w:val="26"/>
          <w:szCs w:val="26"/>
        </w:rPr>
      </w:pPr>
      <w:r w:rsidRPr="00D82380">
        <w:rPr>
          <w:rFonts w:ascii="Arial" w:hAnsi="Arial" w:cs="Arial"/>
          <w:sz w:val="26"/>
          <w:szCs w:val="26"/>
        </w:rPr>
        <w:t>Además</w:t>
      </w:r>
      <w:r w:rsidR="007F647B" w:rsidRPr="00D82380">
        <w:rPr>
          <w:rFonts w:ascii="Arial" w:hAnsi="Arial" w:cs="Arial"/>
          <w:sz w:val="26"/>
          <w:szCs w:val="26"/>
        </w:rPr>
        <w:t>,</w:t>
      </w:r>
      <w:r w:rsidR="003F1D94" w:rsidRPr="00D82380">
        <w:rPr>
          <w:rFonts w:ascii="Arial" w:hAnsi="Arial" w:cs="Arial"/>
          <w:sz w:val="26"/>
          <w:szCs w:val="26"/>
        </w:rPr>
        <w:t xml:space="preserve"> propuse reconocer la constitucionalidad de los artículos 16, fracción II</w:t>
      </w:r>
      <w:r w:rsidR="007676E3" w:rsidRPr="00D82380">
        <w:rPr>
          <w:rFonts w:ascii="Arial" w:hAnsi="Arial" w:cs="Arial"/>
          <w:sz w:val="26"/>
          <w:szCs w:val="26"/>
        </w:rPr>
        <w:t>,</w:t>
      </w:r>
      <w:r w:rsidR="003F1D94" w:rsidRPr="00D82380">
        <w:rPr>
          <w:rFonts w:ascii="Arial" w:hAnsi="Arial" w:cs="Arial"/>
          <w:sz w:val="26"/>
          <w:szCs w:val="26"/>
        </w:rPr>
        <w:t xml:space="preserve"> y 17 de la Ley de Migración</w:t>
      </w:r>
      <w:r w:rsidR="00CA526E" w:rsidRPr="00D82380">
        <w:rPr>
          <w:rStyle w:val="Refdenotaalpie"/>
          <w:rFonts w:ascii="Arial" w:hAnsi="Arial" w:cs="Arial"/>
          <w:sz w:val="26"/>
          <w:szCs w:val="26"/>
        </w:rPr>
        <w:footnoteReference w:id="2"/>
      </w:r>
      <w:r w:rsidR="00CA526E" w:rsidRPr="00D82380">
        <w:rPr>
          <w:rFonts w:ascii="Arial" w:hAnsi="Arial" w:cs="Arial"/>
          <w:sz w:val="26"/>
          <w:szCs w:val="26"/>
        </w:rPr>
        <w:t>,</w:t>
      </w:r>
      <w:r w:rsidR="003F1D94" w:rsidRPr="00D82380">
        <w:rPr>
          <w:rFonts w:ascii="Arial" w:hAnsi="Arial" w:cs="Arial"/>
          <w:sz w:val="26"/>
          <w:szCs w:val="26"/>
        </w:rPr>
        <w:t xml:space="preserve"> que prevén la facultad de las autoridades migratorias para requerir a las personas que se encuentran en el territorio mexicano </w:t>
      </w:r>
      <w:r w:rsidR="00605A0C" w:rsidRPr="00D82380">
        <w:rPr>
          <w:rFonts w:ascii="Arial" w:hAnsi="Arial" w:cs="Arial"/>
          <w:sz w:val="26"/>
          <w:szCs w:val="26"/>
        </w:rPr>
        <w:t xml:space="preserve">de </w:t>
      </w:r>
      <w:r w:rsidR="003F1D94" w:rsidRPr="00D82380">
        <w:rPr>
          <w:rFonts w:ascii="Arial" w:hAnsi="Arial" w:cs="Arial"/>
          <w:sz w:val="26"/>
          <w:szCs w:val="26"/>
        </w:rPr>
        <w:t>la documentación necesaria para su identificación y para acreditar su situación migratoria regular</w:t>
      </w:r>
      <w:r w:rsidR="004A0DC8" w:rsidRPr="00D82380">
        <w:rPr>
          <w:rFonts w:ascii="Arial" w:hAnsi="Arial" w:cs="Arial"/>
          <w:sz w:val="26"/>
          <w:szCs w:val="26"/>
        </w:rPr>
        <w:t>, al advertir que</w:t>
      </w:r>
      <w:r w:rsidR="00D044E3" w:rsidRPr="00D82380">
        <w:rPr>
          <w:rFonts w:ascii="Arial" w:hAnsi="Arial" w:cs="Arial"/>
          <w:sz w:val="26"/>
          <w:szCs w:val="26"/>
        </w:rPr>
        <w:t>,</w:t>
      </w:r>
      <w:r w:rsidR="004A0DC8" w:rsidRPr="00D82380">
        <w:rPr>
          <w:rFonts w:ascii="Arial" w:hAnsi="Arial" w:cs="Arial"/>
          <w:sz w:val="26"/>
          <w:szCs w:val="26"/>
        </w:rPr>
        <w:t xml:space="preserve"> contrario a lo indicado por la</w:t>
      </w:r>
      <w:r w:rsidR="00D044E3" w:rsidRPr="00D82380">
        <w:rPr>
          <w:rFonts w:ascii="Arial" w:hAnsi="Arial" w:cs="Arial"/>
          <w:sz w:val="26"/>
          <w:szCs w:val="26"/>
        </w:rPr>
        <w:t xml:space="preserve"> parte</w:t>
      </w:r>
      <w:r w:rsidR="004A0DC8" w:rsidRPr="00D82380">
        <w:rPr>
          <w:rFonts w:ascii="Arial" w:hAnsi="Arial" w:cs="Arial"/>
          <w:sz w:val="26"/>
          <w:szCs w:val="26"/>
        </w:rPr>
        <w:t xml:space="preserve"> quejosa</w:t>
      </w:r>
      <w:r w:rsidR="00D044E3" w:rsidRPr="00D82380">
        <w:rPr>
          <w:rFonts w:ascii="Arial" w:hAnsi="Arial" w:cs="Arial"/>
          <w:sz w:val="26"/>
          <w:szCs w:val="26"/>
        </w:rPr>
        <w:t>,</w:t>
      </w:r>
      <w:r w:rsidR="004A0DC8" w:rsidRPr="00D82380">
        <w:rPr>
          <w:rFonts w:ascii="Arial" w:hAnsi="Arial" w:cs="Arial"/>
          <w:sz w:val="26"/>
          <w:szCs w:val="26"/>
        </w:rPr>
        <w:t xml:space="preserve"> </w:t>
      </w:r>
      <w:r w:rsidR="00D70175" w:rsidRPr="00D82380">
        <w:rPr>
          <w:rFonts w:ascii="Arial" w:hAnsi="Arial" w:cs="Arial"/>
          <w:sz w:val="26"/>
          <w:szCs w:val="26"/>
        </w:rPr>
        <w:t>dichas normas no</w:t>
      </w:r>
      <w:r w:rsidR="004A0DC8" w:rsidRPr="00D82380">
        <w:rPr>
          <w:rFonts w:ascii="Arial" w:hAnsi="Arial" w:cs="Arial"/>
          <w:sz w:val="26"/>
          <w:szCs w:val="26"/>
        </w:rPr>
        <w:t xml:space="preserve"> vulnera</w:t>
      </w:r>
      <w:r w:rsidR="00D70175" w:rsidRPr="00D82380">
        <w:rPr>
          <w:rFonts w:ascii="Arial" w:hAnsi="Arial" w:cs="Arial"/>
          <w:sz w:val="26"/>
          <w:szCs w:val="26"/>
        </w:rPr>
        <w:t xml:space="preserve">n </w:t>
      </w:r>
      <w:r w:rsidR="004A0DC8" w:rsidRPr="00D82380">
        <w:rPr>
          <w:rFonts w:ascii="Arial" w:hAnsi="Arial" w:cs="Arial"/>
          <w:sz w:val="26"/>
          <w:szCs w:val="26"/>
        </w:rPr>
        <w:t xml:space="preserve">el derecho a la igualdad y no discriminación, en tanto que únicamente </w:t>
      </w:r>
      <w:r w:rsidR="00D70175" w:rsidRPr="00D82380">
        <w:rPr>
          <w:rFonts w:ascii="Arial" w:hAnsi="Arial" w:cs="Arial"/>
          <w:sz w:val="26"/>
          <w:szCs w:val="26"/>
        </w:rPr>
        <w:t xml:space="preserve">versan sobre </w:t>
      </w:r>
      <w:r w:rsidR="004A0DC8" w:rsidRPr="00D82380">
        <w:rPr>
          <w:rFonts w:ascii="Arial" w:hAnsi="Arial" w:cs="Arial"/>
          <w:sz w:val="26"/>
          <w:szCs w:val="26"/>
        </w:rPr>
        <w:t xml:space="preserve">una </w:t>
      </w:r>
      <w:r w:rsidR="004A0DC8" w:rsidRPr="00D82380">
        <w:rPr>
          <w:rFonts w:ascii="Arial" w:hAnsi="Arial" w:cs="Arial"/>
          <w:sz w:val="26"/>
          <w:szCs w:val="26"/>
        </w:rPr>
        <w:lastRenderedPageBreak/>
        <w:t xml:space="preserve">facultad que tienen las autoridades para observar el cumplimiento de las condiciones de entrada y salida del país de las personas extranjeras. </w:t>
      </w:r>
    </w:p>
    <w:p w14:paraId="546F3C82" w14:textId="26222170" w:rsidR="0004714E" w:rsidRPr="00D82380" w:rsidRDefault="0057216F" w:rsidP="00280ECA">
      <w:pPr>
        <w:spacing w:before="240" w:after="240" w:line="360" w:lineRule="auto"/>
        <w:jc w:val="both"/>
        <w:rPr>
          <w:rFonts w:ascii="Arial" w:hAnsi="Arial" w:cs="Arial"/>
          <w:sz w:val="26"/>
          <w:szCs w:val="26"/>
        </w:rPr>
      </w:pPr>
      <w:r w:rsidRPr="00D82380">
        <w:rPr>
          <w:rFonts w:ascii="Arial" w:hAnsi="Arial" w:cs="Arial"/>
          <w:sz w:val="26"/>
          <w:szCs w:val="26"/>
        </w:rPr>
        <w:t>También</w:t>
      </w:r>
      <w:r w:rsidR="004A0DC8" w:rsidRPr="00D82380">
        <w:rPr>
          <w:rFonts w:ascii="Arial" w:hAnsi="Arial" w:cs="Arial"/>
          <w:sz w:val="26"/>
          <w:szCs w:val="26"/>
        </w:rPr>
        <w:t xml:space="preserve"> propuse declarar la constitucionalidad de los </w:t>
      </w:r>
      <w:r w:rsidR="004A0DC8" w:rsidRPr="00D82380">
        <w:rPr>
          <w:rFonts w:ascii="Arial" w:hAnsi="Arial" w:cs="Arial"/>
          <w:sz w:val="26"/>
          <w:szCs w:val="26"/>
          <w:u w:val="single"/>
        </w:rPr>
        <w:t>artículos 20, fracción VII, 100 y 121 de la Ley de Migración</w:t>
      </w:r>
      <w:r w:rsidR="009816B5" w:rsidRPr="00D82380">
        <w:rPr>
          <w:rStyle w:val="Refdenotaalpie"/>
          <w:rFonts w:ascii="Arial" w:hAnsi="Arial" w:cs="Arial"/>
          <w:sz w:val="26"/>
          <w:szCs w:val="26"/>
        </w:rPr>
        <w:footnoteReference w:id="3"/>
      </w:r>
      <w:r w:rsidR="009816B5" w:rsidRPr="00D82380">
        <w:rPr>
          <w:rFonts w:ascii="Arial" w:hAnsi="Arial" w:cs="Arial"/>
          <w:sz w:val="26"/>
          <w:szCs w:val="26"/>
        </w:rPr>
        <w:t>,</w:t>
      </w:r>
      <w:r w:rsidR="004A0DC8" w:rsidRPr="00D82380">
        <w:rPr>
          <w:rFonts w:ascii="Arial" w:hAnsi="Arial" w:cs="Arial"/>
          <w:sz w:val="26"/>
          <w:szCs w:val="26"/>
        </w:rPr>
        <w:t xml:space="preserve"> que regulan la presentación y el alojamiento en las </w:t>
      </w:r>
      <w:r w:rsidR="004A0DC8" w:rsidRPr="00D82380">
        <w:rPr>
          <w:rFonts w:ascii="Arial" w:hAnsi="Arial" w:cs="Arial"/>
          <w:b/>
          <w:bCs/>
          <w:i/>
          <w:iCs/>
          <w:sz w:val="26"/>
          <w:szCs w:val="26"/>
          <w:u w:val="single"/>
        </w:rPr>
        <w:t>estaciones</w:t>
      </w:r>
      <w:r w:rsidR="004A0DC8" w:rsidRPr="00D82380">
        <w:rPr>
          <w:rFonts w:ascii="Arial" w:hAnsi="Arial" w:cs="Arial"/>
          <w:sz w:val="26"/>
          <w:szCs w:val="26"/>
        </w:rPr>
        <w:t xml:space="preserve"> migratorias</w:t>
      </w:r>
      <w:r w:rsidR="00F30595" w:rsidRPr="00D82380">
        <w:rPr>
          <w:rFonts w:ascii="Arial" w:hAnsi="Arial" w:cs="Arial"/>
          <w:sz w:val="26"/>
          <w:szCs w:val="26"/>
        </w:rPr>
        <w:t xml:space="preserve"> porque, en principio, son acordes con el régimen constitucional y convencional para la privación legítima de la libertad de las personas migrantes en el territorio nacional</w:t>
      </w:r>
      <w:r w:rsidR="00FF0469" w:rsidRPr="00D82380">
        <w:rPr>
          <w:rFonts w:ascii="Arial" w:hAnsi="Arial" w:cs="Arial"/>
          <w:sz w:val="26"/>
          <w:szCs w:val="26"/>
        </w:rPr>
        <w:t>;</w:t>
      </w:r>
      <w:r w:rsidR="002D2EA9" w:rsidRPr="00D82380">
        <w:rPr>
          <w:rFonts w:ascii="Arial" w:hAnsi="Arial" w:cs="Arial"/>
          <w:sz w:val="26"/>
          <w:szCs w:val="26"/>
        </w:rPr>
        <w:t xml:space="preserve"> </w:t>
      </w:r>
      <w:r w:rsidR="00757D52" w:rsidRPr="00D82380">
        <w:rPr>
          <w:rFonts w:ascii="Arial" w:hAnsi="Arial" w:cs="Arial"/>
          <w:sz w:val="26"/>
          <w:szCs w:val="26"/>
        </w:rPr>
        <w:t xml:space="preserve">mientras que </w:t>
      </w:r>
      <w:r w:rsidR="00650634" w:rsidRPr="00D82380">
        <w:rPr>
          <w:rFonts w:ascii="Arial" w:hAnsi="Arial" w:cs="Arial"/>
          <w:sz w:val="26"/>
          <w:szCs w:val="26"/>
        </w:rPr>
        <w:t>respecto del artículo 99</w:t>
      </w:r>
      <w:r w:rsidR="00627590" w:rsidRPr="00D82380">
        <w:rPr>
          <w:rStyle w:val="Refdenotaalpie"/>
          <w:rFonts w:ascii="Arial" w:hAnsi="Arial" w:cs="Arial"/>
          <w:sz w:val="26"/>
          <w:szCs w:val="26"/>
        </w:rPr>
        <w:footnoteReference w:id="4"/>
      </w:r>
      <w:r w:rsidR="00650634" w:rsidRPr="00D82380">
        <w:rPr>
          <w:rFonts w:ascii="Arial" w:hAnsi="Arial" w:cs="Arial"/>
          <w:sz w:val="26"/>
          <w:szCs w:val="26"/>
        </w:rPr>
        <w:t xml:space="preserve"> </w:t>
      </w:r>
      <w:r w:rsidR="00502080" w:rsidRPr="00D82380">
        <w:rPr>
          <w:rFonts w:ascii="Arial" w:hAnsi="Arial" w:cs="Arial"/>
          <w:sz w:val="26"/>
          <w:szCs w:val="26"/>
        </w:rPr>
        <w:t>no me pareció prudente entrar al análisis de su inconstitucionalidad</w:t>
      </w:r>
      <w:r w:rsidR="002D2EA9" w:rsidRPr="00D82380">
        <w:rPr>
          <w:rFonts w:ascii="Arial" w:hAnsi="Arial" w:cs="Arial"/>
          <w:sz w:val="26"/>
          <w:szCs w:val="26"/>
        </w:rPr>
        <w:t xml:space="preserve"> ya </w:t>
      </w:r>
      <w:r w:rsidR="00F82095" w:rsidRPr="00D82380">
        <w:rPr>
          <w:rFonts w:ascii="Arial" w:hAnsi="Arial" w:cs="Arial"/>
          <w:sz w:val="26"/>
          <w:szCs w:val="26"/>
        </w:rPr>
        <w:t>que</w:t>
      </w:r>
      <w:r w:rsidR="00502080" w:rsidRPr="00D82380">
        <w:rPr>
          <w:rFonts w:ascii="Arial" w:hAnsi="Arial" w:cs="Arial"/>
          <w:sz w:val="26"/>
          <w:szCs w:val="26"/>
        </w:rPr>
        <w:t xml:space="preserve"> advertí que</w:t>
      </w:r>
      <w:r w:rsidR="00F82095" w:rsidRPr="00D82380">
        <w:rPr>
          <w:rFonts w:ascii="Arial" w:hAnsi="Arial" w:cs="Arial"/>
          <w:sz w:val="26"/>
          <w:szCs w:val="26"/>
        </w:rPr>
        <w:t xml:space="preserve"> las personas quejosas</w:t>
      </w:r>
      <w:r w:rsidR="00502080" w:rsidRPr="00D82380">
        <w:rPr>
          <w:rFonts w:ascii="Arial" w:hAnsi="Arial" w:cs="Arial"/>
          <w:sz w:val="26"/>
          <w:szCs w:val="26"/>
        </w:rPr>
        <w:t xml:space="preserve"> no se encontraban</w:t>
      </w:r>
      <w:r w:rsidR="00F82095" w:rsidRPr="00D82380">
        <w:rPr>
          <w:rFonts w:ascii="Arial" w:hAnsi="Arial" w:cs="Arial"/>
          <w:sz w:val="26"/>
          <w:szCs w:val="26"/>
        </w:rPr>
        <w:t xml:space="preserve"> en el supuesto de la</w:t>
      </w:r>
      <w:r w:rsidR="002D2EA9" w:rsidRPr="00D82380">
        <w:rPr>
          <w:rFonts w:ascii="Arial" w:hAnsi="Arial" w:cs="Arial"/>
          <w:sz w:val="26"/>
          <w:szCs w:val="26"/>
        </w:rPr>
        <w:t>s</w:t>
      </w:r>
      <w:r w:rsidR="00F82095" w:rsidRPr="00D82380">
        <w:rPr>
          <w:rFonts w:ascii="Arial" w:hAnsi="Arial" w:cs="Arial"/>
          <w:sz w:val="26"/>
          <w:szCs w:val="26"/>
        </w:rPr>
        <w:t xml:space="preserve"> norma</w:t>
      </w:r>
      <w:r w:rsidR="002D2EA9" w:rsidRPr="00D82380">
        <w:rPr>
          <w:rFonts w:ascii="Arial" w:hAnsi="Arial" w:cs="Arial"/>
          <w:sz w:val="26"/>
          <w:szCs w:val="26"/>
        </w:rPr>
        <w:t>s</w:t>
      </w:r>
      <w:r w:rsidR="00F82095" w:rsidRPr="00D82380">
        <w:rPr>
          <w:rFonts w:ascii="Arial" w:hAnsi="Arial" w:cs="Arial"/>
          <w:sz w:val="26"/>
          <w:szCs w:val="26"/>
        </w:rPr>
        <w:t xml:space="preserve"> de ser </w:t>
      </w:r>
      <w:r w:rsidR="00AA67AE" w:rsidRPr="00D82380">
        <w:rPr>
          <w:rFonts w:ascii="Arial" w:hAnsi="Arial" w:cs="Arial"/>
          <w:b/>
          <w:bCs/>
          <w:sz w:val="26"/>
          <w:szCs w:val="26"/>
          <w:u w:val="single"/>
        </w:rPr>
        <w:t>extranjeras</w:t>
      </w:r>
      <w:r w:rsidR="00AA67AE" w:rsidRPr="00D82380">
        <w:rPr>
          <w:rFonts w:ascii="Arial" w:hAnsi="Arial" w:cs="Arial"/>
          <w:sz w:val="26"/>
          <w:szCs w:val="26"/>
        </w:rPr>
        <w:t xml:space="preserve"> </w:t>
      </w:r>
      <w:r w:rsidR="00F82095" w:rsidRPr="00D82380">
        <w:rPr>
          <w:rFonts w:ascii="Arial" w:hAnsi="Arial" w:cs="Arial"/>
          <w:sz w:val="26"/>
          <w:szCs w:val="26"/>
        </w:rPr>
        <w:t>y</w:t>
      </w:r>
      <w:r w:rsidR="00067D4D" w:rsidRPr="00D82380">
        <w:rPr>
          <w:rFonts w:ascii="Arial" w:hAnsi="Arial" w:cs="Arial"/>
          <w:sz w:val="26"/>
          <w:szCs w:val="26"/>
        </w:rPr>
        <w:t xml:space="preserve"> </w:t>
      </w:r>
      <w:r w:rsidR="008A198D" w:rsidRPr="00D82380">
        <w:rPr>
          <w:rFonts w:ascii="Arial" w:hAnsi="Arial" w:cs="Arial"/>
          <w:sz w:val="26"/>
          <w:szCs w:val="26"/>
        </w:rPr>
        <w:t xml:space="preserve">que </w:t>
      </w:r>
      <w:r w:rsidR="00067D4D" w:rsidRPr="00D82380">
        <w:rPr>
          <w:rFonts w:ascii="Arial" w:hAnsi="Arial" w:cs="Arial"/>
          <w:sz w:val="26"/>
          <w:szCs w:val="26"/>
        </w:rPr>
        <w:t>por esa causa</w:t>
      </w:r>
      <w:r w:rsidR="008A198D" w:rsidRPr="00D82380">
        <w:rPr>
          <w:rFonts w:ascii="Arial" w:hAnsi="Arial" w:cs="Arial"/>
          <w:sz w:val="26"/>
          <w:szCs w:val="26"/>
        </w:rPr>
        <w:t xml:space="preserve"> hayan sido</w:t>
      </w:r>
      <w:r w:rsidR="00067D4D" w:rsidRPr="00D82380">
        <w:rPr>
          <w:rFonts w:ascii="Arial" w:hAnsi="Arial" w:cs="Arial"/>
          <w:sz w:val="26"/>
          <w:szCs w:val="26"/>
        </w:rPr>
        <w:t xml:space="preserve"> retenidas con miras a analizar su</w:t>
      </w:r>
      <w:r w:rsidR="008A2308" w:rsidRPr="00D82380">
        <w:rPr>
          <w:rFonts w:ascii="Arial" w:hAnsi="Arial" w:cs="Arial"/>
          <w:sz w:val="26"/>
          <w:szCs w:val="26"/>
        </w:rPr>
        <w:t xml:space="preserve"> </w:t>
      </w:r>
      <w:r w:rsidR="00450739" w:rsidRPr="00D82380">
        <w:rPr>
          <w:rFonts w:ascii="Arial" w:hAnsi="Arial" w:cs="Arial"/>
          <w:sz w:val="26"/>
          <w:szCs w:val="26"/>
        </w:rPr>
        <w:t>“</w:t>
      </w:r>
      <w:r w:rsidR="000D751D" w:rsidRPr="00D82380">
        <w:rPr>
          <w:rFonts w:ascii="Arial" w:hAnsi="Arial" w:cs="Arial"/>
          <w:sz w:val="26"/>
          <w:szCs w:val="26"/>
        </w:rPr>
        <w:t>retorno</w:t>
      </w:r>
      <w:r w:rsidR="00450739" w:rsidRPr="00D82380">
        <w:rPr>
          <w:rFonts w:ascii="Arial" w:hAnsi="Arial" w:cs="Arial"/>
          <w:sz w:val="26"/>
          <w:szCs w:val="26"/>
        </w:rPr>
        <w:t>”</w:t>
      </w:r>
      <w:r w:rsidR="000D751D" w:rsidRPr="00D82380">
        <w:rPr>
          <w:rFonts w:ascii="Arial" w:hAnsi="Arial" w:cs="Arial"/>
          <w:sz w:val="26"/>
          <w:szCs w:val="26"/>
        </w:rPr>
        <w:t xml:space="preserve"> a otro país</w:t>
      </w:r>
      <w:r w:rsidR="008A2308" w:rsidRPr="00D82380">
        <w:rPr>
          <w:rFonts w:ascii="Arial" w:hAnsi="Arial" w:cs="Arial"/>
          <w:sz w:val="26"/>
          <w:szCs w:val="26"/>
        </w:rPr>
        <w:t xml:space="preserve"> o</w:t>
      </w:r>
      <w:r w:rsidR="000D751D" w:rsidRPr="00D82380">
        <w:rPr>
          <w:rFonts w:ascii="Arial" w:hAnsi="Arial" w:cs="Arial"/>
          <w:sz w:val="26"/>
          <w:szCs w:val="26"/>
        </w:rPr>
        <w:t xml:space="preserve"> </w:t>
      </w:r>
      <w:r w:rsidR="006D661C" w:rsidRPr="00D82380">
        <w:rPr>
          <w:rFonts w:ascii="Arial" w:hAnsi="Arial" w:cs="Arial"/>
          <w:sz w:val="26"/>
          <w:szCs w:val="26"/>
        </w:rPr>
        <w:t>“</w:t>
      </w:r>
      <w:r w:rsidR="000D751D" w:rsidRPr="00D82380">
        <w:rPr>
          <w:rFonts w:ascii="Arial" w:hAnsi="Arial" w:cs="Arial"/>
          <w:sz w:val="26"/>
          <w:szCs w:val="26"/>
        </w:rPr>
        <w:t>definir</w:t>
      </w:r>
      <w:r w:rsidR="006D661C" w:rsidRPr="00D82380">
        <w:rPr>
          <w:rFonts w:ascii="Arial" w:hAnsi="Arial" w:cs="Arial"/>
          <w:sz w:val="26"/>
          <w:szCs w:val="26"/>
        </w:rPr>
        <w:t>”</w:t>
      </w:r>
      <w:r w:rsidR="000D751D" w:rsidRPr="00D82380">
        <w:rPr>
          <w:rFonts w:ascii="Arial" w:hAnsi="Arial" w:cs="Arial"/>
          <w:sz w:val="26"/>
          <w:szCs w:val="26"/>
        </w:rPr>
        <w:t xml:space="preserve"> su</w:t>
      </w:r>
      <w:r w:rsidR="008A2308" w:rsidRPr="00D82380">
        <w:rPr>
          <w:rFonts w:ascii="Arial" w:hAnsi="Arial" w:cs="Arial"/>
          <w:sz w:val="26"/>
          <w:szCs w:val="26"/>
        </w:rPr>
        <w:t xml:space="preserve"> situación legal en México, pues eran mexicanas.</w:t>
      </w:r>
      <w:r w:rsidR="00C26BA1" w:rsidRPr="00D82380">
        <w:rPr>
          <w:rFonts w:ascii="Arial" w:hAnsi="Arial" w:cs="Arial"/>
          <w:sz w:val="26"/>
          <w:szCs w:val="26"/>
        </w:rPr>
        <w:t xml:space="preserve"> E</w:t>
      </w:r>
      <w:r w:rsidR="008A2308" w:rsidRPr="00D82380">
        <w:rPr>
          <w:rFonts w:ascii="Arial" w:hAnsi="Arial" w:cs="Arial"/>
          <w:sz w:val="26"/>
          <w:szCs w:val="26"/>
        </w:rPr>
        <w:t xml:space="preserve">ntonces me pareció </w:t>
      </w:r>
      <w:r w:rsidR="00502080" w:rsidRPr="00D82380">
        <w:rPr>
          <w:rFonts w:ascii="Arial" w:hAnsi="Arial" w:cs="Arial"/>
          <w:sz w:val="26"/>
          <w:szCs w:val="26"/>
        </w:rPr>
        <w:t xml:space="preserve">que lo más adecuado era </w:t>
      </w:r>
      <w:r w:rsidR="008A2308" w:rsidRPr="00D82380">
        <w:rPr>
          <w:rFonts w:ascii="Arial" w:hAnsi="Arial" w:cs="Arial"/>
          <w:sz w:val="26"/>
          <w:szCs w:val="26"/>
        </w:rPr>
        <w:t>reservar el criterio propio y de la Sala hasta en tanto se presente un caso que verdaderamente cuestione</w:t>
      </w:r>
      <w:r w:rsidR="001C7676" w:rsidRPr="00D82380">
        <w:rPr>
          <w:rFonts w:ascii="Arial" w:hAnsi="Arial" w:cs="Arial"/>
          <w:sz w:val="26"/>
          <w:szCs w:val="26"/>
        </w:rPr>
        <w:t xml:space="preserve"> </w:t>
      </w:r>
      <w:r w:rsidR="00DB60CD" w:rsidRPr="00D82380">
        <w:rPr>
          <w:rFonts w:ascii="Arial" w:hAnsi="Arial" w:cs="Arial"/>
          <w:sz w:val="26"/>
          <w:szCs w:val="26"/>
        </w:rPr>
        <w:t>esos preceptos</w:t>
      </w:r>
      <w:r w:rsidR="008A2308" w:rsidRPr="00D82380">
        <w:rPr>
          <w:rFonts w:ascii="Arial" w:hAnsi="Arial" w:cs="Arial"/>
          <w:sz w:val="26"/>
          <w:szCs w:val="26"/>
        </w:rPr>
        <w:t xml:space="preserve">, desde el punto de vista </w:t>
      </w:r>
      <w:r w:rsidR="00502080" w:rsidRPr="00D82380">
        <w:rPr>
          <w:rFonts w:ascii="Arial" w:hAnsi="Arial" w:cs="Arial"/>
          <w:sz w:val="26"/>
          <w:szCs w:val="26"/>
        </w:rPr>
        <w:t xml:space="preserve">de la persona </w:t>
      </w:r>
      <w:r w:rsidR="008A2308" w:rsidRPr="00D82380">
        <w:rPr>
          <w:rFonts w:ascii="Arial" w:hAnsi="Arial" w:cs="Arial"/>
          <w:sz w:val="26"/>
          <w:szCs w:val="26"/>
        </w:rPr>
        <w:t>migrante</w:t>
      </w:r>
      <w:r w:rsidR="00630739" w:rsidRPr="00D82380">
        <w:rPr>
          <w:rFonts w:ascii="Arial" w:hAnsi="Arial" w:cs="Arial"/>
          <w:sz w:val="26"/>
          <w:szCs w:val="26"/>
        </w:rPr>
        <w:t>; e</w:t>
      </w:r>
      <w:r w:rsidR="00744FB7" w:rsidRPr="00D82380">
        <w:rPr>
          <w:rFonts w:ascii="Arial" w:hAnsi="Arial" w:cs="Arial"/>
          <w:sz w:val="26"/>
          <w:szCs w:val="26"/>
        </w:rPr>
        <w:t>s decir, para observar cómo impacta esta norma en sus destinatarios originarios:</w:t>
      </w:r>
      <w:r w:rsidR="008A2308" w:rsidRPr="00D82380">
        <w:rPr>
          <w:rFonts w:ascii="Arial" w:hAnsi="Arial" w:cs="Arial"/>
          <w:sz w:val="26"/>
          <w:szCs w:val="26"/>
        </w:rPr>
        <w:t xml:space="preserve"> si tales estaciones migratorias </w:t>
      </w:r>
      <w:r w:rsidR="006D2C64" w:rsidRPr="00D82380">
        <w:rPr>
          <w:rFonts w:ascii="Arial" w:hAnsi="Arial" w:cs="Arial"/>
          <w:sz w:val="26"/>
          <w:szCs w:val="26"/>
        </w:rPr>
        <w:t xml:space="preserve">les </w:t>
      </w:r>
      <w:r w:rsidR="008D5723" w:rsidRPr="00D82380">
        <w:rPr>
          <w:rFonts w:ascii="Arial" w:hAnsi="Arial" w:cs="Arial"/>
          <w:sz w:val="26"/>
          <w:szCs w:val="26"/>
        </w:rPr>
        <w:t xml:space="preserve">facilitan o no </w:t>
      </w:r>
      <w:r w:rsidR="00A02D48" w:rsidRPr="00D82380">
        <w:rPr>
          <w:rFonts w:ascii="Arial" w:hAnsi="Arial" w:cs="Arial"/>
          <w:sz w:val="26"/>
          <w:szCs w:val="26"/>
        </w:rPr>
        <w:t>un retorno</w:t>
      </w:r>
      <w:r w:rsidR="008D5723" w:rsidRPr="00D82380">
        <w:rPr>
          <w:rFonts w:ascii="Arial" w:hAnsi="Arial" w:cs="Arial"/>
          <w:sz w:val="26"/>
          <w:szCs w:val="26"/>
        </w:rPr>
        <w:t xml:space="preserve"> ordenad</w:t>
      </w:r>
      <w:r w:rsidR="00A02D48" w:rsidRPr="00D82380">
        <w:rPr>
          <w:rFonts w:ascii="Arial" w:hAnsi="Arial" w:cs="Arial"/>
          <w:sz w:val="26"/>
          <w:szCs w:val="26"/>
        </w:rPr>
        <w:t xml:space="preserve">o </w:t>
      </w:r>
      <w:r w:rsidR="008D5723" w:rsidRPr="00D82380">
        <w:rPr>
          <w:rFonts w:ascii="Arial" w:hAnsi="Arial" w:cs="Arial"/>
          <w:sz w:val="26"/>
          <w:szCs w:val="26"/>
        </w:rPr>
        <w:t xml:space="preserve">y jurídicamente </w:t>
      </w:r>
      <w:r w:rsidR="00A02D48" w:rsidRPr="00D82380">
        <w:rPr>
          <w:rFonts w:ascii="Arial" w:hAnsi="Arial" w:cs="Arial"/>
          <w:sz w:val="26"/>
          <w:szCs w:val="26"/>
        </w:rPr>
        <w:t>pulcro a su país</w:t>
      </w:r>
      <w:r w:rsidR="008D5723" w:rsidRPr="00D82380">
        <w:rPr>
          <w:rFonts w:ascii="Arial" w:hAnsi="Arial" w:cs="Arial"/>
          <w:sz w:val="26"/>
          <w:szCs w:val="26"/>
        </w:rPr>
        <w:t xml:space="preserve">, si es más conveniente que existan estas estaciones a fin de evitar que se alarguen y compliquen sus trámites, que se haga más gravosa su defensa y </w:t>
      </w:r>
      <w:r w:rsidR="00744FB7" w:rsidRPr="00D82380">
        <w:rPr>
          <w:rFonts w:ascii="Arial" w:hAnsi="Arial" w:cs="Arial"/>
          <w:sz w:val="26"/>
          <w:szCs w:val="26"/>
        </w:rPr>
        <w:t>la recuperación</w:t>
      </w:r>
      <w:r w:rsidR="009928FB" w:rsidRPr="00D82380">
        <w:rPr>
          <w:rFonts w:ascii="Arial" w:hAnsi="Arial" w:cs="Arial"/>
          <w:sz w:val="26"/>
          <w:szCs w:val="26"/>
        </w:rPr>
        <w:t xml:space="preserve"> </w:t>
      </w:r>
      <w:r w:rsidR="006A130F" w:rsidRPr="003433CD">
        <w:rPr>
          <w:rFonts w:ascii="Arial" w:hAnsi="Arial" w:cs="Arial"/>
          <w:sz w:val="26"/>
          <w:szCs w:val="26"/>
        </w:rPr>
        <w:t>de</w:t>
      </w:r>
      <w:r w:rsidR="006A130F">
        <w:rPr>
          <w:rFonts w:ascii="Arial" w:hAnsi="Arial" w:cs="Arial"/>
          <w:sz w:val="26"/>
          <w:szCs w:val="26"/>
        </w:rPr>
        <w:t xml:space="preserve"> </w:t>
      </w:r>
      <w:r w:rsidR="009928FB" w:rsidRPr="00D82380">
        <w:rPr>
          <w:rFonts w:ascii="Arial" w:hAnsi="Arial" w:cs="Arial"/>
          <w:sz w:val="26"/>
          <w:szCs w:val="26"/>
        </w:rPr>
        <w:t>su libertad</w:t>
      </w:r>
      <w:r w:rsidR="008D5723" w:rsidRPr="00D82380">
        <w:rPr>
          <w:rFonts w:ascii="Arial" w:hAnsi="Arial" w:cs="Arial"/>
          <w:sz w:val="26"/>
          <w:szCs w:val="26"/>
        </w:rPr>
        <w:t xml:space="preserve">, </w:t>
      </w:r>
      <w:r w:rsidR="00744FB7" w:rsidRPr="00D82380">
        <w:rPr>
          <w:rFonts w:ascii="Arial" w:hAnsi="Arial" w:cs="Arial"/>
          <w:sz w:val="26"/>
          <w:szCs w:val="26"/>
        </w:rPr>
        <w:t>en fin,</w:t>
      </w:r>
      <w:r w:rsidR="008D5723" w:rsidRPr="00D82380">
        <w:rPr>
          <w:rFonts w:ascii="Arial" w:hAnsi="Arial" w:cs="Arial"/>
          <w:sz w:val="26"/>
          <w:szCs w:val="26"/>
        </w:rPr>
        <w:t xml:space="preserve"> si </w:t>
      </w:r>
      <w:r w:rsidR="008A2308" w:rsidRPr="00D82380">
        <w:rPr>
          <w:rFonts w:ascii="Arial" w:hAnsi="Arial" w:cs="Arial"/>
          <w:sz w:val="26"/>
          <w:szCs w:val="26"/>
        </w:rPr>
        <w:t xml:space="preserve">son o no </w:t>
      </w:r>
      <w:r w:rsidR="008A2308" w:rsidRPr="00D82380">
        <w:rPr>
          <w:rFonts w:ascii="Arial" w:hAnsi="Arial" w:cs="Arial"/>
          <w:sz w:val="26"/>
          <w:szCs w:val="26"/>
        </w:rPr>
        <w:lastRenderedPageBreak/>
        <w:t>acordes</w:t>
      </w:r>
      <w:r w:rsidR="00744FB7" w:rsidRPr="00D82380">
        <w:rPr>
          <w:rFonts w:ascii="Arial" w:hAnsi="Arial" w:cs="Arial"/>
          <w:sz w:val="26"/>
          <w:szCs w:val="26"/>
        </w:rPr>
        <w:t xml:space="preserve"> las normas</w:t>
      </w:r>
      <w:r w:rsidR="008A2308" w:rsidRPr="00D82380">
        <w:rPr>
          <w:rFonts w:ascii="Arial" w:hAnsi="Arial" w:cs="Arial"/>
          <w:sz w:val="26"/>
          <w:szCs w:val="26"/>
        </w:rPr>
        <w:t xml:space="preserve"> al régimen constitucional</w:t>
      </w:r>
      <w:r w:rsidR="008D5723" w:rsidRPr="00D82380">
        <w:rPr>
          <w:rFonts w:ascii="Arial" w:hAnsi="Arial" w:cs="Arial"/>
          <w:sz w:val="26"/>
          <w:szCs w:val="26"/>
        </w:rPr>
        <w:t xml:space="preserve"> y convencional previsto </w:t>
      </w:r>
      <w:r w:rsidR="008A2308" w:rsidRPr="00D82380">
        <w:rPr>
          <w:rFonts w:ascii="Arial" w:hAnsi="Arial" w:cs="Arial"/>
          <w:sz w:val="26"/>
          <w:szCs w:val="26"/>
        </w:rPr>
        <w:t>para la privación legítima de la libertad en territorio nacional.</w:t>
      </w:r>
      <w:r w:rsidR="009A7BEE" w:rsidRPr="00D82380">
        <w:rPr>
          <w:rFonts w:ascii="Arial" w:hAnsi="Arial" w:cs="Arial"/>
          <w:sz w:val="26"/>
          <w:szCs w:val="26"/>
        </w:rPr>
        <w:t xml:space="preserve"> </w:t>
      </w:r>
      <w:r w:rsidR="00744FB7" w:rsidRPr="00D82380">
        <w:rPr>
          <w:rFonts w:ascii="Arial" w:hAnsi="Arial" w:cs="Arial"/>
          <w:sz w:val="26"/>
          <w:szCs w:val="26"/>
        </w:rPr>
        <w:t xml:space="preserve">Este no era el supuesto para analizar esas cuestiones, porque no se trata de </w:t>
      </w:r>
      <w:r w:rsidR="001713B6" w:rsidRPr="00D82380">
        <w:rPr>
          <w:rFonts w:ascii="Arial" w:hAnsi="Arial" w:cs="Arial"/>
          <w:sz w:val="26"/>
          <w:szCs w:val="26"/>
        </w:rPr>
        <w:t>personas extranjeras</w:t>
      </w:r>
      <w:r w:rsidR="00744FB7" w:rsidRPr="00D82380">
        <w:rPr>
          <w:rFonts w:ascii="Arial" w:hAnsi="Arial" w:cs="Arial"/>
          <w:sz w:val="26"/>
          <w:szCs w:val="26"/>
        </w:rPr>
        <w:t xml:space="preserve"> sino de </w:t>
      </w:r>
      <w:r w:rsidR="001713B6" w:rsidRPr="00D82380">
        <w:rPr>
          <w:rFonts w:ascii="Arial" w:hAnsi="Arial" w:cs="Arial"/>
          <w:sz w:val="26"/>
          <w:szCs w:val="26"/>
        </w:rPr>
        <w:t>personas mexicanas</w:t>
      </w:r>
      <w:r w:rsidR="00744FB7" w:rsidRPr="00D82380">
        <w:rPr>
          <w:rFonts w:ascii="Arial" w:hAnsi="Arial" w:cs="Arial"/>
          <w:sz w:val="26"/>
          <w:szCs w:val="26"/>
        </w:rPr>
        <w:t xml:space="preserve">, que de ninguna manera podrían enfrentar un trámite migratorio (contactar a su embajada o consulado, </w:t>
      </w:r>
      <w:r w:rsidR="00D41286" w:rsidRPr="00D82380">
        <w:rPr>
          <w:rFonts w:ascii="Arial" w:hAnsi="Arial" w:cs="Arial"/>
          <w:sz w:val="26"/>
          <w:szCs w:val="26"/>
        </w:rPr>
        <w:t xml:space="preserve">seguir procesos para su retorno o la regularización de su ingreso a México, </w:t>
      </w:r>
      <w:r w:rsidR="00744FB7" w:rsidRPr="00D82380">
        <w:rPr>
          <w:rFonts w:ascii="Arial" w:hAnsi="Arial" w:cs="Arial"/>
          <w:sz w:val="26"/>
          <w:szCs w:val="26"/>
        </w:rPr>
        <w:t>etcétera)</w:t>
      </w:r>
      <w:r w:rsidR="00DE270E" w:rsidRPr="00D82380">
        <w:rPr>
          <w:rFonts w:ascii="Arial" w:hAnsi="Arial" w:cs="Arial"/>
          <w:sz w:val="26"/>
          <w:szCs w:val="26"/>
        </w:rPr>
        <w:t xml:space="preserve"> que amerite una d</w:t>
      </w:r>
      <w:r w:rsidR="00D02B9B" w:rsidRPr="00D82380">
        <w:rPr>
          <w:rFonts w:ascii="Arial" w:hAnsi="Arial" w:cs="Arial"/>
          <w:sz w:val="26"/>
          <w:szCs w:val="26"/>
        </w:rPr>
        <w:t xml:space="preserve">etención en una </w:t>
      </w:r>
      <w:r w:rsidR="00B2019E" w:rsidRPr="00D82380">
        <w:rPr>
          <w:rFonts w:ascii="Arial" w:hAnsi="Arial" w:cs="Arial"/>
          <w:sz w:val="26"/>
          <w:szCs w:val="26"/>
        </w:rPr>
        <w:t>estación</w:t>
      </w:r>
      <w:r w:rsidR="00D02B9B" w:rsidRPr="00D82380">
        <w:rPr>
          <w:rFonts w:ascii="Arial" w:hAnsi="Arial" w:cs="Arial"/>
          <w:sz w:val="26"/>
          <w:szCs w:val="26"/>
        </w:rPr>
        <w:t xml:space="preserve"> migratoria. Por eso, reitero, no </w:t>
      </w:r>
      <w:r w:rsidR="00B2019E" w:rsidRPr="00D82380">
        <w:rPr>
          <w:rFonts w:ascii="Arial" w:hAnsi="Arial" w:cs="Arial"/>
          <w:sz w:val="26"/>
          <w:szCs w:val="26"/>
        </w:rPr>
        <w:t>formulé</w:t>
      </w:r>
      <w:r w:rsidR="00D02B9B" w:rsidRPr="00D82380">
        <w:rPr>
          <w:rFonts w:ascii="Arial" w:hAnsi="Arial" w:cs="Arial"/>
          <w:sz w:val="26"/>
          <w:szCs w:val="26"/>
        </w:rPr>
        <w:t xml:space="preserve"> la propuesta de inconstitucionalidad</w:t>
      </w:r>
      <w:r w:rsidR="00E23CBC" w:rsidRPr="00D82380">
        <w:rPr>
          <w:rFonts w:ascii="Arial" w:hAnsi="Arial" w:cs="Arial"/>
          <w:sz w:val="26"/>
          <w:szCs w:val="26"/>
        </w:rPr>
        <w:t xml:space="preserve"> </w:t>
      </w:r>
      <w:r w:rsidR="00DD4312" w:rsidRPr="00D82380">
        <w:rPr>
          <w:rFonts w:ascii="Arial" w:hAnsi="Arial" w:cs="Arial"/>
          <w:sz w:val="26"/>
          <w:szCs w:val="26"/>
        </w:rPr>
        <w:t>al respecto</w:t>
      </w:r>
      <w:r w:rsidR="00D02B9B" w:rsidRPr="00D82380">
        <w:rPr>
          <w:rFonts w:ascii="Arial" w:hAnsi="Arial" w:cs="Arial"/>
          <w:sz w:val="26"/>
          <w:szCs w:val="26"/>
        </w:rPr>
        <w:t xml:space="preserve"> y opté por reservar criterio hasta que la norma sea cuestionada en sus alcances e impactos verdaderos.</w:t>
      </w:r>
    </w:p>
    <w:p w14:paraId="61A772D1" w14:textId="6A6BB5B0" w:rsidR="00967F26" w:rsidRPr="00D82380" w:rsidRDefault="00245983"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Lo anterior </w:t>
      </w:r>
      <w:r w:rsidR="009A7BEE" w:rsidRPr="00D82380">
        <w:rPr>
          <w:rFonts w:ascii="Arial" w:hAnsi="Arial" w:cs="Arial"/>
          <w:sz w:val="26"/>
          <w:szCs w:val="26"/>
        </w:rPr>
        <w:t xml:space="preserve">que no sucedía con los artículos cuya inconstitucionalidad propuse (la </w:t>
      </w:r>
      <w:r w:rsidR="009A7BEE" w:rsidRPr="00D82380">
        <w:rPr>
          <w:rFonts w:ascii="Arial" w:hAnsi="Arial" w:cs="Arial"/>
          <w:b/>
          <w:bCs/>
          <w:i/>
          <w:iCs/>
          <w:sz w:val="26"/>
          <w:szCs w:val="26"/>
          <w:u w:val="single"/>
        </w:rPr>
        <w:t>revisión</w:t>
      </w:r>
      <w:r w:rsidR="009A7BEE" w:rsidRPr="00D82380">
        <w:rPr>
          <w:rFonts w:ascii="Arial" w:hAnsi="Arial" w:cs="Arial"/>
          <w:sz w:val="26"/>
          <w:szCs w:val="26"/>
        </w:rPr>
        <w:t xml:space="preserve"> migratoria) porque, aunque las personas no fueran extranjeras, la amplitud de la norma permite que las autoridades migratorias detengan a cualquier</w:t>
      </w:r>
      <w:r w:rsidR="00C4639E" w:rsidRPr="00D82380">
        <w:rPr>
          <w:rFonts w:ascii="Arial" w:hAnsi="Arial" w:cs="Arial"/>
          <w:sz w:val="26"/>
          <w:szCs w:val="26"/>
        </w:rPr>
        <w:t>a</w:t>
      </w:r>
      <w:r w:rsidR="009A7BEE" w:rsidRPr="00D82380">
        <w:rPr>
          <w:rFonts w:ascii="Arial" w:hAnsi="Arial" w:cs="Arial"/>
          <w:sz w:val="26"/>
          <w:szCs w:val="26"/>
        </w:rPr>
        <w:t xml:space="preserve"> </w:t>
      </w:r>
      <w:r w:rsidRPr="00D82380">
        <w:rPr>
          <w:rFonts w:ascii="Arial" w:hAnsi="Arial" w:cs="Arial"/>
          <w:sz w:val="26"/>
          <w:szCs w:val="26"/>
        </w:rPr>
        <w:t>que, por decirlo así, parezca extranjer</w:t>
      </w:r>
      <w:r w:rsidR="00C4639E" w:rsidRPr="00D82380">
        <w:rPr>
          <w:rFonts w:ascii="Arial" w:hAnsi="Arial" w:cs="Arial"/>
          <w:sz w:val="26"/>
          <w:szCs w:val="26"/>
        </w:rPr>
        <w:t>o</w:t>
      </w:r>
      <w:r w:rsidRPr="00D82380">
        <w:rPr>
          <w:rFonts w:ascii="Arial" w:hAnsi="Arial" w:cs="Arial"/>
          <w:sz w:val="26"/>
          <w:szCs w:val="26"/>
        </w:rPr>
        <w:t>.</w:t>
      </w:r>
      <w:r w:rsidR="007E4B37" w:rsidRPr="00D82380">
        <w:rPr>
          <w:rFonts w:ascii="Arial" w:hAnsi="Arial" w:cs="Arial"/>
          <w:sz w:val="26"/>
          <w:szCs w:val="26"/>
        </w:rPr>
        <w:t xml:space="preserve"> Es cierto que </w:t>
      </w:r>
      <w:r w:rsidR="00C43E21" w:rsidRPr="00D82380">
        <w:rPr>
          <w:rFonts w:ascii="Arial" w:hAnsi="Arial" w:cs="Arial"/>
          <w:sz w:val="26"/>
          <w:szCs w:val="26"/>
        </w:rPr>
        <w:t>los artículos</w:t>
      </w:r>
      <w:r w:rsidR="007E4B37" w:rsidRPr="00D82380">
        <w:rPr>
          <w:rFonts w:ascii="Arial" w:hAnsi="Arial" w:cs="Arial"/>
          <w:sz w:val="26"/>
          <w:szCs w:val="26"/>
        </w:rPr>
        <w:t xml:space="preserve"> sobre revisión migratoria (</w:t>
      </w:r>
      <w:r w:rsidR="008D5723" w:rsidRPr="00D82380">
        <w:rPr>
          <w:rFonts w:ascii="Arial" w:hAnsi="Arial" w:cs="Arial"/>
          <w:sz w:val="26"/>
          <w:szCs w:val="26"/>
        </w:rPr>
        <w:t>97 y 98</w:t>
      </w:r>
      <w:r w:rsidR="00692627" w:rsidRPr="00D82380">
        <w:rPr>
          <w:rStyle w:val="Refdenotaalpie"/>
          <w:rFonts w:ascii="Arial" w:hAnsi="Arial" w:cs="Arial"/>
          <w:sz w:val="26"/>
          <w:szCs w:val="26"/>
        </w:rPr>
        <w:footnoteReference w:id="5"/>
      </w:r>
      <w:r w:rsidR="008D5723" w:rsidRPr="00D82380">
        <w:rPr>
          <w:rFonts w:ascii="Arial" w:hAnsi="Arial" w:cs="Arial"/>
          <w:sz w:val="26"/>
          <w:szCs w:val="26"/>
        </w:rPr>
        <w:t xml:space="preserve">) </w:t>
      </w:r>
      <w:r w:rsidR="007E4B37" w:rsidRPr="00D82380">
        <w:rPr>
          <w:rFonts w:ascii="Arial" w:hAnsi="Arial" w:cs="Arial"/>
          <w:sz w:val="26"/>
          <w:szCs w:val="26"/>
        </w:rPr>
        <w:t xml:space="preserve">obligan a las </w:t>
      </w:r>
      <w:r w:rsidR="008D5723" w:rsidRPr="00D82380">
        <w:rPr>
          <w:rFonts w:ascii="Arial" w:hAnsi="Arial" w:cs="Arial"/>
          <w:sz w:val="26"/>
          <w:szCs w:val="26"/>
        </w:rPr>
        <w:t>autoridades administrativas a que la revisión sea fundada y motivada, pero no desglosa a partir de qué se va</w:t>
      </w:r>
      <w:r w:rsidR="00BA73E5" w:rsidRPr="00D82380">
        <w:rPr>
          <w:rFonts w:ascii="Arial" w:hAnsi="Arial" w:cs="Arial"/>
          <w:sz w:val="26"/>
          <w:szCs w:val="26"/>
        </w:rPr>
        <w:t>n</w:t>
      </w:r>
      <w:r w:rsidR="008D5723" w:rsidRPr="00D82380">
        <w:rPr>
          <w:rFonts w:ascii="Arial" w:hAnsi="Arial" w:cs="Arial"/>
          <w:sz w:val="26"/>
          <w:szCs w:val="26"/>
        </w:rPr>
        <w:t xml:space="preserve"> a pedir identificaciones a </w:t>
      </w:r>
      <w:r w:rsidR="00E23CBC" w:rsidRPr="00D82380">
        <w:rPr>
          <w:rFonts w:ascii="Arial" w:hAnsi="Arial" w:cs="Arial"/>
          <w:sz w:val="26"/>
          <w:szCs w:val="26"/>
        </w:rPr>
        <w:t>las personas mexicanas</w:t>
      </w:r>
      <w:r w:rsidR="008D5723" w:rsidRPr="00D82380">
        <w:rPr>
          <w:rFonts w:ascii="Arial" w:hAnsi="Arial" w:cs="Arial"/>
          <w:sz w:val="26"/>
          <w:szCs w:val="26"/>
        </w:rPr>
        <w:t xml:space="preserve"> que se encuentren en tránsito o que, solicitad</w:t>
      </w:r>
      <w:r w:rsidR="0031418B" w:rsidRPr="00D82380">
        <w:rPr>
          <w:rFonts w:ascii="Arial" w:hAnsi="Arial" w:cs="Arial"/>
          <w:sz w:val="26"/>
          <w:szCs w:val="26"/>
        </w:rPr>
        <w:t>a</w:t>
      </w:r>
      <w:r w:rsidR="008D5723" w:rsidRPr="00D82380">
        <w:rPr>
          <w:rFonts w:ascii="Arial" w:hAnsi="Arial" w:cs="Arial"/>
          <w:sz w:val="26"/>
          <w:szCs w:val="26"/>
        </w:rPr>
        <w:t xml:space="preserve">s, tilden de falsas las presentadas. </w:t>
      </w:r>
    </w:p>
    <w:p w14:paraId="510C21C2" w14:textId="77777777" w:rsidR="00967F26" w:rsidRPr="00D82380" w:rsidRDefault="008D5723" w:rsidP="00280ECA">
      <w:pPr>
        <w:spacing w:before="240" w:after="240" w:line="360" w:lineRule="auto"/>
        <w:jc w:val="both"/>
        <w:rPr>
          <w:rFonts w:ascii="Arial" w:hAnsi="Arial" w:cs="Arial"/>
          <w:sz w:val="26"/>
          <w:szCs w:val="26"/>
        </w:rPr>
      </w:pPr>
      <w:r w:rsidRPr="00D82380">
        <w:rPr>
          <w:rFonts w:ascii="Arial" w:hAnsi="Arial" w:cs="Arial"/>
          <w:sz w:val="26"/>
          <w:szCs w:val="26"/>
        </w:rPr>
        <w:t>Si bien la</w:t>
      </w:r>
      <w:r w:rsidR="00967F26" w:rsidRPr="00D82380">
        <w:rPr>
          <w:rFonts w:ascii="Arial" w:hAnsi="Arial" w:cs="Arial"/>
          <w:sz w:val="26"/>
          <w:szCs w:val="26"/>
        </w:rPr>
        <w:t>s</w:t>
      </w:r>
      <w:r w:rsidRPr="00D82380">
        <w:rPr>
          <w:rFonts w:ascii="Arial" w:hAnsi="Arial" w:cs="Arial"/>
          <w:sz w:val="26"/>
          <w:szCs w:val="26"/>
        </w:rPr>
        <w:t xml:space="preserve"> norma</w:t>
      </w:r>
      <w:r w:rsidR="00967F26" w:rsidRPr="00D82380">
        <w:rPr>
          <w:rFonts w:ascii="Arial" w:hAnsi="Arial" w:cs="Arial"/>
          <w:sz w:val="26"/>
          <w:szCs w:val="26"/>
        </w:rPr>
        <w:t>s</w:t>
      </w:r>
      <w:r w:rsidRPr="00D82380">
        <w:rPr>
          <w:rFonts w:ascii="Arial" w:hAnsi="Arial" w:cs="Arial"/>
          <w:sz w:val="26"/>
          <w:szCs w:val="26"/>
        </w:rPr>
        <w:t xml:space="preserve"> no </w:t>
      </w:r>
      <w:r w:rsidR="00967F26" w:rsidRPr="00D82380">
        <w:rPr>
          <w:rFonts w:ascii="Arial" w:hAnsi="Arial" w:cs="Arial"/>
          <w:sz w:val="26"/>
          <w:szCs w:val="26"/>
        </w:rPr>
        <w:t>son</w:t>
      </w:r>
      <w:r w:rsidRPr="00D82380">
        <w:rPr>
          <w:rFonts w:ascii="Arial" w:hAnsi="Arial" w:cs="Arial"/>
          <w:sz w:val="26"/>
          <w:szCs w:val="26"/>
        </w:rPr>
        <w:t xml:space="preserve"> discriminatoria</w:t>
      </w:r>
      <w:r w:rsidR="00967F26" w:rsidRPr="00D82380">
        <w:rPr>
          <w:rFonts w:ascii="Arial" w:hAnsi="Arial" w:cs="Arial"/>
          <w:sz w:val="26"/>
          <w:szCs w:val="26"/>
        </w:rPr>
        <w:t>s</w:t>
      </w:r>
      <w:r w:rsidRPr="00D82380">
        <w:rPr>
          <w:rFonts w:ascii="Arial" w:hAnsi="Arial" w:cs="Arial"/>
          <w:sz w:val="26"/>
          <w:szCs w:val="26"/>
        </w:rPr>
        <w:t>, permite</w:t>
      </w:r>
      <w:r w:rsidR="00967F26" w:rsidRPr="00D82380">
        <w:rPr>
          <w:rFonts w:ascii="Arial" w:hAnsi="Arial" w:cs="Arial"/>
          <w:sz w:val="26"/>
          <w:szCs w:val="26"/>
        </w:rPr>
        <w:t>n</w:t>
      </w:r>
      <w:r w:rsidRPr="00D82380">
        <w:rPr>
          <w:rFonts w:ascii="Arial" w:hAnsi="Arial" w:cs="Arial"/>
          <w:sz w:val="26"/>
          <w:szCs w:val="26"/>
        </w:rPr>
        <w:t xml:space="preserve"> una amplia discrecionalidad por parte de quienes la aplican pues </w:t>
      </w:r>
      <w:r w:rsidRPr="00D82380">
        <w:rPr>
          <w:rFonts w:ascii="Arial" w:hAnsi="Arial" w:cs="Arial"/>
          <w:i/>
          <w:iCs/>
          <w:sz w:val="26"/>
          <w:szCs w:val="26"/>
        </w:rPr>
        <w:t>“para comprobar la situación migratoria de los extranjeros”</w:t>
      </w:r>
      <w:r w:rsidRPr="00D82380">
        <w:rPr>
          <w:rFonts w:ascii="Arial" w:hAnsi="Arial" w:cs="Arial"/>
          <w:sz w:val="26"/>
          <w:szCs w:val="26"/>
        </w:rPr>
        <w:t xml:space="preserve"> puede requerir que las personas mexicanas se identifiquen, y éstas pudieran no traer su identificación a la mano (la Constitución no obliga a ello</w:t>
      </w:r>
      <w:r w:rsidR="00EA6987" w:rsidRPr="00D82380">
        <w:rPr>
          <w:rFonts w:ascii="Arial" w:hAnsi="Arial" w:cs="Arial"/>
          <w:sz w:val="26"/>
          <w:szCs w:val="26"/>
        </w:rPr>
        <w:t xml:space="preserve"> sino que</w:t>
      </w:r>
      <w:r w:rsidRPr="00D82380">
        <w:rPr>
          <w:rFonts w:ascii="Arial" w:hAnsi="Arial" w:cs="Arial"/>
          <w:sz w:val="26"/>
          <w:szCs w:val="26"/>
        </w:rPr>
        <w:t xml:space="preserve">, al contrario, enaltece el libre tránsito) o, peor, traerla y ser tachada de falsa sin justificación ninguna y a partir de ahí detener y privar de la libertad a mexicanos. </w:t>
      </w:r>
    </w:p>
    <w:p w14:paraId="25AE1A2E" w14:textId="00DB9B2D" w:rsidR="004A0DC8" w:rsidRPr="00D82380" w:rsidRDefault="008D5723" w:rsidP="00280ECA">
      <w:pPr>
        <w:spacing w:before="240" w:after="240" w:line="360" w:lineRule="auto"/>
        <w:jc w:val="both"/>
        <w:rPr>
          <w:rFonts w:ascii="Arial" w:hAnsi="Arial" w:cs="Arial"/>
          <w:sz w:val="26"/>
          <w:szCs w:val="26"/>
        </w:rPr>
      </w:pPr>
      <w:r w:rsidRPr="00D82380">
        <w:rPr>
          <w:rFonts w:ascii="Arial" w:hAnsi="Arial" w:cs="Arial"/>
          <w:sz w:val="26"/>
          <w:szCs w:val="26"/>
        </w:rPr>
        <w:t>Comprendo la política migratoria, y es necesario que un país mantenga su soberanía y sus fronteras vigiladas, pero la</w:t>
      </w:r>
      <w:r w:rsidR="00FF56CD" w:rsidRPr="00D82380">
        <w:rPr>
          <w:rFonts w:ascii="Arial" w:hAnsi="Arial" w:cs="Arial"/>
          <w:sz w:val="26"/>
          <w:szCs w:val="26"/>
        </w:rPr>
        <w:t>s</w:t>
      </w:r>
      <w:r w:rsidRPr="00D82380">
        <w:rPr>
          <w:rFonts w:ascii="Arial" w:hAnsi="Arial" w:cs="Arial"/>
          <w:sz w:val="26"/>
          <w:szCs w:val="26"/>
        </w:rPr>
        <w:t xml:space="preserve"> norma</w:t>
      </w:r>
      <w:r w:rsidR="00FF56CD" w:rsidRPr="00D82380">
        <w:rPr>
          <w:rFonts w:ascii="Arial" w:hAnsi="Arial" w:cs="Arial"/>
          <w:sz w:val="26"/>
          <w:szCs w:val="26"/>
        </w:rPr>
        <w:t>s</w:t>
      </w:r>
      <w:r w:rsidRPr="00D82380">
        <w:rPr>
          <w:rFonts w:ascii="Arial" w:hAnsi="Arial" w:cs="Arial"/>
          <w:sz w:val="26"/>
          <w:szCs w:val="26"/>
        </w:rPr>
        <w:t xml:space="preserve"> falla</w:t>
      </w:r>
      <w:r w:rsidR="00FF56CD" w:rsidRPr="00D82380">
        <w:rPr>
          <w:rFonts w:ascii="Arial" w:hAnsi="Arial" w:cs="Arial"/>
          <w:sz w:val="26"/>
          <w:szCs w:val="26"/>
        </w:rPr>
        <w:t>n</w:t>
      </w:r>
      <w:r w:rsidRPr="00D82380">
        <w:rPr>
          <w:rFonts w:ascii="Arial" w:hAnsi="Arial" w:cs="Arial"/>
          <w:sz w:val="26"/>
          <w:szCs w:val="26"/>
        </w:rPr>
        <w:t xml:space="preserve"> en contribuir a ese propósito porque lo hace</w:t>
      </w:r>
      <w:r w:rsidR="00FF56CD" w:rsidRPr="00D82380">
        <w:rPr>
          <w:rFonts w:ascii="Arial" w:hAnsi="Arial" w:cs="Arial"/>
          <w:sz w:val="26"/>
          <w:szCs w:val="26"/>
        </w:rPr>
        <w:t>n</w:t>
      </w:r>
      <w:r w:rsidRPr="00D82380">
        <w:rPr>
          <w:rFonts w:ascii="Arial" w:hAnsi="Arial" w:cs="Arial"/>
          <w:sz w:val="26"/>
          <w:szCs w:val="26"/>
        </w:rPr>
        <w:t xml:space="preserve"> de una forma tan amplia que conlleva el </w:t>
      </w:r>
      <w:r w:rsidRPr="00D82380">
        <w:rPr>
          <w:rFonts w:ascii="Arial" w:hAnsi="Arial" w:cs="Arial"/>
          <w:sz w:val="26"/>
          <w:szCs w:val="26"/>
        </w:rPr>
        <w:lastRenderedPageBreak/>
        <w:t xml:space="preserve">potencial de causar afectaciones imprevistas y efectos perversos en su aplicación. Es decir, resulta </w:t>
      </w:r>
      <w:r w:rsidR="00744FB7" w:rsidRPr="00D82380">
        <w:rPr>
          <w:rFonts w:ascii="Arial" w:hAnsi="Arial" w:cs="Arial"/>
          <w:sz w:val="26"/>
          <w:szCs w:val="26"/>
        </w:rPr>
        <w:t>sobreinclusiva</w:t>
      </w:r>
      <w:r w:rsidRPr="00D82380">
        <w:rPr>
          <w:rFonts w:ascii="Arial" w:hAnsi="Arial" w:cs="Arial"/>
          <w:sz w:val="26"/>
          <w:szCs w:val="26"/>
        </w:rPr>
        <w:t xml:space="preserve">. Y </w:t>
      </w:r>
      <w:r w:rsidRPr="00D82380">
        <w:rPr>
          <w:rFonts w:ascii="Arial" w:hAnsi="Arial" w:cs="Arial"/>
          <w:b/>
          <w:bCs/>
          <w:sz w:val="26"/>
          <w:szCs w:val="26"/>
          <w:u w:val="single"/>
        </w:rPr>
        <w:t>no</w:t>
      </w:r>
      <w:r w:rsidRPr="00D82380">
        <w:rPr>
          <w:rFonts w:ascii="Arial" w:hAnsi="Arial" w:cs="Arial"/>
          <w:sz w:val="26"/>
          <w:szCs w:val="26"/>
        </w:rPr>
        <w:t xml:space="preserve"> es una cuestión que </w:t>
      </w:r>
      <w:r w:rsidRPr="00D82380">
        <w:rPr>
          <w:rFonts w:ascii="Arial" w:hAnsi="Arial" w:cs="Arial"/>
          <w:i/>
          <w:iCs/>
          <w:sz w:val="26"/>
          <w:szCs w:val="26"/>
        </w:rPr>
        <w:t>“derive de su aplicación”</w:t>
      </w:r>
      <w:r w:rsidR="00B2488B" w:rsidRPr="00D82380">
        <w:rPr>
          <w:rFonts w:ascii="Arial" w:hAnsi="Arial" w:cs="Arial"/>
          <w:sz w:val="26"/>
          <w:szCs w:val="26"/>
        </w:rPr>
        <w:t xml:space="preserve"> porque</w:t>
      </w:r>
      <w:r w:rsidRPr="00D82380">
        <w:rPr>
          <w:rFonts w:ascii="Arial" w:hAnsi="Arial" w:cs="Arial"/>
          <w:sz w:val="26"/>
          <w:szCs w:val="26"/>
        </w:rPr>
        <w:t xml:space="preserve"> </w:t>
      </w:r>
      <w:r w:rsidRPr="00D82380">
        <w:rPr>
          <w:rFonts w:ascii="Arial" w:hAnsi="Arial" w:cs="Arial"/>
          <w:sz w:val="26"/>
          <w:szCs w:val="26"/>
          <w:u w:val="single"/>
        </w:rPr>
        <w:t>no es el acto</w:t>
      </w:r>
      <w:r w:rsidRPr="00D82380">
        <w:rPr>
          <w:rFonts w:ascii="Arial" w:hAnsi="Arial" w:cs="Arial"/>
          <w:sz w:val="26"/>
          <w:szCs w:val="26"/>
        </w:rPr>
        <w:t xml:space="preserve"> lo que resulta inconstitucional,</w:t>
      </w:r>
      <w:r w:rsidR="00B2488B" w:rsidRPr="00D82380">
        <w:rPr>
          <w:rFonts w:ascii="Arial" w:hAnsi="Arial" w:cs="Arial"/>
          <w:sz w:val="26"/>
          <w:szCs w:val="26"/>
        </w:rPr>
        <w:t xml:space="preserve"> sino que</w:t>
      </w:r>
      <w:r w:rsidRPr="00D82380">
        <w:rPr>
          <w:rFonts w:ascii="Arial" w:hAnsi="Arial" w:cs="Arial"/>
          <w:sz w:val="26"/>
          <w:szCs w:val="26"/>
        </w:rPr>
        <w:t xml:space="preserve"> es </w:t>
      </w:r>
      <w:r w:rsidRPr="00D82380">
        <w:rPr>
          <w:rFonts w:ascii="Arial" w:hAnsi="Arial" w:cs="Arial"/>
          <w:sz w:val="26"/>
          <w:szCs w:val="26"/>
          <w:u w:val="single"/>
        </w:rPr>
        <w:t>la vaguedad de la norma</w:t>
      </w:r>
      <w:r w:rsidRPr="00D82380">
        <w:rPr>
          <w:rFonts w:ascii="Arial" w:hAnsi="Arial" w:cs="Arial"/>
          <w:sz w:val="26"/>
          <w:szCs w:val="26"/>
        </w:rPr>
        <w:t>, la permisión que entraña.</w:t>
      </w:r>
    </w:p>
    <w:p w14:paraId="7C393F6C" w14:textId="779CF815" w:rsidR="00D70175" w:rsidRPr="00D82380" w:rsidRDefault="006E4402" w:rsidP="00280ECA">
      <w:pPr>
        <w:spacing w:before="240" w:after="240" w:line="360" w:lineRule="auto"/>
        <w:jc w:val="both"/>
        <w:rPr>
          <w:rFonts w:ascii="Arial" w:hAnsi="Arial" w:cs="Arial"/>
          <w:sz w:val="26"/>
          <w:szCs w:val="26"/>
        </w:rPr>
      </w:pPr>
      <w:r w:rsidRPr="00D82380">
        <w:rPr>
          <w:rFonts w:ascii="Arial" w:hAnsi="Arial" w:cs="Arial"/>
          <w:sz w:val="26"/>
          <w:szCs w:val="26"/>
        </w:rPr>
        <w:t>Así, con una votación diferenciada en cuanto a cada uno de los puntos resolutivos, el proyecto que presenté se votó en sus términos, con excepción de lo considerado en torno al artículo 99 de la Ley de Migración, pues al respecto se alcanzó una mayoría de tres votos por su inconstitucionalidad</w:t>
      </w:r>
      <w:r w:rsidRPr="00D82380">
        <w:rPr>
          <w:rStyle w:val="Refdenotaalpie"/>
          <w:rFonts w:ascii="Arial" w:hAnsi="Arial" w:cs="Arial"/>
          <w:sz w:val="26"/>
          <w:szCs w:val="26"/>
        </w:rPr>
        <w:footnoteReference w:id="6"/>
      </w:r>
      <w:r w:rsidRPr="00D82380">
        <w:rPr>
          <w:rFonts w:ascii="Arial" w:hAnsi="Arial" w:cs="Arial"/>
          <w:sz w:val="26"/>
          <w:szCs w:val="26"/>
        </w:rPr>
        <w:t xml:space="preserve">. </w:t>
      </w:r>
      <w:r w:rsidR="0040168D" w:rsidRPr="00D82380">
        <w:rPr>
          <w:rFonts w:ascii="Arial" w:hAnsi="Arial" w:cs="Arial"/>
          <w:sz w:val="26"/>
          <w:szCs w:val="26"/>
        </w:rPr>
        <w:t>Este artículo dispone lo siguiente:</w:t>
      </w:r>
    </w:p>
    <w:p w14:paraId="79649797" w14:textId="77777777" w:rsidR="00460482" w:rsidRPr="00D82380" w:rsidRDefault="00460482" w:rsidP="00280ECA">
      <w:pPr>
        <w:spacing w:before="240" w:after="240" w:line="240" w:lineRule="auto"/>
        <w:ind w:left="567" w:right="618"/>
        <w:jc w:val="both"/>
        <w:rPr>
          <w:rFonts w:ascii="Times New Roman" w:hAnsi="Times New Roman" w:cs="Times New Roman"/>
          <w:sz w:val="26"/>
          <w:szCs w:val="26"/>
        </w:rPr>
      </w:pPr>
      <w:r w:rsidRPr="00D82380">
        <w:rPr>
          <w:rFonts w:ascii="Times New Roman" w:hAnsi="Times New Roman" w:cs="Times New Roman"/>
          <w:b/>
          <w:bCs/>
          <w:sz w:val="26"/>
          <w:szCs w:val="26"/>
        </w:rPr>
        <w:t>Artículo 99.</w:t>
      </w:r>
      <w:r w:rsidRPr="00D82380">
        <w:rPr>
          <w:rFonts w:ascii="Times New Roman" w:hAnsi="Times New Roman" w:cs="Times New Roman"/>
          <w:sz w:val="26"/>
          <w:szCs w:val="26"/>
        </w:rPr>
        <w:t xml:space="preserve"> Es de orden público la presentación de los extranjeros en estaciones migratorias o en lugares habilitados para ello, en tanto se determina su situación migratoria en territorio nacional.</w:t>
      </w:r>
    </w:p>
    <w:p w14:paraId="2318691A" w14:textId="77777777" w:rsidR="00460482" w:rsidRPr="00D82380" w:rsidRDefault="00460482" w:rsidP="00280ECA">
      <w:pPr>
        <w:spacing w:before="240" w:after="240" w:line="240" w:lineRule="auto"/>
        <w:ind w:left="567" w:right="618"/>
        <w:jc w:val="both"/>
        <w:rPr>
          <w:rFonts w:ascii="Times New Roman" w:hAnsi="Times New Roman" w:cs="Times New Roman"/>
          <w:sz w:val="26"/>
          <w:szCs w:val="26"/>
        </w:rPr>
      </w:pPr>
      <w:r w:rsidRPr="00D82380">
        <w:rPr>
          <w:rFonts w:ascii="Times New Roman" w:hAnsi="Times New Roman" w:cs="Times New Roman"/>
          <w:sz w:val="26"/>
          <w:szCs w:val="26"/>
        </w:rPr>
        <w:t>La presentación de extranjeros es la medida dictada por el Instituto mediante la cual se acuerda el alojamiento temporal de un extranjero que no acredita su situación migratoria para la regularización de su estancia o la asistencia para el retorno.</w:t>
      </w:r>
    </w:p>
    <w:p w14:paraId="3B010044" w14:textId="77777777" w:rsidR="009E76DF" w:rsidRPr="00D82380" w:rsidRDefault="009E76DF" w:rsidP="00280ECA">
      <w:pPr>
        <w:spacing w:before="240" w:after="240" w:line="360" w:lineRule="auto"/>
        <w:jc w:val="both"/>
        <w:rPr>
          <w:rFonts w:ascii="Arial" w:hAnsi="Arial" w:cs="Arial"/>
          <w:sz w:val="26"/>
          <w:szCs w:val="26"/>
        </w:rPr>
      </w:pPr>
    </w:p>
    <w:p w14:paraId="75265478" w14:textId="05C3948C" w:rsidR="00415930" w:rsidRPr="00D82380" w:rsidRDefault="00415930" w:rsidP="00D82380">
      <w:pPr>
        <w:spacing w:before="240" w:after="240" w:line="360" w:lineRule="auto"/>
        <w:jc w:val="right"/>
        <w:rPr>
          <w:rFonts w:ascii="Arial" w:hAnsi="Arial" w:cs="Arial"/>
          <w:b/>
          <w:bCs/>
          <w:sz w:val="26"/>
          <w:szCs w:val="26"/>
        </w:rPr>
      </w:pPr>
      <w:r w:rsidRPr="00D82380">
        <w:rPr>
          <w:rFonts w:ascii="Arial" w:hAnsi="Arial" w:cs="Arial"/>
          <w:b/>
          <w:bCs/>
          <w:sz w:val="26"/>
          <w:szCs w:val="26"/>
        </w:rPr>
        <w:t>Razones de</w:t>
      </w:r>
      <w:r w:rsidR="00D82380">
        <w:rPr>
          <w:rFonts w:ascii="Arial" w:hAnsi="Arial" w:cs="Arial"/>
          <w:b/>
          <w:bCs/>
          <w:sz w:val="26"/>
          <w:szCs w:val="26"/>
        </w:rPr>
        <w:t>l</w:t>
      </w:r>
      <w:r w:rsidRPr="00D82380">
        <w:rPr>
          <w:rFonts w:ascii="Arial" w:hAnsi="Arial" w:cs="Arial"/>
          <w:b/>
          <w:bCs/>
          <w:sz w:val="26"/>
          <w:szCs w:val="26"/>
        </w:rPr>
        <w:t xml:space="preserve"> disen</w:t>
      </w:r>
      <w:r w:rsidR="00D82380">
        <w:rPr>
          <w:rFonts w:ascii="Arial" w:hAnsi="Arial" w:cs="Arial"/>
          <w:b/>
          <w:bCs/>
          <w:sz w:val="26"/>
          <w:szCs w:val="26"/>
        </w:rPr>
        <w:t>so</w:t>
      </w:r>
      <w:r w:rsidRPr="00D82380">
        <w:rPr>
          <w:rFonts w:ascii="Arial" w:hAnsi="Arial" w:cs="Arial"/>
          <w:b/>
          <w:bCs/>
          <w:sz w:val="26"/>
          <w:szCs w:val="26"/>
        </w:rPr>
        <w:t xml:space="preserve"> </w:t>
      </w:r>
    </w:p>
    <w:p w14:paraId="5D9BDDEC" w14:textId="77777777" w:rsidR="00F24060" w:rsidRPr="00D82380" w:rsidRDefault="00F24060" w:rsidP="00F24060">
      <w:pPr>
        <w:spacing w:before="240" w:after="240" w:line="360" w:lineRule="auto"/>
        <w:jc w:val="both"/>
        <w:rPr>
          <w:rFonts w:ascii="Arial" w:hAnsi="Arial" w:cs="Arial"/>
          <w:sz w:val="26"/>
          <w:szCs w:val="26"/>
        </w:rPr>
      </w:pPr>
      <w:r w:rsidRPr="00D82380">
        <w:rPr>
          <w:rFonts w:ascii="Arial" w:hAnsi="Arial" w:cs="Arial"/>
          <w:sz w:val="26"/>
          <w:szCs w:val="26"/>
        </w:rPr>
        <w:t xml:space="preserve">La postura mayoritaria, reflejada finalmente en la ejecutoria, sostiene que el referido artículo 99 es inconstitucional al establecer el alojamiento en las estaciones migratorias como una regla general y no como una excepción, lo cual vulnera el parámetro de regularidad constitucional del derecho a la libertad personal. </w:t>
      </w:r>
    </w:p>
    <w:p w14:paraId="112FFFA1" w14:textId="30EB2654" w:rsidR="00E52211" w:rsidRPr="00D82380" w:rsidRDefault="003B5903" w:rsidP="00280ECA">
      <w:pPr>
        <w:spacing w:before="240" w:after="240" w:line="360" w:lineRule="auto"/>
        <w:jc w:val="both"/>
        <w:rPr>
          <w:rFonts w:ascii="Arial" w:hAnsi="Arial" w:cs="Arial"/>
          <w:sz w:val="26"/>
          <w:szCs w:val="26"/>
        </w:rPr>
      </w:pPr>
      <w:r w:rsidRPr="00D82380">
        <w:rPr>
          <w:rFonts w:ascii="Arial" w:hAnsi="Arial" w:cs="Arial"/>
          <w:sz w:val="26"/>
          <w:szCs w:val="26"/>
        </w:rPr>
        <w:t>Sin embargo, como adelanté,</w:t>
      </w:r>
      <w:r w:rsidR="00415930" w:rsidRPr="00D82380">
        <w:rPr>
          <w:rFonts w:ascii="Arial" w:hAnsi="Arial" w:cs="Arial"/>
          <w:sz w:val="26"/>
          <w:szCs w:val="26"/>
        </w:rPr>
        <w:t xml:space="preserve"> considero que, al declarar la inconstitucionalidad del artículo 99 de la Ley de Migración, la mayoría de la Sala desconoció que dicho precepto </w:t>
      </w:r>
      <w:r w:rsidR="003A36B6" w:rsidRPr="00D82380">
        <w:rPr>
          <w:rFonts w:ascii="Arial" w:hAnsi="Arial" w:cs="Arial"/>
          <w:sz w:val="26"/>
          <w:szCs w:val="26"/>
        </w:rPr>
        <w:t>forma parte de un sistema normativo</w:t>
      </w:r>
      <w:r w:rsidR="00C43306" w:rsidRPr="00D82380">
        <w:rPr>
          <w:rFonts w:ascii="Arial" w:hAnsi="Arial" w:cs="Arial"/>
          <w:sz w:val="26"/>
          <w:szCs w:val="26"/>
        </w:rPr>
        <w:t xml:space="preserve"> que regula la presentación y alojamiento en las estaciones migratorias y que se integra</w:t>
      </w:r>
      <w:r w:rsidR="00415930" w:rsidRPr="00D82380">
        <w:rPr>
          <w:rFonts w:ascii="Arial" w:hAnsi="Arial" w:cs="Arial"/>
          <w:sz w:val="26"/>
          <w:szCs w:val="26"/>
        </w:rPr>
        <w:t xml:space="preserve"> a su vez</w:t>
      </w:r>
      <w:r w:rsidR="00C43306" w:rsidRPr="00D82380">
        <w:rPr>
          <w:rFonts w:ascii="Arial" w:hAnsi="Arial" w:cs="Arial"/>
          <w:sz w:val="26"/>
          <w:szCs w:val="26"/>
        </w:rPr>
        <w:t xml:space="preserve"> por </w:t>
      </w:r>
      <w:r w:rsidR="00E52211" w:rsidRPr="00D82380">
        <w:rPr>
          <w:rFonts w:ascii="Arial" w:hAnsi="Arial" w:cs="Arial"/>
          <w:sz w:val="26"/>
          <w:szCs w:val="26"/>
        </w:rPr>
        <w:t xml:space="preserve">lo dispuesto en </w:t>
      </w:r>
      <w:r w:rsidR="00C43306" w:rsidRPr="00D82380">
        <w:rPr>
          <w:rFonts w:ascii="Arial" w:hAnsi="Arial" w:cs="Arial"/>
          <w:sz w:val="26"/>
          <w:szCs w:val="26"/>
        </w:rPr>
        <w:t>los</w:t>
      </w:r>
      <w:r w:rsidR="003A36B6" w:rsidRPr="00D82380">
        <w:rPr>
          <w:rFonts w:ascii="Arial" w:hAnsi="Arial" w:cs="Arial"/>
          <w:sz w:val="26"/>
          <w:szCs w:val="26"/>
        </w:rPr>
        <w:t xml:space="preserve"> artículo</w:t>
      </w:r>
      <w:r w:rsidR="00C43306" w:rsidRPr="00D82380">
        <w:rPr>
          <w:rFonts w:ascii="Arial" w:hAnsi="Arial" w:cs="Arial"/>
          <w:sz w:val="26"/>
          <w:szCs w:val="26"/>
        </w:rPr>
        <w:t>s</w:t>
      </w:r>
      <w:r w:rsidR="003A36B6" w:rsidRPr="00D82380">
        <w:rPr>
          <w:rFonts w:ascii="Arial" w:hAnsi="Arial" w:cs="Arial"/>
          <w:sz w:val="26"/>
          <w:szCs w:val="26"/>
        </w:rPr>
        <w:t xml:space="preserve"> 20, fracción VII, 100 y </w:t>
      </w:r>
      <w:r w:rsidR="003A36B6" w:rsidRPr="00D82380">
        <w:rPr>
          <w:rFonts w:ascii="Arial" w:hAnsi="Arial" w:cs="Arial"/>
          <w:sz w:val="26"/>
          <w:szCs w:val="26"/>
        </w:rPr>
        <w:lastRenderedPageBreak/>
        <w:t>121</w:t>
      </w:r>
      <w:r w:rsidR="00B07428" w:rsidRPr="00D82380">
        <w:rPr>
          <w:rStyle w:val="Refdenotaalpie"/>
          <w:rFonts w:ascii="Arial" w:hAnsi="Arial" w:cs="Arial"/>
          <w:sz w:val="26"/>
          <w:szCs w:val="26"/>
        </w:rPr>
        <w:footnoteReference w:id="7"/>
      </w:r>
      <w:r w:rsidR="003A36B6" w:rsidRPr="00D82380">
        <w:rPr>
          <w:rFonts w:ascii="Arial" w:hAnsi="Arial" w:cs="Arial"/>
          <w:sz w:val="26"/>
          <w:szCs w:val="26"/>
        </w:rPr>
        <w:t>, los cuale</w:t>
      </w:r>
      <w:r w:rsidR="00415930" w:rsidRPr="00D82380">
        <w:rPr>
          <w:rFonts w:ascii="Arial" w:hAnsi="Arial" w:cs="Arial"/>
          <w:sz w:val="26"/>
          <w:szCs w:val="26"/>
        </w:rPr>
        <w:t>s</w:t>
      </w:r>
      <w:r w:rsidR="003A36B6" w:rsidRPr="00D82380">
        <w:rPr>
          <w:rFonts w:ascii="Arial" w:hAnsi="Arial" w:cs="Arial"/>
          <w:sz w:val="26"/>
          <w:szCs w:val="26"/>
        </w:rPr>
        <w:t xml:space="preserve"> fueron impugnados por la quejosa</w:t>
      </w:r>
      <w:r w:rsidR="00415930" w:rsidRPr="00D82380">
        <w:rPr>
          <w:rFonts w:ascii="Arial" w:hAnsi="Arial" w:cs="Arial"/>
          <w:sz w:val="26"/>
          <w:szCs w:val="26"/>
        </w:rPr>
        <w:t xml:space="preserve"> y cuya constitucionalidad se reconoce en la ejecutoria.</w:t>
      </w:r>
    </w:p>
    <w:p w14:paraId="3593A871" w14:textId="00FD7A40" w:rsidR="00C43306" w:rsidRPr="00D82380" w:rsidRDefault="00B07428" w:rsidP="00280ECA">
      <w:pPr>
        <w:spacing w:before="240" w:after="240" w:line="360" w:lineRule="auto"/>
        <w:jc w:val="both"/>
        <w:rPr>
          <w:rFonts w:ascii="Arial" w:hAnsi="Arial" w:cs="Arial"/>
          <w:sz w:val="26"/>
          <w:szCs w:val="26"/>
        </w:rPr>
      </w:pPr>
      <w:r w:rsidRPr="00D82380">
        <w:rPr>
          <w:rFonts w:ascii="Arial" w:hAnsi="Arial" w:cs="Arial"/>
          <w:sz w:val="26"/>
          <w:szCs w:val="26"/>
        </w:rPr>
        <w:t>Lo anterior es relevante dado que al declararse la</w:t>
      </w:r>
      <w:r w:rsidR="00F33AF4" w:rsidRPr="00D82380">
        <w:rPr>
          <w:rFonts w:ascii="Arial" w:hAnsi="Arial" w:cs="Arial"/>
          <w:sz w:val="26"/>
          <w:szCs w:val="26"/>
        </w:rPr>
        <w:t xml:space="preserve"> inconstitucionalidad del artículo 99 y </w:t>
      </w:r>
      <w:r w:rsidRPr="00D82380">
        <w:rPr>
          <w:rFonts w:ascii="Arial" w:hAnsi="Arial" w:cs="Arial"/>
          <w:sz w:val="26"/>
          <w:szCs w:val="26"/>
        </w:rPr>
        <w:t>reconocerse la</w:t>
      </w:r>
      <w:r w:rsidR="00F33AF4" w:rsidRPr="00D82380">
        <w:rPr>
          <w:rFonts w:ascii="Arial" w:hAnsi="Arial" w:cs="Arial"/>
          <w:sz w:val="26"/>
          <w:szCs w:val="26"/>
        </w:rPr>
        <w:t xml:space="preserve"> validez de los otros</w:t>
      </w:r>
      <w:r w:rsidR="00E17F4F" w:rsidRPr="00D82380">
        <w:rPr>
          <w:rFonts w:ascii="Arial" w:hAnsi="Arial" w:cs="Arial"/>
          <w:sz w:val="26"/>
          <w:szCs w:val="26"/>
        </w:rPr>
        <w:t xml:space="preserve"> artículos impugnados</w:t>
      </w:r>
      <w:r w:rsidRPr="00D82380">
        <w:rPr>
          <w:rFonts w:ascii="Arial" w:hAnsi="Arial" w:cs="Arial"/>
          <w:sz w:val="26"/>
          <w:szCs w:val="26"/>
        </w:rPr>
        <w:t xml:space="preserve"> que regulan la misma figura</w:t>
      </w:r>
      <w:r w:rsidR="00585B9A" w:rsidRPr="00D82380">
        <w:rPr>
          <w:rFonts w:ascii="Arial" w:hAnsi="Arial" w:cs="Arial"/>
          <w:sz w:val="26"/>
          <w:szCs w:val="26"/>
        </w:rPr>
        <w:t xml:space="preserve"> </w:t>
      </w:r>
      <w:r w:rsidR="00F33AF4" w:rsidRPr="00D82380">
        <w:rPr>
          <w:rFonts w:ascii="Arial" w:hAnsi="Arial" w:cs="Arial"/>
          <w:sz w:val="26"/>
          <w:szCs w:val="26"/>
        </w:rPr>
        <w:t xml:space="preserve">se podría provocar </w:t>
      </w:r>
      <w:r w:rsidRPr="00D82380">
        <w:rPr>
          <w:rFonts w:ascii="Arial" w:hAnsi="Arial" w:cs="Arial"/>
          <w:sz w:val="26"/>
          <w:szCs w:val="26"/>
        </w:rPr>
        <w:t xml:space="preserve">un desajuste en el ordenamiento, con la consecuente </w:t>
      </w:r>
      <w:r w:rsidR="00F33AF4" w:rsidRPr="00D82380">
        <w:rPr>
          <w:rFonts w:ascii="Arial" w:hAnsi="Arial" w:cs="Arial"/>
          <w:sz w:val="26"/>
          <w:szCs w:val="26"/>
        </w:rPr>
        <w:t>inseguridad</w:t>
      </w:r>
      <w:r w:rsidR="00F12A19" w:rsidRPr="00D82380">
        <w:rPr>
          <w:rFonts w:ascii="Arial" w:hAnsi="Arial" w:cs="Arial"/>
          <w:sz w:val="26"/>
          <w:szCs w:val="26"/>
        </w:rPr>
        <w:t xml:space="preserve"> jurídica</w:t>
      </w:r>
      <w:r w:rsidR="00F33AF4" w:rsidRPr="00D82380">
        <w:rPr>
          <w:rFonts w:ascii="Arial" w:hAnsi="Arial" w:cs="Arial"/>
          <w:sz w:val="26"/>
          <w:szCs w:val="26"/>
        </w:rPr>
        <w:t xml:space="preserve"> </w:t>
      </w:r>
      <w:r w:rsidR="00F12A19" w:rsidRPr="00D82380">
        <w:rPr>
          <w:rFonts w:ascii="Arial" w:hAnsi="Arial" w:cs="Arial"/>
          <w:sz w:val="26"/>
          <w:szCs w:val="26"/>
        </w:rPr>
        <w:t xml:space="preserve">para las personas </w:t>
      </w:r>
      <w:r w:rsidR="00F33AF4" w:rsidRPr="00D82380">
        <w:rPr>
          <w:rFonts w:ascii="Arial" w:hAnsi="Arial" w:cs="Arial"/>
          <w:sz w:val="26"/>
          <w:szCs w:val="26"/>
        </w:rPr>
        <w:t>encargadas de su aplicación</w:t>
      </w:r>
      <w:r w:rsidRPr="00D82380">
        <w:rPr>
          <w:rFonts w:ascii="Arial" w:hAnsi="Arial" w:cs="Arial"/>
          <w:sz w:val="26"/>
          <w:szCs w:val="26"/>
        </w:rPr>
        <w:t xml:space="preserve">, </w:t>
      </w:r>
      <w:r w:rsidR="00F12A19" w:rsidRPr="00D82380">
        <w:rPr>
          <w:rFonts w:ascii="Arial" w:hAnsi="Arial" w:cs="Arial"/>
          <w:sz w:val="26"/>
          <w:szCs w:val="26"/>
        </w:rPr>
        <w:t xml:space="preserve">pero </w:t>
      </w:r>
      <w:r w:rsidR="00CA2D95" w:rsidRPr="00D82380">
        <w:rPr>
          <w:rFonts w:ascii="Arial" w:hAnsi="Arial" w:cs="Arial"/>
          <w:sz w:val="26"/>
          <w:szCs w:val="26"/>
        </w:rPr>
        <w:t>sobre todo</w:t>
      </w:r>
      <w:r w:rsidR="00F12A19" w:rsidRPr="00D82380">
        <w:rPr>
          <w:rFonts w:ascii="Arial" w:hAnsi="Arial" w:cs="Arial"/>
          <w:sz w:val="26"/>
          <w:szCs w:val="26"/>
        </w:rPr>
        <w:t xml:space="preserve"> para</w:t>
      </w:r>
      <w:r w:rsidRPr="00D82380">
        <w:rPr>
          <w:rFonts w:ascii="Arial" w:hAnsi="Arial" w:cs="Arial"/>
          <w:sz w:val="26"/>
          <w:szCs w:val="26"/>
        </w:rPr>
        <w:t xml:space="preserve"> las propias personas destinatarias de las normas</w:t>
      </w:r>
      <w:r w:rsidR="00F33AF4" w:rsidRPr="00D82380">
        <w:rPr>
          <w:rFonts w:ascii="Arial" w:hAnsi="Arial" w:cs="Arial"/>
          <w:sz w:val="26"/>
          <w:szCs w:val="26"/>
        </w:rPr>
        <w:t>.</w:t>
      </w:r>
    </w:p>
    <w:p w14:paraId="3F00FAA4" w14:textId="314C5BAD" w:rsidR="00350932" w:rsidRPr="00D82380" w:rsidRDefault="00F12A19"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Sin embargo, mi </w:t>
      </w:r>
      <w:r w:rsidRPr="00D82380">
        <w:rPr>
          <w:rFonts w:ascii="Arial" w:hAnsi="Arial" w:cs="Arial"/>
          <w:b/>
          <w:bCs/>
          <w:sz w:val="26"/>
          <w:szCs w:val="26"/>
        </w:rPr>
        <w:t>principal inconformidad</w:t>
      </w:r>
      <w:r w:rsidRPr="00D82380">
        <w:rPr>
          <w:rFonts w:ascii="Arial" w:hAnsi="Arial" w:cs="Arial"/>
          <w:sz w:val="26"/>
          <w:szCs w:val="26"/>
        </w:rPr>
        <w:t xml:space="preserve"> con la decisión mayoritaria </w:t>
      </w:r>
      <w:r w:rsidR="00350932" w:rsidRPr="00D82380">
        <w:rPr>
          <w:rFonts w:ascii="Arial" w:hAnsi="Arial" w:cs="Arial"/>
          <w:sz w:val="26"/>
          <w:szCs w:val="26"/>
        </w:rPr>
        <w:t xml:space="preserve">radica en que el análisis de inconstitucionalidad de la norma </w:t>
      </w:r>
      <w:r w:rsidR="00350932" w:rsidRPr="00D82380">
        <w:rPr>
          <w:rFonts w:ascii="Arial" w:hAnsi="Arial" w:cs="Arial"/>
          <w:b/>
          <w:bCs/>
          <w:sz w:val="26"/>
          <w:szCs w:val="26"/>
        </w:rPr>
        <w:t>excede la litis</w:t>
      </w:r>
      <w:r w:rsidR="00350932" w:rsidRPr="00D82380">
        <w:rPr>
          <w:rFonts w:ascii="Arial" w:hAnsi="Arial" w:cs="Arial"/>
          <w:sz w:val="26"/>
          <w:szCs w:val="26"/>
        </w:rPr>
        <w:t xml:space="preserve"> del presente asunto, toda vez que la parte quejosa no se inconformó expresamente con dicha cuestión, pues si bien señaló que se transgredía su derecho a la libertad, lo cierto es que lo hizo depender de que la detención migratoria no deriva de un delito y de que, a su parecer, la misma se sustenta en </w:t>
      </w:r>
      <w:r w:rsidR="00350932" w:rsidRPr="00D82380">
        <w:rPr>
          <w:rFonts w:ascii="Arial" w:hAnsi="Arial" w:cs="Arial"/>
          <w:b/>
          <w:bCs/>
          <w:sz w:val="26"/>
          <w:szCs w:val="26"/>
        </w:rPr>
        <w:t>estereotipos y prejuicios</w:t>
      </w:r>
      <w:r w:rsidR="00D349B9" w:rsidRPr="00D82380">
        <w:rPr>
          <w:rFonts w:ascii="Arial" w:hAnsi="Arial" w:cs="Arial"/>
          <w:sz w:val="26"/>
          <w:szCs w:val="26"/>
        </w:rPr>
        <w:t>.</w:t>
      </w:r>
      <w:r w:rsidR="00350932" w:rsidRPr="00D82380">
        <w:rPr>
          <w:rFonts w:ascii="Arial" w:hAnsi="Arial" w:cs="Arial"/>
          <w:sz w:val="26"/>
          <w:szCs w:val="26"/>
        </w:rPr>
        <w:t xml:space="preserve"> </w:t>
      </w:r>
      <w:r w:rsidR="00D349B9" w:rsidRPr="00D82380">
        <w:rPr>
          <w:rFonts w:ascii="Arial" w:hAnsi="Arial" w:cs="Arial"/>
          <w:sz w:val="26"/>
          <w:szCs w:val="26"/>
        </w:rPr>
        <w:t xml:space="preserve">Estas </w:t>
      </w:r>
      <w:r w:rsidR="00350932" w:rsidRPr="00D82380">
        <w:rPr>
          <w:rFonts w:ascii="Arial" w:hAnsi="Arial" w:cs="Arial"/>
          <w:sz w:val="26"/>
          <w:szCs w:val="26"/>
        </w:rPr>
        <w:t>cuestiones fueron debidamente abordadas en el proyecto que presenté bajo mi ponencia, al precisar que no se trata de una medida de carácter penal, sino administrativa que obliga a las autoridades competentes a la presentación de las personas extranjeras respetando en todo momento sus derechos humanos y que dicha presentación debe realizarse de forma razonable, previsible y proporcional, atendiendo a las circunstancias individualizadas de quienes se encuentren involucradas.</w:t>
      </w:r>
    </w:p>
    <w:p w14:paraId="7ED9FD75" w14:textId="121E5DB6" w:rsidR="00585B9A" w:rsidRPr="00D82380" w:rsidRDefault="00350932"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Además, </w:t>
      </w:r>
      <w:r w:rsidR="00682ADC" w:rsidRPr="00D82380">
        <w:rPr>
          <w:rFonts w:ascii="Arial" w:hAnsi="Arial" w:cs="Arial"/>
          <w:sz w:val="26"/>
          <w:szCs w:val="26"/>
        </w:rPr>
        <w:t xml:space="preserve">reitero que, </w:t>
      </w:r>
      <w:r w:rsidRPr="00D82380">
        <w:rPr>
          <w:rFonts w:ascii="Arial" w:hAnsi="Arial" w:cs="Arial"/>
          <w:sz w:val="26"/>
          <w:szCs w:val="26"/>
        </w:rPr>
        <w:t xml:space="preserve">de la lectura del citado </w:t>
      </w:r>
      <w:r w:rsidRPr="00D82380">
        <w:rPr>
          <w:rFonts w:ascii="Arial" w:hAnsi="Arial" w:cs="Arial"/>
          <w:b/>
          <w:bCs/>
          <w:sz w:val="26"/>
          <w:szCs w:val="26"/>
        </w:rPr>
        <w:t>artículo 99</w:t>
      </w:r>
      <w:r w:rsidR="00585B9A" w:rsidRPr="00D82380">
        <w:rPr>
          <w:rFonts w:ascii="Arial" w:hAnsi="Arial" w:cs="Arial"/>
          <w:sz w:val="26"/>
          <w:szCs w:val="26"/>
        </w:rPr>
        <w:t>, es posible</w:t>
      </w:r>
      <w:r w:rsidRPr="00D82380">
        <w:rPr>
          <w:rFonts w:ascii="Arial" w:hAnsi="Arial" w:cs="Arial"/>
          <w:sz w:val="26"/>
          <w:szCs w:val="26"/>
        </w:rPr>
        <w:t xml:space="preserve"> </w:t>
      </w:r>
      <w:r w:rsidR="00585B9A" w:rsidRPr="00D82380">
        <w:rPr>
          <w:rFonts w:ascii="Arial" w:hAnsi="Arial" w:cs="Arial"/>
          <w:sz w:val="26"/>
          <w:szCs w:val="26"/>
        </w:rPr>
        <w:t>advertir co</w:t>
      </w:r>
      <w:r w:rsidRPr="00D82380">
        <w:rPr>
          <w:rFonts w:ascii="Arial" w:hAnsi="Arial" w:cs="Arial"/>
          <w:sz w:val="26"/>
          <w:szCs w:val="26"/>
        </w:rPr>
        <w:t xml:space="preserve">n claridad que se encuentra </w:t>
      </w:r>
      <w:r w:rsidRPr="00D82380">
        <w:rPr>
          <w:rFonts w:ascii="Arial" w:hAnsi="Arial" w:cs="Arial"/>
          <w:b/>
          <w:bCs/>
          <w:sz w:val="26"/>
          <w:szCs w:val="26"/>
        </w:rPr>
        <w:t xml:space="preserve">dirigido </w:t>
      </w:r>
      <w:r w:rsidRPr="00D82380">
        <w:rPr>
          <w:rFonts w:ascii="Arial" w:hAnsi="Arial" w:cs="Arial"/>
          <w:b/>
          <w:bCs/>
          <w:sz w:val="26"/>
          <w:szCs w:val="26"/>
          <w:u w:val="single"/>
        </w:rPr>
        <w:t>exclusivamente a las personas extranjeras</w:t>
      </w:r>
      <w:r w:rsidR="00682ADC" w:rsidRPr="00D82380">
        <w:rPr>
          <w:rFonts w:ascii="Arial" w:hAnsi="Arial" w:cs="Arial"/>
          <w:sz w:val="26"/>
          <w:szCs w:val="26"/>
        </w:rPr>
        <w:t>, cosa contraria de los artículos cuya inconstitucionalidad propuse (</w:t>
      </w:r>
      <w:r w:rsidR="00037406" w:rsidRPr="00D82380">
        <w:rPr>
          <w:rFonts w:ascii="Arial" w:hAnsi="Arial" w:cs="Arial"/>
          <w:sz w:val="26"/>
          <w:szCs w:val="26"/>
        </w:rPr>
        <w:t>97 y 98). E</w:t>
      </w:r>
      <w:r w:rsidRPr="00D82380">
        <w:rPr>
          <w:rFonts w:ascii="Arial" w:hAnsi="Arial" w:cs="Arial"/>
          <w:sz w:val="26"/>
          <w:szCs w:val="26"/>
        </w:rPr>
        <w:t>s decir, la legislación migratoria no avala ni permite, en ninguna circunstancia, la presentación y alojamiento de personas mexicanas en estaciones migratorias</w:t>
      </w:r>
      <w:r w:rsidR="00585B9A" w:rsidRPr="00D82380">
        <w:rPr>
          <w:rFonts w:ascii="Arial" w:hAnsi="Arial" w:cs="Arial"/>
          <w:sz w:val="26"/>
          <w:szCs w:val="26"/>
        </w:rPr>
        <w:t xml:space="preserve">, de ahí que, como lo indiqué con anterioridad, la </w:t>
      </w:r>
      <w:r w:rsidR="00585B9A" w:rsidRPr="00D82380">
        <w:rPr>
          <w:rFonts w:ascii="Arial" w:hAnsi="Arial" w:cs="Arial"/>
          <w:sz w:val="26"/>
          <w:szCs w:val="26"/>
        </w:rPr>
        <w:lastRenderedPageBreak/>
        <w:t xml:space="preserve">declaratoria de inconstitucionalidad de dicho precepto </w:t>
      </w:r>
      <w:r w:rsidR="00585B9A" w:rsidRPr="00D82380">
        <w:rPr>
          <w:rFonts w:ascii="Arial" w:hAnsi="Arial" w:cs="Arial"/>
          <w:sz w:val="26"/>
          <w:szCs w:val="26"/>
          <w:u w:val="single"/>
        </w:rPr>
        <w:t>excede</w:t>
      </w:r>
      <w:r w:rsidR="00585B9A" w:rsidRPr="00D82380">
        <w:rPr>
          <w:rFonts w:ascii="Arial" w:hAnsi="Arial" w:cs="Arial"/>
          <w:sz w:val="26"/>
          <w:szCs w:val="26"/>
        </w:rPr>
        <w:t xml:space="preserve"> la litis del caso</w:t>
      </w:r>
      <w:r w:rsidR="00C708F6" w:rsidRPr="00D82380">
        <w:rPr>
          <w:rFonts w:ascii="Arial" w:hAnsi="Arial" w:cs="Arial"/>
          <w:sz w:val="26"/>
          <w:szCs w:val="26"/>
        </w:rPr>
        <w:t xml:space="preserve">, y condiciona el criterio de esta Primera Sala frente a algún caso futuro que </w:t>
      </w:r>
      <w:r w:rsidR="003D1539" w:rsidRPr="00D82380">
        <w:rPr>
          <w:rFonts w:ascii="Arial" w:hAnsi="Arial" w:cs="Arial"/>
          <w:sz w:val="26"/>
          <w:szCs w:val="26"/>
        </w:rPr>
        <w:t xml:space="preserve">esta vez </w:t>
      </w:r>
      <w:r w:rsidR="00C708F6" w:rsidRPr="00D82380">
        <w:rPr>
          <w:rFonts w:ascii="Arial" w:hAnsi="Arial" w:cs="Arial"/>
          <w:sz w:val="26"/>
          <w:szCs w:val="26"/>
        </w:rPr>
        <w:t>sí sea promovido por un extranjero y que requiera la mayor objetividad en el análisis de los planteamientos que en su momento se presenten</w:t>
      </w:r>
      <w:r w:rsidRPr="00D82380">
        <w:rPr>
          <w:rFonts w:ascii="Arial" w:hAnsi="Arial" w:cs="Arial"/>
          <w:sz w:val="26"/>
          <w:szCs w:val="26"/>
        </w:rPr>
        <w:t>.</w:t>
      </w:r>
    </w:p>
    <w:p w14:paraId="1B488E88" w14:textId="04D4F0CF" w:rsidR="00350932" w:rsidRPr="00D82380" w:rsidRDefault="00585B9A"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Afirmo lo anterior, </w:t>
      </w:r>
      <w:r w:rsidR="00350932" w:rsidRPr="00D82380">
        <w:rPr>
          <w:rFonts w:ascii="Arial" w:hAnsi="Arial" w:cs="Arial"/>
          <w:sz w:val="26"/>
          <w:szCs w:val="26"/>
        </w:rPr>
        <w:t xml:space="preserve">pues tal como se desprende de lo dispuesto en </w:t>
      </w:r>
      <w:r w:rsidRPr="00D82380">
        <w:rPr>
          <w:rFonts w:ascii="Arial" w:hAnsi="Arial" w:cs="Arial"/>
          <w:sz w:val="26"/>
          <w:szCs w:val="26"/>
        </w:rPr>
        <w:t>l</w:t>
      </w:r>
      <w:r w:rsidR="00391214" w:rsidRPr="00D82380">
        <w:rPr>
          <w:rFonts w:ascii="Arial" w:hAnsi="Arial" w:cs="Arial"/>
          <w:sz w:val="26"/>
          <w:szCs w:val="26"/>
        </w:rPr>
        <w:t>a ley impugnada</w:t>
      </w:r>
      <w:r w:rsidR="00350932" w:rsidRPr="00D82380">
        <w:rPr>
          <w:rFonts w:ascii="Arial" w:hAnsi="Arial" w:cs="Arial"/>
          <w:sz w:val="26"/>
          <w:szCs w:val="26"/>
        </w:rPr>
        <w:t xml:space="preserve">, el Instituto Nacional de Migración tiene como atribución presentar en las estaciones migratorias o en los lugares habilitados para tal fin a las </w:t>
      </w:r>
      <w:r w:rsidR="00350932" w:rsidRPr="00D82380">
        <w:rPr>
          <w:rFonts w:ascii="Arial" w:hAnsi="Arial" w:cs="Arial"/>
          <w:sz w:val="26"/>
          <w:szCs w:val="26"/>
          <w:u w:val="single"/>
        </w:rPr>
        <w:t>personas extranjeras</w:t>
      </w:r>
      <w:r w:rsidR="00350932" w:rsidRPr="00D82380">
        <w:rPr>
          <w:rFonts w:ascii="Arial" w:hAnsi="Arial" w:cs="Arial"/>
          <w:sz w:val="26"/>
          <w:szCs w:val="26"/>
        </w:rPr>
        <w:t xml:space="preserve"> que lo ameriten conforme a las disposiciones de la propia ley de migración (artículo 20, fracción VII).  </w:t>
      </w:r>
    </w:p>
    <w:p w14:paraId="4D269B37" w14:textId="75CF5AC3" w:rsidR="00350932" w:rsidRPr="00D82380" w:rsidRDefault="00350932"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En ese sentido, el alojamiento temporal de una </w:t>
      </w:r>
      <w:r w:rsidRPr="00D82380">
        <w:rPr>
          <w:rFonts w:ascii="Arial" w:hAnsi="Arial" w:cs="Arial"/>
          <w:sz w:val="26"/>
          <w:szCs w:val="26"/>
          <w:u w:val="single"/>
        </w:rPr>
        <w:t>persona extranjera</w:t>
      </w:r>
      <w:r w:rsidRPr="00D82380">
        <w:rPr>
          <w:rFonts w:ascii="Arial" w:hAnsi="Arial" w:cs="Arial"/>
          <w:sz w:val="26"/>
          <w:szCs w:val="26"/>
        </w:rPr>
        <w:t xml:space="preserve">, que no acredita su situación migratoria, se acuerda por medio de la </w:t>
      </w:r>
      <w:r w:rsidRPr="00D82380">
        <w:rPr>
          <w:rFonts w:ascii="Arial" w:hAnsi="Arial" w:cs="Arial"/>
          <w:sz w:val="26"/>
          <w:szCs w:val="26"/>
          <w:u w:val="single"/>
        </w:rPr>
        <w:t>presentación</w:t>
      </w:r>
      <w:r w:rsidRPr="00D82380">
        <w:rPr>
          <w:rFonts w:ascii="Arial" w:hAnsi="Arial" w:cs="Arial"/>
          <w:sz w:val="26"/>
          <w:szCs w:val="26"/>
        </w:rPr>
        <w:t xml:space="preserve">, la cual tiene por objeto resolver sobre la </w:t>
      </w:r>
      <w:r w:rsidRPr="00D82380">
        <w:rPr>
          <w:rFonts w:ascii="Arial" w:hAnsi="Arial" w:cs="Arial"/>
          <w:sz w:val="26"/>
          <w:szCs w:val="26"/>
          <w:u w:val="single"/>
        </w:rPr>
        <w:t>regularización de su estancia o la asistencia para el retorno</w:t>
      </w:r>
      <w:r w:rsidRPr="00D82380">
        <w:rPr>
          <w:rFonts w:ascii="Arial" w:hAnsi="Arial" w:cs="Arial"/>
          <w:sz w:val="26"/>
          <w:szCs w:val="26"/>
        </w:rPr>
        <w:t xml:space="preserve"> (artículo 99). Esta presentación se realiza en aquellos casos en que una persona extranjera es puesta a disposición del Instituto Nacional de Migración, derivado de diligencias de verificación o revisión migratoria (artículo 100). De esta manera, el Instituto Nacional de Migración cuenta con un plazo máximo de </w:t>
      </w:r>
      <w:r w:rsidR="00391214" w:rsidRPr="00D82380">
        <w:rPr>
          <w:rFonts w:ascii="Arial" w:hAnsi="Arial" w:cs="Arial"/>
          <w:sz w:val="26"/>
          <w:szCs w:val="26"/>
        </w:rPr>
        <w:t>quince</w:t>
      </w:r>
      <w:r w:rsidRPr="00D82380">
        <w:rPr>
          <w:rFonts w:ascii="Arial" w:hAnsi="Arial" w:cs="Arial"/>
          <w:sz w:val="26"/>
          <w:szCs w:val="26"/>
        </w:rPr>
        <w:t xml:space="preserve"> días hábiles (el cual se podrá ampliar en ciertos supuestos), contados a partir de su presentación, </w:t>
      </w:r>
      <w:r w:rsidRPr="00D82380">
        <w:rPr>
          <w:rFonts w:ascii="Arial" w:hAnsi="Arial" w:cs="Arial"/>
          <w:sz w:val="26"/>
          <w:szCs w:val="26"/>
          <w:u w:val="single"/>
        </w:rPr>
        <w:t>para resolver lo conducente respecto a la situación migratoria de la persona extranjera</w:t>
      </w:r>
      <w:r w:rsidRPr="00D82380">
        <w:rPr>
          <w:rFonts w:ascii="Arial" w:hAnsi="Arial" w:cs="Arial"/>
          <w:sz w:val="26"/>
          <w:szCs w:val="26"/>
        </w:rPr>
        <w:t xml:space="preserve"> (artículo 111). </w:t>
      </w:r>
    </w:p>
    <w:p w14:paraId="4B044336" w14:textId="7FA948B2" w:rsidR="00350932" w:rsidRPr="00D82380" w:rsidRDefault="00350932" w:rsidP="00280ECA">
      <w:pPr>
        <w:spacing w:before="240" w:after="240" w:line="360" w:lineRule="auto"/>
        <w:jc w:val="both"/>
        <w:rPr>
          <w:rFonts w:ascii="Arial" w:hAnsi="Arial" w:cs="Arial"/>
          <w:sz w:val="26"/>
          <w:szCs w:val="26"/>
        </w:rPr>
      </w:pPr>
      <w:r w:rsidRPr="00D82380">
        <w:rPr>
          <w:rFonts w:ascii="Arial" w:hAnsi="Arial" w:cs="Arial"/>
          <w:sz w:val="26"/>
          <w:szCs w:val="26"/>
        </w:rPr>
        <w:t>De lo relatado, es posible advertir con claridad que la legislación migratoria bajo análisis establece que l</w:t>
      </w:r>
      <w:r w:rsidRPr="00D82380">
        <w:rPr>
          <w:rFonts w:ascii="Arial" w:hAnsi="Arial" w:cs="Arial"/>
          <w:b/>
          <w:bCs/>
          <w:sz w:val="26"/>
          <w:szCs w:val="26"/>
        </w:rPr>
        <w:t>a presentación y alojamiento únicamente puede realizarse respecto de personas extranjeras</w:t>
      </w:r>
      <w:r w:rsidRPr="00D82380">
        <w:rPr>
          <w:rFonts w:ascii="Arial" w:hAnsi="Arial" w:cs="Arial"/>
          <w:sz w:val="26"/>
          <w:szCs w:val="26"/>
        </w:rPr>
        <w:t xml:space="preserve">, pues precisamente busca dos finalidades: 1) la regularización de su estancia, o 2) la asistencia para el retorno. </w:t>
      </w:r>
    </w:p>
    <w:p w14:paraId="183B0C10" w14:textId="5FEB67F6" w:rsidR="00350932" w:rsidRPr="00D82380" w:rsidRDefault="00350932" w:rsidP="00280ECA">
      <w:pPr>
        <w:spacing w:before="240" w:after="240" w:line="360" w:lineRule="auto"/>
        <w:jc w:val="both"/>
        <w:rPr>
          <w:rFonts w:ascii="Arial" w:hAnsi="Arial" w:cs="Arial"/>
          <w:sz w:val="26"/>
          <w:szCs w:val="26"/>
        </w:rPr>
      </w:pPr>
      <w:r w:rsidRPr="00D82380">
        <w:rPr>
          <w:rFonts w:ascii="Arial" w:hAnsi="Arial" w:cs="Arial"/>
          <w:sz w:val="26"/>
          <w:szCs w:val="26"/>
        </w:rPr>
        <w:t xml:space="preserve">Por lo tanto, si en el presente caso, las personas quejosas, quienes son indígenas mexicanas, fueron sujetas a un procedimiento migratorio que concluyó precisamente en su presentación y alojamiento en una estación </w:t>
      </w:r>
      <w:r w:rsidRPr="00D82380">
        <w:rPr>
          <w:rFonts w:ascii="Arial" w:hAnsi="Arial" w:cs="Arial"/>
          <w:sz w:val="26"/>
          <w:szCs w:val="26"/>
        </w:rPr>
        <w:lastRenderedPageBreak/>
        <w:t xml:space="preserve">migratoria, resulta claro que ello derivó de </w:t>
      </w:r>
      <w:r w:rsidRPr="00D82380">
        <w:rPr>
          <w:rFonts w:ascii="Arial" w:hAnsi="Arial" w:cs="Arial"/>
          <w:b/>
          <w:bCs/>
          <w:sz w:val="26"/>
          <w:szCs w:val="26"/>
        </w:rPr>
        <w:t xml:space="preserve">un actuar ilegal </w:t>
      </w:r>
      <w:r w:rsidRPr="00D82380">
        <w:rPr>
          <w:rFonts w:ascii="Arial" w:hAnsi="Arial" w:cs="Arial"/>
          <w:sz w:val="26"/>
          <w:szCs w:val="26"/>
        </w:rPr>
        <w:t xml:space="preserve">de las autoridades que realizaron la revisión migratoria, </w:t>
      </w:r>
      <w:r w:rsidR="00E10194" w:rsidRPr="00D82380">
        <w:rPr>
          <w:rFonts w:ascii="Arial" w:hAnsi="Arial" w:cs="Arial"/>
          <w:sz w:val="26"/>
          <w:szCs w:val="26"/>
        </w:rPr>
        <w:t>amparado</w:t>
      </w:r>
      <w:r w:rsidR="00A7068C" w:rsidRPr="00D82380">
        <w:rPr>
          <w:rFonts w:ascii="Arial" w:hAnsi="Arial" w:cs="Arial"/>
          <w:sz w:val="26"/>
          <w:szCs w:val="26"/>
        </w:rPr>
        <w:t xml:space="preserve"> por un par de </w:t>
      </w:r>
      <w:r w:rsidR="00E10194" w:rsidRPr="00D82380">
        <w:rPr>
          <w:rFonts w:ascii="Arial" w:hAnsi="Arial" w:cs="Arial"/>
          <w:sz w:val="26"/>
          <w:szCs w:val="26"/>
        </w:rPr>
        <w:t>artículos</w:t>
      </w:r>
      <w:r w:rsidR="00A7068C" w:rsidRPr="00D82380">
        <w:rPr>
          <w:rFonts w:ascii="Arial" w:hAnsi="Arial" w:cs="Arial"/>
          <w:sz w:val="26"/>
          <w:szCs w:val="26"/>
        </w:rPr>
        <w:t xml:space="preserve"> (97 y 98</w:t>
      </w:r>
      <w:r w:rsidR="00E10194" w:rsidRPr="00D82380">
        <w:rPr>
          <w:rFonts w:ascii="Arial" w:hAnsi="Arial" w:cs="Arial"/>
          <w:sz w:val="26"/>
          <w:szCs w:val="26"/>
        </w:rPr>
        <w:t>) que permiten sustentarse</w:t>
      </w:r>
      <w:r w:rsidRPr="00D82380">
        <w:rPr>
          <w:rFonts w:ascii="Arial" w:hAnsi="Arial" w:cs="Arial"/>
          <w:sz w:val="26"/>
          <w:szCs w:val="26"/>
        </w:rPr>
        <w:t xml:space="preserve"> en </w:t>
      </w:r>
      <w:r w:rsidRPr="00D82380">
        <w:rPr>
          <w:rFonts w:ascii="Arial" w:hAnsi="Arial" w:cs="Arial"/>
          <w:b/>
          <w:bCs/>
          <w:sz w:val="26"/>
          <w:szCs w:val="26"/>
        </w:rPr>
        <w:t>perfiles raciales</w:t>
      </w:r>
      <w:r w:rsidRPr="00D82380">
        <w:rPr>
          <w:rFonts w:ascii="Arial" w:hAnsi="Arial" w:cs="Arial"/>
          <w:sz w:val="26"/>
          <w:szCs w:val="26"/>
        </w:rPr>
        <w:t xml:space="preserve"> </w:t>
      </w:r>
      <w:r w:rsidR="00E10194" w:rsidRPr="00D82380">
        <w:rPr>
          <w:rFonts w:ascii="Arial" w:hAnsi="Arial" w:cs="Arial"/>
          <w:sz w:val="26"/>
          <w:szCs w:val="26"/>
        </w:rPr>
        <w:t>y derivar de ahí</w:t>
      </w:r>
      <w:r w:rsidRPr="00D82380">
        <w:rPr>
          <w:rFonts w:ascii="Arial" w:hAnsi="Arial" w:cs="Arial"/>
          <w:sz w:val="26"/>
          <w:szCs w:val="26"/>
        </w:rPr>
        <w:t xml:space="preserve"> la detención de las quejosas bajo el argumento de que eran personas guatemaltecas.</w:t>
      </w:r>
    </w:p>
    <w:p w14:paraId="422CFB15" w14:textId="7196E173" w:rsidR="00391214" w:rsidRPr="00D82380" w:rsidRDefault="00350932" w:rsidP="00280ECA">
      <w:pPr>
        <w:spacing w:before="240" w:after="240" w:line="360" w:lineRule="auto"/>
        <w:jc w:val="both"/>
        <w:rPr>
          <w:rFonts w:ascii="Arial" w:hAnsi="Arial" w:cs="Arial"/>
          <w:sz w:val="26"/>
          <w:szCs w:val="26"/>
        </w:rPr>
      </w:pPr>
      <w:r w:rsidRPr="00D82380">
        <w:rPr>
          <w:rFonts w:ascii="Arial" w:hAnsi="Arial" w:cs="Arial"/>
          <w:sz w:val="26"/>
          <w:szCs w:val="26"/>
        </w:rPr>
        <w:t>Las anteriores razones imp</w:t>
      </w:r>
      <w:r w:rsidR="00391214" w:rsidRPr="00D82380">
        <w:rPr>
          <w:rFonts w:ascii="Arial" w:hAnsi="Arial" w:cs="Arial"/>
          <w:sz w:val="26"/>
          <w:szCs w:val="26"/>
        </w:rPr>
        <w:t xml:space="preserve">edían, a mi parecer, que </w:t>
      </w:r>
      <w:r w:rsidRPr="00D82380">
        <w:rPr>
          <w:rFonts w:ascii="Arial" w:hAnsi="Arial" w:cs="Arial"/>
          <w:sz w:val="26"/>
          <w:szCs w:val="26"/>
        </w:rPr>
        <w:t xml:space="preserve">esta Suprema Corte </w:t>
      </w:r>
      <w:r w:rsidR="00391214" w:rsidRPr="00D82380">
        <w:rPr>
          <w:rFonts w:ascii="Arial" w:hAnsi="Arial" w:cs="Arial"/>
          <w:sz w:val="26"/>
          <w:szCs w:val="26"/>
        </w:rPr>
        <w:t xml:space="preserve">se </w:t>
      </w:r>
      <w:r w:rsidRPr="00D82380">
        <w:rPr>
          <w:rFonts w:ascii="Arial" w:hAnsi="Arial" w:cs="Arial"/>
          <w:sz w:val="26"/>
          <w:szCs w:val="26"/>
        </w:rPr>
        <w:t>pronunciar</w:t>
      </w:r>
      <w:r w:rsidR="00391214" w:rsidRPr="00D82380">
        <w:rPr>
          <w:rFonts w:ascii="Arial" w:hAnsi="Arial" w:cs="Arial"/>
          <w:sz w:val="26"/>
          <w:szCs w:val="26"/>
        </w:rPr>
        <w:t>a sobre la inconstitucionalidad del artículo 99 de la Ley de Migración</w:t>
      </w:r>
      <w:r w:rsidR="00CA2D95" w:rsidRPr="00D82380">
        <w:rPr>
          <w:rFonts w:ascii="Arial" w:hAnsi="Arial" w:cs="Arial"/>
          <w:sz w:val="26"/>
          <w:szCs w:val="26"/>
        </w:rPr>
        <w:t xml:space="preserve"> bajo el argumento de que</w:t>
      </w:r>
      <w:r w:rsidR="00391214" w:rsidRPr="00D82380">
        <w:rPr>
          <w:rFonts w:ascii="Arial" w:hAnsi="Arial" w:cs="Arial"/>
          <w:sz w:val="26"/>
          <w:szCs w:val="26"/>
        </w:rPr>
        <w:t xml:space="preserve"> establece</w:t>
      </w:r>
      <w:r w:rsidR="00CA2D95" w:rsidRPr="00D82380">
        <w:rPr>
          <w:rFonts w:ascii="Arial" w:hAnsi="Arial" w:cs="Arial"/>
          <w:sz w:val="26"/>
          <w:szCs w:val="26"/>
        </w:rPr>
        <w:t xml:space="preserve"> a</w:t>
      </w:r>
      <w:r w:rsidR="00391214" w:rsidRPr="00D82380">
        <w:rPr>
          <w:rFonts w:ascii="Arial" w:hAnsi="Arial" w:cs="Arial"/>
          <w:sz w:val="26"/>
          <w:szCs w:val="26"/>
        </w:rPr>
        <w:t xml:space="preserve"> la presentación y </w:t>
      </w:r>
      <w:r w:rsidR="00AB48D0" w:rsidRPr="00D82380">
        <w:rPr>
          <w:rFonts w:ascii="Arial" w:hAnsi="Arial" w:cs="Arial"/>
          <w:sz w:val="26"/>
          <w:szCs w:val="26"/>
        </w:rPr>
        <w:t>e</w:t>
      </w:r>
      <w:r w:rsidR="00CA2D95" w:rsidRPr="00D82380">
        <w:rPr>
          <w:rFonts w:ascii="Arial" w:hAnsi="Arial" w:cs="Arial"/>
          <w:sz w:val="26"/>
          <w:szCs w:val="26"/>
        </w:rPr>
        <w:t xml:space="preserve">l </w:t>
      </w:r>
      <w:r w:rsidR="00391214" w:rsidRPr="00D82380">
        <w:rPr>
          <w:rFonts w:ascii="Arial" w:hAnsi="Arial" w:cs="Arial"/>
          <w:sz w:val="26"/>
          <w:szCs w:val="26"/>
        </w:rPr>
        <w:t>alojamiento en</w:t>
      </w:r>
      <w:r w:rsidR="00CA2D95" w:rsidRPr="00D82380">
        <w:rPr>
          <w:rFonts w:ascii="Arial" w:hAnsi="Arial" w:cs="Arial"/>
          <w:sz w:val="26"/>
          <w:szCs w:val="26"/>
        </w:rPr>
        <w:t xml:space="preserve"> las</w:t>
      </w:r>
      <w:r w:rsidR="00391214" w:rsidRPr="00D82380">
        <w:rPr>
          <w:rFonts w:ascii="Arial" w:hAnsi="Arial" w:cs="Arial"/>
          <w:sz w:val="26"/>
          <w:szCs w:val="26"/>
        </w:rPr>
        <w:t xml:space="preserve"> estaciones migratorias como una regla general, pues en todo caso dicho aspecto no está relacionado de manera directa con las quejosas, quienes</w:t>
      </w:r>
      <w:r w:rsidR="00CA2D95" w:rsidRPr="00D82380">
        <w:rPr>
          <w:rFonts w:ascii="Arial" w:hAnsi="Arial" w:cs="Arial"/>
          <w:sz w:val="26"/>
          <w:szCs w:val="26"/>
        </w:rPr>
        <w:t>,</w:t>
      </w:r>
      <w:r w:rsidR="00391214" w:rsidRPr="00D82380">
        <w:rPr>
          <w:rFonts w:ascii="Arial" w:hAnsi="Arial" w:cs="Arial"/>
          <w:sz w:val="26"/>
          <w:szCs w:val="26"/>
        </w:rPr>
        <w:t xml:space="preserve"> reitero</w:t>
      </w:r>
      <w:r w:rsidR="00CA2D95" w:rsidRPr="00D82380">
        <w:rPr>
          <w:rFonts w:ascii="Arial" w:hAnsi="Arial" w:cs="Arial"/>
          <w:sz w:val="26"/>
          <w:szCs w:val="26"/>
        </w:rPr>
        <w:t xml:space="preserve">, </w:t>
      </w:r>
      <w:r w:rsidR="00391214" w:rsidRPr="00D82380">
        <w:rPr>
          <w:rFonts w:ascii="Arial" w:hAnsi="Arial" w:cs="Arial"/>
          <w:sz w:val="26"/>
          <w:szCs w:val="26"/>
        </w:rPr>
        <w:t>son personas indígenas mexicanas</w:t>
      </w:r>
      <w:r w:rsidR="00CA2D95" w:rsidRPr="00D82380">
        <w:rPr>
          <w:rFonts w:ascii="Arial" w:hAnsi="Arial" w:cs="Arial"/>
          <w:sz w:val="26"/>
          <w:szCs w:val="26"/>
        </w:rPr>
        <w:t xml:space="preserve"> y no </w:t>
      </w:r>
      <w:r w:rsidR="00391214" w:rsidRPr="00D82380">
        <w:rPr>
          <w:rFonts w:ascii="Arial" w:hAnsi="Arial" w:cs="Arial"/>
          <w:sz w:val="26"/>
          <w:szCs w:val="26"/>
        </w:rPr>
        <w:t>extranjeras</w:t>
      </w:r>
      <w:r w:rsidR="00FB3ED1" w:rsidRPr="00D82380">
        <w:rPr>
          <w:rFonts w:ascii="Arial" w:hAnsi="Arial" w:cs="Arial"/>
          <w:sz w:val="26"/>
          <w:szCs w:val="26"/>
        </w:rPr>
        <w:t>.</w:t>
      </w:r>
    </w:p>
    <w:p w14:paraId="69544CA3" w14:textId="5AE0CF8B" w:rsidR="00D358A7" w:rsidRPr="00D82380" w:rsidRDefault="004C3477" w:rsidP="00280ECA">
      <w:pPr>
        <w:spacing w:before="240" w:after="240" w:line="360" w:lineRule="auto"/>
        <w:jc w:val="both"/>
        <w:rPr>
          <w:rFonts w:ascii="Arial" w:hAnsi="Arial" w:cs="Arial"/>
          <w:sz w:val="26"/>
          <w:szCs w:val="26"/>
        </w:rPr>
      </w:pPr>
      <w:r w:rsidRPr="00D82380">
        <w:rPr>
          <w:rFonts w:ascii="Arial" w:hAnsi="Arial" w:cs="Arial"/>
          <w:sz w:val="26"/>
          <w:szCs w:val="26"/>
        </w:rPr>
        <w:t>Además,</w:t>
      </w:r>
      <w:r w:rsidR="00D526AA" w:rsidRPr="00D82380">
        <w:rPr>
          <w:rFonts w:ascii="Arial" w:hAnsi="Arial" w:cs="Arial"/>
          <w:sz w:val="26"/>
          <w:szCs w:val="26"/>
        </w:rPr>
        <w:t xml:space="preserve"> el </w:t>
      </w:r>
      <w:r w:rsidR="00BF1779" w:rsidRPr="00D82380">
        <w:rPr>
          <w:rFonts w:ascii="Arial" w:hAnsi="Arial" w:cs="Arial"/>
          <w:sz w:val="26"/>
          <w:szCs w:val="26"/>
        </w:rPr>
        <w:t>análisis de constitucionalidad de este artículo</w:t>
      </w:r>
      <w:r w:rsidR="00D358A7" w:rsidRPr="00D82380">
        <w:rPr>
          <w:rFonts w:ascii="Arial" w:hAnsi="Arial" w:cs="Arial"/>
          <w:sz w:val="26"/>
          <w:szCs w:val="26"/>
        </w:rPr>
        <w:t xml:space="preserve"> 99</w:t>
      </w:r>
      <w:r w:rsidR="0027332C" w:rsidRPr="00D82380">
        <w:rPr>
          <w:rFonts w:ascii="Arial" w:hAnsi="Arial" w:cs="Arial"/>
          <w:sz w:val="26"/>
          <w:szCs w:val="26"/>
        </w:rPr>
        <w:t>,</w:t>
      </w:r>
      <w:r w:rsidR="00BF1779" w:rsidRPr="00D82380">
        <w:rPr>
          <w:rFonts w:ascii="Arial" w:hAnsi="Arial" w:cs="Arial"/>
          <w:sz w:val="26"/>
          <w:szCs w:val="26"/>
        </w:rPr>
        <w:t xml:space="preserve"> a la luz de los argumentos expuestos por la mayoría</w:t>
      </w:r>
      <w:r w:rsidR="0027332C" w:rsidRPr="00D82380">
        <w:rPr>
          <w:rFonts w:ascii="Arial" w:hAnsi="Arial" w:cs="Arial"/>
          <w:sz w:val="26"/>
          <w:szCs w:val="26"/>
        </w:rPr>
        <w:t xml:space="preserve">, </w:t>
      </w:r>
      <w:r w:rsidR="00BF1779" w:rsidRPr="00D82380">
        <w:rPr>
          <w:rFonts w:ascii="Arial" w:hAnsi="Arial" w:cs="Arial"/>
          <w:sz w:val="26"/>
          <w:szCs w:val="26"/>
        </w:rPr>
        <w:t>excede la materia del recurso en su vertiente tutelar, en tanto que no tendr</w:t>
      </w:r>
      <w:r w:rsidR="00FB3ED1" w:rsidRPr="00D82380">
        <w:rPr>
          <w:rFonts w:ascii="Arial" w:hAnsi="Arial" w:cs="Arial"/>
          <w:sz w:val="26"/>
          <w:szCs w:val="26"/>
        </w:rPr>
        <w:t>á</w:t>
      </w:r>
      <w:r w:rsidR="00BF1779" w:rsidRPr="00D82380">
        <w:rPr>
          <w:rFonts w:ascii="Arial" w:hAnsi="Arial" w:cs="Arial"/>
          <w:sz w:val="26"/>
          <w:szCs w:val="26"/>
        </w:rPr>
        <w:t xml:space="preserve"> ningún impacto benéfico en la esfera</w:t>
      </w:r>
      <w:r w:rsidR="00AB26B6" w:rsidRPr="00D82380">
        <w:rPr>
          <w:rFonts w:ascii="Arial" w:hAnsi="Arial" w:cs="Arial"/>
          <w:sz w:val="26"/>
          <w:szCs w:val="26"/>
        </w:rPr>
        <w:t xml:space="preserve"> jurídica</w:t>
      </w:r>
      <w:r w:rsidR="00BF1779" w:rsidRPr="00D82380">
        <w:rPr>
          <w:rFonts w:ascii="Arial" w:hAnsi="Arial" w:cs="Arial"/>
          <w:sz w:val="26"/>
          <w:szCs w:val="26"/>
        </w:rPr>
        <w:t xml:space="preserve"> de las personas quejosas, pues de la lectura literal del precepto es posible advertir que </w:t>
      </w:r>
      <w:r w:rsidR="00FB3ED1" w:rsidRPr="00D82380">
        <w:rPr>
          <w:rFonts w:ascii="Arial" w:hAnsi="Arial" w:cs="Arial"/>
          <w:sz w:val="26"/>
          <w:szCs w:val="26"/>
        </w:rPr>
        <w:t xml:space="preserve">la norma </w:t>
      </w:r>
      <w:r w:rsidR="00BF1779" w:rsidRPr="00D82380">
        <w:rPr>
          <w:rFonts w:ascii="Arial" w:hAnsi="Arial" w:cs="Arial"/>
          <w:sz w:val="26"/>
          <w:szCs w:val="26"/>
        </w:rPr>
        <w:t>está dirigida a personas extranjeras</w:t>
      </w:r>
      <w:r w:rsidR="00D526AA" w:rsidRPr="00D82380">
        <w:rPr>
          <w:rFonts w:ascii="Arial" w:hAnsi="Arial" w:cs="Arial"/>
          <w:sz w:val="26"/>
          <w:szCs w:val="26"/>
        </w:rPr>
        <w:t xml:space="preserve"> </w:t>
      </w:r>
      <w:r w:rsidR="00BF1779" w:rsidRPr="00D82380">
        <w:rPr>
          <w:rFonts w:ascii="Arial" w:hAnsi="Arial" w:cs="Arial"/>
          <w:sz w:val="26"/>
          <w:szCs w:val="26"/>
        </w:rPr>
        <w:t>y no a mexicanas.</w:t>
      </w:r>
    </w:p>
    <w:p w14:paraId="5786C031" w14:textId="77777777" w:rsidR="00E77509" w:rsidRPr="00D82380" w:rsidRDefault="00BF1779" w:rsidP="00280ECA">
      <w:pPr>
        <w:spacing w:before="240" w:after="240" w:line="360" w:lineRule="auto"/>
        <w:jc w:val="both"/>
        <w:rPr>
          <w:rFonts w:ascii="Arial" w:hAnsi="Arial" w:cs="Arial"/>
          <w:sz w:val="26"/>
          <w:szCs w:val="26"/>
        </w:rPr>
      </w:pPr>
      <w:r w:rsidRPr="00D82380">
        <w:rPr>
          <w:rFonts w:ascii="Arial" w:hAnsi="Arial" w:cs="Arial"/>
          <w:sz w:val="26"/>
          <w:szCs w:val="26"/>
        </w:rPr>
        <w:t>Por ende, considero que la declaratoria de inconstitucionalidad de las revisiones migratorias</w:t>
      </w:r>
      <w:r w:rsidR="00FB3ED1" w:rsidRPr="00D82380">
        <w:rPr>
          <w:rFonts w:ascii="Arial" w:hAnsi="Arial" w:cs="Arial"/>
          <w:sz w:val="26"/>
          <w:szCs w:val="26"/>
        </w:rPr>
        <w:t xml:space="preserve"> que se hace en la ejecutoria (</w:t>
      </w:r>
      <w:r w:rsidR="00CC1A5D" w:rsidRPr="00D82380">
        <w:rPr>
          <w:rFonts w:ascii="Arial" w:hAnsi="Arial" w:cs="Arial"/>
          <w:sz w:val="26"/>
          <w:szCs w:val="26"/>
        </w:rPr>
        <w:t>sobre la base d</w:t>
      </w:r>
      <w:r w:rsidR="00FB3ED1" w:rsidRPr="00D82380">
        <w:rPr>
          <w:rFonts w:ascii="Arial" w:hAnsi="Arial" w:cs="Arial"/>
          <w:sz w:val="26"/>
          <w:szCs w:val="26"/>
        </w:rPr>
        <w:t>e</w:t>
      </w:r>
      <w:r w:rsidR="00CC1A5D" w:rsidRPr="00D82380">
        <w:rPr>
          <w:rFonts w:ascii="Arial" w:hAnsi="Arial" w:cs="Arial"/>
          <w:sz w:val="26"/>
          <w:szCs w:val="26"/>
        </w:rPr>
        <w:t xml:space="preserve"> que</w:t>
      </w:r>
      <w:r w:rsidR="00FB3ED1" w:rsidRPr="00D82380">
        <w:rPr>
          <w:rFonts w:ascii="Arial" w:hAnsi="Arial" w:cs="Arial"/>
          <w:sz w:val="26"/>
          <w:szCs w:val="26"/>
        </w:rPr>
        <w:t xml:space="preserve"> la amplitud de </w:t>
      </w:r>
      <w:r w:rsidR="00AB26B6" w:rsidRPr="00D82380">
        <w:rPr>
          <w:rFonts w:ascii="Arial" w:hAnsi="Arial" w:cs="Arial"/>
          <w:sz w:val="26"/>
          <w:szCs w:val="26"/>
        </w:rPr>
        <w:t>es</w:t>
      </w:r>
      <w:r w:rsidR="00FB3ED1" w:rsidRPr="00D82380">
        <w:rPr>
          <w:rFonts w:ascii="Arial" w:hAnsi="Arial" w:cs="Arial"/>
          <w:sz w:val="26"/>
          <w:szCs w:val="26"/>
        </w:rPr>
        <w:t>a figura permite atender a perfiles raciales)</w:t>
      </w:r>
      <w:r w:rsidRPr="00D82380">
        <w:rPr>
          <w:rFonts w:ascii="Arial" w:hAnsi="Arial" w:cs="Arial"/>
          <w:sz w:val="26"/>
          <w:szCs w:val="26"/>
        </w:rPr>
        <w:t xml:space="preserve">, </w:t>
      </w:r>
      <w:r w:rsidR="00FB3ED1" w:rsidRPr="00D82380">
        <w:rPr>
          <w:rFonts w:ascii="Arial" w:hAnsi="Arial" w:cs="Arial"/>
          <w:sz w:val="26"/>
          <w:szCs w:val="26"/>
        </w:rPr>
        <w:t xml:space="preserve">resultaba suficiente para evitar que </w:t>
      </w:r>
      <w:r w:rsidRPr="00D82380">
        <w:rPr>
          <w:rFonts w:ascii="Arial" w:hAnsi="Arial" w:cs="Arial"/>
          <w:sz w:val="26"/>
          <w:szCs w:val="26"/>
        </w:rPr>
        <w:t>las quejosas</w:t>
      </w:r>
      <w:r w:rsidR="00FB3ED1" w:rsidRPr="00D82380">
        <w:rPr>
          <w:rFonts w:ascii="Arial" w:hAnsi="Arial" w:cs="Arial"/>
          <w:sz w:val="26"/>
          <w:szCs w:val="26"/>
        </w:rPr>
        <w:t xml:space="preserve"> se vean</w:t>
      </w:r>
      <w:r w:rsidRPr="00D82380">
        <w:rPr>
          <w:rFonts w:ascii="Arial" w:hAnsi="Arial" w:cs="Arial"/>
          <w:sz w:val="26"/>
          <w:szCs w:val="26"/>
        </w:rPr>
        <w:t xml:space="preserve"> afectadas por</w:t>
      </w:r>
      <w:r w:rsidR="00FB3ED1" w:rsidRPr="00D82380">
        <w:rPr>
          <w:rFonts w:ascii="Arial" w:hAnsi="Arial" w:cs="Arial"/>
          <w:sz w:val="26"/>
          <w:szCs w:val="26"/>
        </w:rPr>
        <w:t xml:space="preserve"> una </w:t>
      </w:r>
      <w:r w:rsidR="00FB3ED1" w:rsidRPr="00D82380">
        <w:rPr>
          <w:rFonts w:ascii="Arial" w:hAnsi="Arial" w:cs="Arial"/>
          <w:i/>
          <w:iCs/>
          <w:sz w:val="26"/>
          <w:szCs w:val="26"/>
          <w:u w:val="single"/>
        </w:rPr>
        <w:t>incorrecta aplicación</w:t>
      </w:r>
      <w:r w:rsidR="00FB3ED1" w:rsidRPr="00D82380">
        <w:rPr>
          <w:rFonts w:ascii="Arial" w:hAnsi="Arial" w:cs="Arial"/>
          <w:sz w:val="26"/>
          <w:szCs w:val="26"/>
        </w:rPr>
        <w:t xml:space="preserve"> de</w:t>
      </w:r>
      <w:r w:rsidRPr="00D82380">
        <w:rPr>
          <w:rFonts w:ascii="Arial" w:hAnsi="Arial" w:cs="Arial"/>
          <w:sz w:val="26"/>
          <w:szCs w:val="26"/>
        </w:rPr>
        <w:t xml:space="preserve"> </w:t>
      </w:r>
      <w:r w:rsidR="00D358A7" w:rsidRPr="00D82380">
        <w:rPr>
          <w:rFonts w:ascii="Arial" w:hAnsi="Arial" w:cs="Arial"/>
          <w:sz w:val="26"/>
          <w:szCs w:val="26"/>
        </w:rPr>
        <w:t>lo dispuesto en el artículo 99</w:t>
      </w:r>
      <w:r w:rsidR="002859B2" w:rsidRPr="00D82380">
        <w:rPr>
          <w:rFonts w:ascii="Arial" w:hAnsi="Arial" w:cs="Arial"/>
          <w:sz w:val="26"/>
          <w:szCs w:val="26"/>
        </w:rPr>
        <w:t>, como ocurrió en el caso</w:t>
      </w:r>
      <w:r w:rsidR="006955D0" w:rsidRPr="00D82380">
        <w:rPr>
          <w:rFonts w:ascii="Arial" w:hAnsi="Arial" w:cs="Arial"/>
          <w:sz w:val="26"/>
          <w:szCs w:val="26"/>
        </w:rPr>
        <w:t xml:space="preserve">. </w:t>
      </w:r>
      <w:r w:rsidR="007479BE" w:rsidRPr="00D82380">
        <w:rPr>
          <w:rFonts w:ascii="Arial" w:hAnsi="Arial" w:cs="Arial"/>
          <w:sz w:val="26"/>
          <w:szCs w:val="26"/>
        </w:rPr>
        <w:t>P</w:t>
      </w:r>
      <w:r w:rsidR="002859B2" w:rsidRPr="00D82380">
        <w:rPr>
          <w:rFonts w:ascii="Arial" w:hAnsi="Arial" w:cs="Arial"/>
          <w:sz w:val="26"/>
          <w:szCs w:val="26"/>
        </w:rPr>
        <w:t xml:space="preserve">ara poder acordar la presentación y alojamiento de una persona en una estación migratoria, se requiere su detención en el marco de una revisión migratoria, en una visita de verificación (que se efectúa para revisar la veracidad de la información migratoria manifestada por personas extranjeras) o en </w:t>
      </w:r>
      <w:r w:rsidR="00D358A7" w:rsidRPr="00D82380">
        <w:rPr>
          <w:rFonts w:ascii="Arial" w:hAnsi="Arial" w:cs="Arial"/>
          <w:sz w:val="26"/>
          <w:szCs w:val="26"/>
        </w:rPr>
        <w:t>el control migratorio (que se realiza en las entradas y salidas del país)</w:t>
      </w:r>
      <w:r w:rsidR="00A72BEF" w:rsidRPr="00D82380">
        <w:rPr>
          <w:rFonts w:ascii="Arial" w:hAnsi="Arial" w:cs="Arial"/>
          <w:sz w:val="26"/>
          <w:szCs w:val="26"/>
        </w:rPr>
        <w:t>, así que</w:t>
      </w:r>
      <w:r w:rsidR="00AB26B6" w:rsidRPr="00D82380">
        <w:rPr>
          <w:rFonts w:ascii="Arial" w:hAnsi="Arial" w:cs="Arial"/>
          <w:sz w:val="26"/>
          <w:szCs w:val="26"/>
        </w:rPr>
        <w:t xml:space="preserve">, ante la declaratoria de la inconstitucionalidad de la revisión migratoria, las </w:t>
      </w:r>
      <w:r w:rsidR="00AB26B6" w:rsidRPr="00D82380">
        <w:rPr>
          <w:rFonts w:ascii="Arial" w:hAnsi="Arial" w:cs="Arial"/>
          <w:sz w:val="26"/>
          <w:szCs w:val="26"/>
        </w:rPr>
        <w:lastRenderedPageBreak/>
        <w:t xml:space="preserve">personas quejosas al ser mexicanas no podrán volver a ser sujetas a un procedimiento administrativo migratorio. </w:t>
      </w:r>
    </w:p>
    <w:p w14:paraId="6AF85183" w14:textId="782074C0" w:rsidR="00E17F4F" w:rsidRPr="00D82380" w:rsidRDefault="003B3447" w:rsidP="00280ECA">
      <w:pPr>
        <w:spacing w:before="240" w:after="240" w:line="360" w:lineRule="auto"/>
        <w:jc w:val="both"/>
        <w:rPr>
          <w:rFonts w:ascii="Arial" w:hAnsi="Arial" w:cs="Arial"/>
          <w:sz w:val="26"/>
          <w:szCs w:val="26"/>
        </w:rPr>
      </w:pPr>
      <w:r w:rsidRPr="00D82380">
        <w:rPr>
          <w:rFonts w:ascii="Arial" w:hAnsi="Arial" w:cs="Arial"/>
          <w:sz w:val="26"/>
          <w:szCs w:val="26"/>
        </w:rPr>
        <w:t>Con este razonamiento queda más evidenciado que la declaración de inconstitucionalidad del artículo 99 excedió la litis, condicionó el criterio de la Primera Sala y trastocó un sistema (</w:t>
      </w:r>
      <w:r w:rsidR="00E77509" w:rsidRPr="00D82380">
        <w:rPr>
          <w:rFonts w:ascii="Arial" w:hAnsi="Arial" w:cs="Arial"/>
          <w:sz w:val="26"/>
          <w:szCs w:val="26"/>
        </w:rPr>
        <w:t>estaciones migratorias</w:t>
      </w:r>
      <w:r w:rsidRPr="00D82380">
        <w:rPr>
          <w:rFonts w:ascii="Arial" w:hAnsi="Arial" w:cs="Arial"/>
          <w:sz w:val="26"/>
          <w:szCs w:val="26"/>
        </w:rPr>
        <w:t xml:space="preserve">) en el que estaban las personas chiapanecas </w:t>
      </w:r>
      <w:r w:rsidR="00B24972" w:rsidRPr="00D82380">
        <w:rPr>
          <w:rFonts w:ascii="Arial" w:hAnsi="Arial" w:cs="Arial"/>
          <w:i/>
          <w:iCs/>
          <w:sz w:val="26"/>
          <w:szCs w:val="26"/>
          <w:u w:val="single"/>
        </w:rPr>
        <w:t xml:space="preserve">solamente </w:t>
      </w:r>
      <w:r w:rsidRPr="00D82380">
        <w:rPr>
          <w:rFonts w:ascii="Arial" w:hAnsi="Arial" w:cs="Arial"/>
          <w:i/>
          <w:iCs/>
          <w:sz w:val="26"/>
          <w:szCs w:val="26"/>
          <w:u w:val="single"/>
        </w:rPr>
        <w:t>como consecuencia</w:t>
      </w:r>
      <w:r w:rsidRPr="00D82380">
        <w:rPr>
          <w:rFonts w:ascii="Arial" w:hAnsi="Arial" w:cs="Arial"/>
          <w:sz w:val="26"/>
          <w:szCs w:val="26"/>
        </w:rPr>
        <w:t xml:space="preserve"> (mero acto de aplicación) de un par de normas verdaderamente inconstitucionales: los artículos 97 y 98 de la Ley de Migració</w:t>
      </w:r>
      <w:r w:rsidR="00B24972" w:rsidRPr="00D82380">
        <w:rPr>
          <w:rFonts w:ascii="Arial" w:hAnsi="Arial" w:cs="Arial"/>
          <w:sz w:val="26"/>
          <w:szCs w:val="26"/>
        </w:rPr>
        <w:t xml:space="preserve">n, que permitieron que esta </w:t>
      </w:r>
      <w:r w:rsidR="00D82380" w:rsidRPr="00D82380">
        <w:rPr>
          <w:rFonts w:ascii="Arial" w:hAnsi="Arial" w:cs="Arial"/>
          <w:sz w:val="26"/>
          <w:szCs w:val="26"/>
        </w:rPr>
        <w:t>ley</w:t>
      </w:r>
      <w:r w:rsidR="00B24972" w:rsidRPr="00D82380">
        <w:rPr>
          <w:rFonts w:ascii="Arial" w:hAnsi="Arial" w:cs="Arial"/>
          <w:sz w:val="26"/>
          <w:szCs w:val="26"/>
        </w:rPr>
        <w:t>, dirigida a personas extranjeras, se aplicara a connacionales.</w:t>
      </w:r>
    </w:p>
    <w:p w14:paraId="06683B05" w14:textId="77777777" w:rsidR="007A2E11" w:rsidRPr="00D82380" w:rsidRDefault="007A2E11" w:rsidP="00280ECA">
      <w:pPr>
        <w:spacing w:before="240" w:after="240" w:line="360" w:lineRule="auto"/>
        <w:jc w:val="both"/>
        <w:rPr>
          <w:rFonts w:ascii="Arial" w:hAnsi="Arial" w:cs="Arial"/>
          <w:sz w:val="26"/>
          <w:szCs w:val="26"/>
        </w:rPr>
      </w:pPr>
    </w:p>
    <w:p w14:paraId="7C11F18B" w14:textId="77777777" w:rsidR="00D82380" w:rsidRPr="00D82380" w:rsidRDefault="00D82380" w:rsidP="00280ECA">
      <w:pPr>
        <w:spacing w:before="240" w:after="240" w:line="360" w:lineRule="auto"/>
        <w:jc w:val="both"/>
        <w:rPr>
          <w:rFonts w:ascii="Arial" w:hAnsi="Arial" w:cs="Arial"/>
          <w:sz w:val="26"/>
          <w:szCs w:val="26"/>
        </w:rPr>
      </w:pPr>
    </w:p>
    <w:p w14:paraId="5B06F1FA" w14:textId="752EBEB8" w:rsidR="00ED73EB" w:rsidRPr="00EC5C3D" w:rsidRDefault="006510A6" w:rsidP="00280ECA">
      <w:pPr>
        <w:pStyle w:val="corte4fondo"/>
        <w:spacing w:before="240" w:after="240"/>
        <w:ind w:firstLine="0"/>
        <w:jc w:val="center"/>
        <w:rPr>
          <w:b/>
          <w:sz w:val="26"/>
          <w:szCs w:val="26"/>
          <w:lang w:val="es-ES" w:eastAsia="es-MX"/>
        </w:rPr>
      </w:pPr>
      <w:r w:rsidRPr="00D82380">
        <w:rPr>
          <w:b/>
          <w:sz w:val="26"/>
          <w:szCs w:val="26"/>
          <w:lang w:val="es-ES" w:eastAsia="es-MX"/>
        </w:rPr>
        <w:t>MINISTRA</w:t>
      </w:r>
      <w:r w:rsidR="00480722" w:rsidRPr="00D82380">
        <w:rPr>
          <w:b/>
          <w:sz w:val="26"/>
          <w:szCs w:val="26"/>
          <w:lang w:val="es-ES" w:eastAsia="es-MX"/>
        </w:rPr>
        <w:t xml:space="preserve"> </w:t>
      </w:r>
      <w:r w:rsidR="003C6188" w:rsidRPr="00D82380">
        <w:rPr>
          <w:b/>
          <w:sz w:val="26"/>
          <w:szCs w:val="26"/>
          <w:lang w:val="es-ES" w:eastAsia="es-MX"/>
        </w:rPr>
        <w:t>ANA MARGARITA RÍOS FARJAT</w:t>
      </w:r>
    </w:p>
    <w:sectPr w:rsidR="00ED73EB" w:rsidRPr="00EC5C3D" w:rsidSect="00D82380">
      <w:headerReference w:type="even" r:id="rId11"/>
      <w:headerReference w:type="default" r:id="rId12"/>
      <w:footerReference w:type="even" r:id="rId13"/>
      <w:footerReference w:type="default" r:id="rId14"/>
      <w:pgSz w:w="12240" w:h="19293" w:code="305"/>
      <w:pgMar w:top="1701" w:right="1758" w:bottom="1701" w:left="1758" w:header="147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4A204" w14:textId="77777777" w:rsidR="006D221C" w:rsidRDefault="006D221C" w:rsidP="00B97BC1">
      <w:pPr>
        <w:spacing w:after="0" w:line="240" w:lineRule="auto"/>
      </w:pPr>
      <w:r>
        <w:separator/>
      </w:r>
    </w:p>
  </w:endnote>
  <w:endnote w:type="continuationSeparator" w:id="0">
    <w:p w14:paraId="3359ACA6" w14:textId="77777777" w:rsidR="006D221C" w:rsidRDefault="006D221C" w:rsidP="00B97B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Microsoft Himalaya">
    <w:panose1 w:val="01010100010101010101"/>
    <w:charset w:val="00"/>
    <w:family w:val="auto"/>
    <w:pitch w:val="variable"/>
    <w:sig w:usb0="80000003" w:usb1="00010000" w:usb2="0000004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4233032"/>
      <w:docPartObj>
        <w:docPartGallery w:val="Page Numbers (Bottom of Page)"/>
        <w:docPartUnique/>
      </w:docPartObj>
    </w:sdtPr>
    <w:sdtEndPr>
      <w:rPr>
        <w:rFonts w:ascii="Arial" w:hAnsi="Arial" w:cs="Arial"/>
        <w:b/>
        <w:bCs/>
        <w:color w:val="0070C0"/>
        <w:sz w:val="24"/>
        <w:szCs w:val="24"/>
      </w:rPr>
    </w:sdtEndPr>
    <w:sdtContent>
      <w:p w14:paraId="54360758" w14:textId="77777777" w:rsidR="002305C3" w:rsidRDefault="002305C3" w:rsidP="002305C3">
        <w:pPr>
          <w:pStyle w:val="Piedepgina"/>
          <w:rPr>
            <w:rFonts w:ascii="Arial" w:hAnsi="Arial" w:cs="Arial"/>
            <w:b/>
            <w:bCs/>
            <w:color w:val="0070C0"/>
            <w:sz w:val="24"/>
            <w:szCs w:val="24"/>
          </w:rPr>
        </w:pPr>
        <w:r w:rsidRPr="00CB38C7">
          <w:rPr>
            <w:rFonts w:ascii="Arial" w:hAnsi="Arial" w:cs="Arial"/>
            <w:b/>
            <w:bCs/>
            <w:color w:val="0070C0"/>
            <w:sz w:val="24"/>
            <w:szCs w:val="24"/>
          </w:rPr>
          <w:fldChar w:fldCharType="begin"/>
        </w:r>
        <w:r w:rsidRPr="00CB38C7">
          <w:rPr>
            <w:rFonts w:ascii="Arial" w:hAnsi="Arial" w:cs="Arial"/>
            <w:b/>
            <w:bCs/>
            <w:color w:val="0070C0"/>
            <w:sz w:val="24"/>
            <w:szCs w:val="24"/>
          </w:rPr>
          <w:instrText>PAGE   \* MERGEFORMAT</w:instrText>
        </w:r>
        <w:r w:rsidRPr="00CB38C7">
          <w:rPr>
            <w:rFonts w:ascii="Arial" w:hAnsi="Arial" w:cs="Arial"/>
            <w:b/>
            <w:bCs/>
            <w:color w:val="0070C0"/>
            <w:sz w:val="24"/>
            <w:szCs w:val="24"/>
          </w:rPr>
          <w:fldChar w:fldCharType="separate"/>
        </w:r>
        <w:r>
          <w:rPr>
            <w:rFonts w:ascii="Arial" w:hAnsi="Arial" w:cs="Arial"/>
            <w:b/>
            <w:bCs/>
            <w:color w:val="0070C0"/>
            <w:sz w:val="24"/>
            <w:szCs w:val="24"/>
          </w:rPr>
          <w:t>3</w:t>
        </w:r>
        <w:r w:rsidRPr="00CB38C7">
          <w:rPr>
            <w:rFonts w:ascii="Arial" w:hAnsi="Arial" w:cs="Arial"/>
            <w:b/>
            <w:bCs/>
            <w:color w:val="0070C0"/>
            <w:sz w:val="24"/>
            <w:szCs w:val="24"/>
          </w:rPr>
          <w:fldChar w:fldCharType="end"/>
        </w:r>
      </w:p>
      <w:p w14:paraId="351B1B50" w14:textId="446AE73E" w:rsidR="003C6188" w:rsidRPr="002305C3" w:rsidRDefault="00000000" w:rsidP="002305C3">
        <w:pPr>
          <w:pStyle w:val="Piedepgina"/>
          <w:jc w:val="right"/>
          <w:rPr>
            <w:rFonts w:ascii="Arial" w:hAnsi="Arial" w:cs="Arial"/>
            <w:b/>
            <w:bCs/>
            <w:color w:val="0070C0"/>
            <w:sz w:val="24"/>
            <w:szCs w:val="24"/>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1448564"/>
      <w:docPartObj>
        <w:docPartGallery w:val="Page Numbers (Bottom of Page)"/>
        <w:docPartUnique/>
      </w:docPartObj>
    </w:sdtPr>
    <w:sdtEndPr>
      <w:rPr>
        <w:rFonts w:ascii="Arial" w:hAnsi="Arial" w:cs="Arial"/>
        <w:b/>
        <w:bCs/>
        <w:color w:val="0070C0"/>
        <w:sz w:val="24"/>
        <w:szCs w:val="24"/>
      </w:rPr>
    </w:sdtEndPr>
    <w:sdtContent>
      <w:p w14:paraId="250FDC44" w14:textId="77777777" w:rsidR="002305C3" w:rsidRDefault="00AD17B4" w:rsidP="00583B2A">
        <w:pPr>
          <w:pStyle w:val="Piedepgina"/>
          <w:jc w:val="right"/>
          <w:rPr>
            <w:rFonts w:ascii="Arial" w:hAnsi="Arial" w:cs="Arial"/>
            <w:b/>
            <w:bCs/>
            <w:color w:val="0070C0"/>
            <w:sz w:val="24"/>
            <w:szCs w:val="24"/>
          </w:rPr>
        </w:pPr>
        <w:r w:rsidRPr="00CB38C7">
          <w:rPr>
            <w:rFonts w:ascii="Arial" w:hAnsi="Arial" w:cs="Arial"/>
            <w:b/>
            <w:bCs/>
            <w:color w:val="0070C0"/>
            <w:sz w:val="24"/>
            <w:szCs w:val="24"/>
          </w:rPr>
          <w:fldChar w:fldCharType="begin"/>
        </w:r>
        <w:r w:rsidRPr="00CB38C7">
          <w:rPr>
            <w:rFonts w:ascii="Arial" w:hAnsi="Arial" w:cs="Arial"/>
            <w:b/>
            <w:bCs/>
            <w:color w:val="0070C0"/>
            <w:sz w:val="24"/>
            <w:szCs w:val="24"/>
          </w:rPr>
          <w:instrText>PAGE   \* MERGEFORMAT</w:instrText>
        </w:r>
        <w:r w:rsidRPr="00CB38C7">
          <w:rPr>
            <w:rFonts w:ascii="Arial" w:hAnsi="Arial" w:cs="Arial"/>
            <w:b/>
            <w:bCs/>
            <w:color w:val="0070C0"/>
            <w:sz w:val="24"/>
            <w:szCs w:val="24"/>
          </w:rPr>
          <w:fldChar w:fldCharType="separate"/>
        </w:r>
        <w:r w:rsidR="001F1BBA" w:rsidRPr="00CB38C7">
          <w:rPr>
            <w:rFonts w:ascii="Arial" w:hAnsi="Arial" w:cs="Arial"/>
            <w:b/>
            <w:bCs/>
            <w:noProof/>
            <w:color w:val="0070C0"/>
            <w:sz w:val="24"/>
            <w:szCs w:val="24"/>
            <w:lang w:val="es-ES"/>
          </w:rPr>
          <w:t>3</w:t>
        </w:r>
        <w:r w:rsidRPr="00CB38C7">
          <w:rPr>
            <w:rFonts w:ascii="Arial" w:hAnsi="Arial" w:cs="Arial"/>
            <w:b/>
            <w:bCs/>
            <w:color w:val="0070C0"/>
            <w:sz w:val="24"/>
            <w:szCs w:val="24"/>
          </w:rPr>
          <w:fldChar w:fldCharType="end"/>
        </w:r>
      </w:p>
      <w:p w14:paraId="6582A266" w14:textId="773AC7CC" w:rsidR="00AD17B4" w:rsidRPr="00583B2A" w:rsidRDefault="00000000" w:rsidP="00583B2A">
        <w:pPr>
          <w:pStyle w:val="Piedepgina"/>
          <w:jc w:val="right"/>
          <w:rPr>
            <w:rFonts w:ascii="Arial" w:hAnsi="Arial" w:cs="Arial"/>
            <w:b/>
            <w:bCs/>
            <w:color w:val="0070C0"/>
            <w:sz w:val="24"/>
            <w:szCs w:val="24"/>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8DE87" w14:textId="77777777" w:rsidR="006D221C" w:rsidRDefault="006D221C" w:rsidP="00B97BC1">
      <w:pPr>
        <w:spacing w:after="0" w:line="240" w:lineRule="auto"/>
      </w:pPr>
      <w:r>
        <w:separator/>
      </w:r>
    </w:p>
  </w:footnote>
  <w:footnote w:type="continuationSeparator" w:id="0">
    <w:p w14:paraId="422DCA83" w14:textId="77777777" w:rsidR="006D221C" w:rsidRDefault="006D221C" w:rsidP="00B97BC1">
      <w:pPr>
        <w:spacing w:after="0" w:line="240" w:lineRule="auto"/>
      </w:pPr>
      <w:r>
        <w:continuationSeparator/>
      </w:r>
    </w:p>
  </w:footnote>
  <w:footnote w:id="1">
    <w:p w14:paraId="6A60B262" w14:textId="5780BEF3" w:rsidR="006732EE" w:rsidRPr="00692627" w:rsidRDefault="006732EE" w:rsidP="006732EE">
      <w:pPr>
        <w:pStyle w:val="Textonotapie"/>
        <w:ind w:left="284" w:hanging="284"/>
        <w:jc w:val="both"/>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w:t>
      </w:r>
      <w:r w:rsidRPr="00692627">
        <w:rPr>
          <w:rFonts w:ascii="Times New Roman" w:hAnsi="Times New Roman" w:cs="Times New Roman"/>
          <w:b/>
          <w:bCs/>
          <w:sz w:val="22"/>
          <w:szCs w:val="22"/>
        </w:rPr>
        <w:t>Artículo 97.</w:t>
      </w:r>
      <w:r w:rsidRPr="00692627">
        <w:rPr>
          <w:rFonts w:ascii="Times New Roman" w:hAnsi="Times New Roman" w:cs="Times New Roman"/>
          <w:sz w:val="22"/>
          <w:szCs w:val="22"/>
        </w:rPr>
        <w:t xml:space="preserve"> Además de los lugares destinados al tránsito internacional de personas establecidos, el Instituto podrá llevar a cabo revisiones de carácter migratorio dentro del territorio nacional a efecto de comprobar la situación migratoria de los extranjeros. </w:t>
      </w:r>
    </w:p>
    <w:p w14:paraId="47E041A1" w14:textId="715B52B4" w:rsidR="006732EE" w:rsidRPr="00692627" w:rsidRDefault="006732EE" w:rsidP="00680089">
      <w:pPr>
        <w:pStyle w:val="Textonotapie"/>
        <w:ind w:left="284" w:firstLine="283"/>
        <w:jc w:val="both"/>
        <w:rPr>
          <w:rFonts w:ascii="Times New Roman" w:hAnsi="Times New Roman" w:cs="Times New Roman"/>
          <w:sz w:val="22"/>
          <w:szCs w:val="22"/>
        </w:rPr>
      </w:pPr>
      <w:r w:rsidRPr="00692627">
        <w:rPr>
          <w:rFonts w:ascii="Times New Roman" w:hAnsi="Times New Roman" w:cs="Times New Roman"/>
          <w:sz w:val="22"/>
          <w:szCs w:val="22"/>
        </w:rPr>
        <w:t xml:space="preserve">La orden por la que se disponga la revisión migratoria deberá estar fundada y motivada; ser expedida por el Instituto y precisar el responsable de la diligencia y el personal asignado para la realización de </w:t>
      </w:r>
      <w:proofErr w:type="gramStart"/>
      <w:r w:rsidRPr="00692627">
        <w:rPr>
          <w:rFonts w:ascii="Times New Roman" w:hAnsi="Times New Roman" w:cs="Times New Roman"/>
          <w:sz w:val="22"/>
          <w:szCs w:val="22"/>
        </w:rPr>
        <w:t>la misma</w:t>
      </w:r>
      <w:proofErr w:type="gramEnd"/>
      <w:r w:rsidRPr="00692627">
        <w:rPr>
          <w:rFonts w:ascii="Times New Roman" w:hAnsi="Times New Roman" w:cs="Times New Roman"/>
          <w:sz w:val="22"/>
          <w:szCs w:val="22"/>
        </w:rPr>
        <w:t>; la duración de la revisión y la zona geográfica o el lugar en el que se efectuará.</w:t>
      </w:r>
    </w:p>
    <w:p w14:paraId="78F9CC7B" w14:textId="01428E57" w:rsidR="006732EE" w:rsidRPr="00692627" w:rsidRDefault="006732EE" w:rsidP="006732EE">
      <w:pPr>
        <w:pStyle w:val="Textonotapie"/>
        <w:ind w:left="284" w:hanging="284"/>
        <w:jc w:val="both"/>
        <w:rPr>
          <w:rFonts w:ascii="Times New Roman" w:hAnsi="Times New Roman" w:cs="Times New Roman"/>
          <w:sz w:val="22"/>
          <w:szCs w:val="22"/>
        </w:rPr>
      </w:pPr>
      <w:r w:rsidRPr="00692627">
        <w:rPr>
          <w:rFonts w:ascii="Times New Roman" w:hAnsi="Times New Roman" w:cs="Times New Roman"/>
          <w:b/>
          <w:bCs/>
          <w:sz w:val="22"/>
          <w:szCs w:val="22"/>
        </w:rPr>
        <w:t>Artículo 98.</w:t>
      </w:r>
      <w:r w:rsidRPr="00692627">
        <w:rPr>
          <w:rFonts w:ascii="Times New Roman" w:hAnsi="Times New Roman" w:cs="Times New Roman"/>
          <w:sz w:val="22"/>
          <w:szCs w:val="22"/>
        </w:rPr>
        <w:t xml:space="preserve"> Si con motivo de la revisión migratoria se detecta que algún extranjero no cuenta con documentos que acrediten su situación migratoria regular en el país, se procederá en los términos del artículo 100 de esta Ley.</w:t>
      </w:r>
    </w:p>
  </w:footnote>
  <w:footnote w:id="2">
    <w:p w14:paraId="320575DB" w14:textId="4038FEB5" w:rsidR="00CA526E" w:rsidRPr="00692627" w:rsidRDefault="00CA526E" w:rsidP="00CA526E">
      <w:pPr>
        <w:pStyle w:val="Textonotapie"/>
        <w:ind w:left="284" w:hanging="284"/>
        <w:jc w:val="both"/>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w:t>
      </w:r>
      <w:r w:rsidRPr="00692627">
        <w:rPr>
          <w:rFonts w:ascii="Times New Roman" w:hAnsi="Times New Roman" w:cs="Times New Roman"/>
          <w:b/>
          <w:bCs/>
          <w:sz w:val="22"/>
          <w:szCs w:val="22"/>
        </w:rPr>
        <w:t>Artículo 16</w:t>
      </w:r>
      <w:r w:rsidRPr="00692627">
        <w:rPr>
          <w:rFonts w:ascii="Times New Roman" w:hAnsi="Times New Roman" w:cs="Times New Roman"/>
          <w:sz w:val="22"/>
          <w:szCs w:val="22"/>
        </w:rPr>
        <w:t>. Los migrantes deberán cumplir con las siguientes obligaciones: [...]</w:t>
      </w:r>
    </w:p>
    <w:p w14:paraId="568EE6F7" w14:textId="41354D39" w:rsidR="00CA526E" w:rsidRPr="00692627" w:rsidRDefault="00CA526E" w:rsidP="004B3D0B">
      <w:pPr>
        <w:pStyle w:val="Textonotapie"/>
        <w:ind w:left="567" w:hanging="284"/>
        <w:jc w:val="both"/>
        <w:rPr>
          <w:rFonts w:ascii="Times New Roman" w:hAnsi="Times New Roman" w:cs="Times New Roman"/>
          <w:sz w:val="22"/>
          <w:szCs w:val="22"/>
        </w:rPr>
      </w:pPr>
      <w:r w:rsidRPr="00692627">
        <w:rPr>
          <w:rFonts w:ascii="Times New Roman" w:hAnsi="Times New Roman" w:cs="Times New Roman"/>
          <w:sz w:val="22"/>
          <w:szCs w:val="22"/>
        </w:rPr>
        <w:t xml:space="preserve">II. Mostrar la documentación que acredite su identidad o su situación migratoria regular, cuando les sea requerida por las autoridades migratorias. </w:t>
      </w:r>
    </w:p>
    <w:p w14:paraId="17D43890" w14:textId="433F6DBE" w:rsidR="00CA526E" w:rsidRPr="00692627" w:rsidRDefault="00CA526E" w:rsidP="00CA526E">
      <w:pPr>
        <w:pStyle w:val="Textonotapie"/>
        <w:ind w:left="284" w:hanging="284"/>
        <w:jc w:val="both"/>
        <w:rPr>
          <w:rFonts w:ascii="Times New Roman" w:hAnsi="Times New Roman" w:cs="Times New Roman"/>
          <w:sz w:val="22"/>
          <w:szCs w:val="22"/>
        </w:rPr>
      </w:pPr>
      <w:r w:rsidRPr="00692627">
        <w:rPr>
          <w:rFonts w:ascii="Times New Roman" w:hAnsi="Times New Roman" w:cs="Times New Roman"/>
          <w:b/>
          <w:bCs/>
          <w:sz w:val="22"/>
          <w:szCs w:val="22"/>
        </w:rPr>
        <w:t>Artículo 17.</w:t>
      </w:r>
      <w:r w:rsidRPr="00692627">
        <w:rPr>
          <w:rFonts w:ascii="Times New Roman" w:hAnsi="Times New Roman" w:cs="Times New Roman"/>
          <w:sz w:val="22"/>
          <w:szCs w:val="22"/>
        </w:rPr>
        <w:t xml:space="preserve"> Solo las autoridades migratorias podrán retener la documentación que acredite la identidad o situación migratoria de los migrantes cuando existan elementos para presumir que son apócrifas, en cuyo caso deberán inmediatamente hacerlo del conocimiento de las autoridades competentes para que éstas resuelvan lo conducente.</w:t>
      </w:r>
    </w:p>
  </w:footnote>
  <w:footnote w:id="3">
    <w:p w14:paraId="2E16E9FA" w14:textId="69C4DD50" w:rsidR="009816B5" w:rsidRPr="00692627" w:rsidRDefault="009816B5" w:rsidP="009816B5">
      <w:pPr>
        <w:pStyle w:val="Textonotapie"/>
        <w:ind w:left="284" w:hanging="284"/>
        <w:jc w:val="both"/>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w:t>
      </w:r>
      <w:r w:rsidRPr="00692627">
        <w:rPr>
          <w:rFonts w:ascii="Times New Roman" w:hAnsi="Times New Roman" w:cs="Times New Roman"/>
          <w:b/>
          <w:bCs/>
          <w:sz w:val="22"/>
          <w:szCs w:val="22"/>
        </w:rPr>
        <w:t>Artículo 20.</w:t>
      </w:r>
      <w:r w:rsidRPr="00692627">
        <w:rPr>
          <w:rFonts w:ascii="Times New Roman" w:hAnsi="Times New Roman" w:cs="Times New Roman"/>
          <w:sz w:val="22"/>
          <w:szCs w:val="22"/>
        </w:rPr>
        <w:t xml:space="preserve"> El Instituto tendrá las siguientes atribuciones en materia migratoria:</w:t>
      </w:r>
      <w:r w:rsidR="004B3D0B" w:rsidRPr="00692627">
        <w:rPr>
          <w:rFonts w:ascii="Times New Roman" w:hAnsi="Times New Roman" w:cs="Times New Roman"/>
          <w:sz w:val="22"/>
          <w:szCs w:val="22"/>
        </w:rPr>
        <w:t xml:space="preserve"> </w:t>
      </w:r>
      <w:r w:rsidRPr="00692627">
        <w:rPr>
          <w:rFonts w:ascii="Times New Roman" w:hAnsi="Times New Roman" w:cs="Times New Roman"/>
          <w:sz w:val="22"/>
          <w:szCs w:val="22"/>
        </w:rPr>
        <w:t>[...]</w:t>
      </w:r>
    </w:p>
    <w:p w14:paraId="60D71989" w14:textId="758B39F7" w:rsidR="009816B5" w:rsidRPr="00692627" w:rsidRDefault="009816B5" w:rsidP="004B3D0B">
      <w:pPr>
        <w:pStyle w:val="Textonotapie"/>
        <w:ind w:left="567" w:hanging="284"/>
        <w:jc w:val="both"/>
        <w:rPr>
          <w:rFonts w:ascii="Times New Roman" w:hAnsi="Times New Roman" w:cs="Times New Roman"/>
          <w:sz w:val="22"/>
          <w:szCs w:val="22"/>
        </w:rPr>
      </w:pPr>
      <w:r w:rsidRPr="00692627">
        <w:rPr>
          <w:rFonts w:ascii="Times New Roman" w:hAnsi="Times New Roman" w:cs="Times New Roman"/>
          <w:sz w:val="22"/>
          <w:szCs w:val="22"/>
        </w:rPr>
        <w:t>VII. Presentar en las estaciones migratorias o en los lugares habilitados para tal fin, a los extranjeros que lo ameriten conforme a las disposiciones de esta Ley, respetando en todo momento sus derechos humanos.</w:t>
      </w:r>
    </w:p>
    <w:p w14:paraId="0F5D0DC5" w14:textId="32D012F7" w:rsidR="009816B5" w:rsidRPr="00692627" w:rsidRDefault="009816B5" w:rsidP="009816B5">
      <w:pPr>
        <w:pStyle w:val="Textonotapie"/>
        <w:ind w:left="284" w:hanging="284"/>
        <w:jc w:val="both"/>
        <w:rPr>
          <w:rFonts w:ascii="Times New Roman" w:hAnsi="Times New Roman" w:cs="Times New Roman"/>
          <w:sz w:val="22"/>
          <w:szCs w:val="22"/>
        </w:rPr>
      </w:pPr>
      <w:r w:rsidRPr="00692627">
        <w:rPr>
          <w:rFonts w:ascii="Times New Roman" w:hAnsi="Times New Roman" w:cs="Times New Roman"/>
          <w:b/>
          <w:bCs/>
          <w:sz w:val="22"/>
          <w:szCs w:val="22"/>
        </w:rPr>
        <w:t>Artículo 100.</w:t>
      </w:r>
      <w:r w:rsidRPr="00692627">
        <w:rPr>
          <w:rFonts w:ascii="Times New Roman" w:hAnsi="Times New Roman" w:cs="Times New Roman"/>
          <w:sz w:val="22"/>
          <w:szCs w:val="22"/>
        </w:rPr>
        <w:t xml:space="preserve"> Cuando un extranjero sea puesto a disposición del Instituto, derivado de diligencias de verificación o revisión migratoria, y se actualice alguno de los supuestos previstos en el artículo 144 de la presente Ley, se emitirá el acuerdo de presentación correspondiente dentro de las veinticuatro horas siguientes a la puesta a disposición. </w:t>
      </w:r>
    </w:p>
    <w:p w14:paraId="5CF02195" w14:textId="2C7D923E" w:rsidR="009816B5" w:rsidRPr="00692627" w:rsidRDefault="009816B5" w:rsidP="009816B5">
      <w:pPr>
        <w:pStyle w:val="Textonotapie"/>
        <w:ind w:left="284" w:hanging="284"/>
        <w:jc w:val="both"/>
        <w:rPr>
          <w:rFonts w:ascii="Times New Roman" w:hAnsi="Times New Roman" w:cs="Times New Roman"/>
          <w:sz w:val="22"/>
          <w:szCs w:val="22"/>
        </w:rPr>
      </w:pPr>
      <w:r w:rsidRPr="00692627">
        <w:rPr>
          <w:rFonts w:ascii="Times New Roman" w:hAnsi="Times New Roman" w:cs="Times New Roman"/>
          <w:b/>
          <w:bCs/>
          <w:sz w:val="22"/>
          <w:szCs w:val="22"/>
        </w:rPr>
        <w:t>Artículo 121.</w:t>
      </w:r>
      <w:r w:rsidRPr="00692627">
        <w:rPr>
          <w:rFonts w:ascii="Times New Roman" w:hAnsi="Times New Roman" w:cs="Times New Roman"/>
          <w:sz w:val="22"/>
          <w:szCs w:val="22"/>
        </w:rPr>
        <w:t xml:space="preserve"> El extranjero que es sujeto a un procedimiento administrativo migratorio de retorno asistido o de deportación, permanecerá presentado en la estación migratoria, observándose lo dispuesto en el artículo 111 de la presente Ley</w:t>
      </w:r>
      <w:r w:rsidR="009A7BEE" w:rsidRPr="00692627">
        <w:rPr>
          <w:rFonts w:ascii="Times New Roman" w:hAnsi="Times New Roman" w:cs="Times New Roman"/>
          <w:sz w:val="22"/>
          <w:szCs w:val="22"/>
        </w:rPr>
        <w:t>.</w:t>
      </w:r>
    </w:p>
  </w:footnote>
  <w:footnote w:id="4">
    <w:p w14:paraId="77D81983" w14:textId="77777777" w:rsidR="00627590" w:rsidRPr="00692627" w:rsidRDefault="00627590" w:rsidP="00627590">
      <w:pPr>
        <w:pStyle w:val="Textonotapie"/>
        <w:ind w:left="284" w:hanging="284"/>
        <w:jc w:val="both"/>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w:t>
      </w:r>
      <w:r w:rsidRPr="00692627">
        <w:rPr>
          <w:rFonts w:ascii="Times New Roman" w:hAnsi="Times New Roman" w:cs="Times New Roman"/>
          <w:b/>
          <w:bCs/>
          <w:sz w:val="22"/>
          <w:szCs w:val="22"/>
        </w:rPr>
        <w:t>Artículo 99.</w:t>
      </w:r>
      <w:r w:rsidRPr="00692627">
        <w:rPr>
          <w:rFonts w:ascii="Times New Roman" w:hAnsi="Times New Roman" w:cs="Times New Roman"/>
          <w:sz w:val="22"/>
          <w:szCs w:val="22"/>
        </w:rPr>
        <w:t xml:space="preserve"> Es de orden público la presentación de los extranjeros en estaciones migratorias o en lugares habilitados para ello, en tanto se determina su situación migratoria en territorio nacional.</w:t>
      </w:r>
    </w:p>
    <w:p w14:paraId="3857A316" w14:textId="77777777" w:rsidR="00627590" w:rsidRPr="00692627" w:rsidRDefault="00627590" w:rsidP="00627590">
      <w:pPr>
        <w:pStyle w:val="Textonotapie"/>
        <w:ind w:left="284" w:firstLine="424"/>
        <w:jc w:val="both"/>
        <w:rPr>
          <w:rFonts w:ascii="Times New Roman" w:hAnsi="Times New Roman" w:cs="Times New Roman"/>
          <w:sz w:val="22"/>
          <w:szCs w:val="22"/>
        </w:rPr>
      </w:pPr>
      <w:r w:rsidRPr="00692627">
        <w:rPr>
          <w:rFonts w:ascii="Times New Roman" w:hAnsi="Times New Roman" w:cs="Times New Roman"/>
          <w:sz w:val="22"/>
          <w:szCs w:val="22"/>
        </w:rPr>
        <w:t>La presentación de extranjeros es la medida dictada por el Instituto mediante la cual se acuerda el alojamiento temporal de un extranjero que no acredita su situación migratoria para la regularización de su estancia o la asistencia para el retorno.</w:t>
      </w:r>
    </w:p>
    <w:p w14:paraId="7DFCEAF2" w14:textId="15185D6F" w:rsidR="00627590" w:rsidRPr="00692627" w:rsidRDefault="00627590">
      <w:pPr>
        <w:pStyle w:val="Textonotapie"/>
        <w:rPr>
          <w:rFonts w:ascii="Times New Roman" w:hAnsi="Times New Roman" w:cs="Times New Roman"/>
          <w:sz w:val="22"/>
          <w:szCs w:val="22"/>
        </w:rPr>
      </w:pPr>
    </w:p>
  </w:footnote>
  <w:footnote w:id="5">
    <w:p w14:paraId="412610BB" w14:textId="2D4BCDD6" w:rsidR="00692627" w:rsidRPr="00692627" w:rsidRDefault="00692627">
      <w:pPr>
        <w:pStyle w:val="Textonotapie"/>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Supra nota 1.</w:t>
      </w:r>
    </w:p>
  </w:footnote>
  <w:footnote w:id="6">
    <w:p w14:paraId="6C076EAA" w14:textId="184C09EC" w:rsidR="006E4402" w:rsidRPr="00692627" w:rsidRDefault="006E4402" w:rsidP="00CA526E">
      <w:pPr>
        <w:pStyle w:val="Textonotapie"/>
        <w:ind w:left="284" w:hanging="284"/>
        <w:jc w:val="both"/>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De la Ministra Norma Lucía Piña Hernández y de los Ministros Alfredo Gutiérrez Ortiz Mena y </w:t>
      </w:r>
      <w:r w:rsidR="00CA526E" w:rsidRPr="00692627">
        <w:rPr>
          <w:rFonts w:ascii="Times New Roman" w:hAnsi="Times New Roman" w:cs="Times New Roman"/>
          <w:sz w:val="22"/>
          <w:szCs w:val="22"/>
        </w:rPr>
        <w:t xml:space="preserve">Juan Luis González Alcántara Carrancá. </w:t>
      </w:r>
    </w:p>
  </w:footnote>
  <w:footnote w:id="7">
    <w:p w14:paraId="1F8F7782" w14:textId="002CB122" w:rsidR="00B07428" w:rsidRPr="00692627" w:rsidRDefault="00B07428">
      <w:pPr>
        <w:pStyle w:val="Textonotapie"/>
        <w:rPr>
          <w:rFonts w:ascii="Times New Roman" w:hAnsi="Times New Roman" w:cs="Times New Roman"/>
          <w:sz w:val="22"/>
          <w:szCs w:val="22"/>
        </w:rPr>
      </w:pPr>
      <w:r w:rsidRPr="00692627">
        <w:rPr>
          <w:rStyle w:val="Refdenotaalpie"/>
          <w:rFonts w:ascii="Times New Roman" w:hAnsi="Times New Roman" w:cs="Times New Roman"/>
          <w:sz w:val="22"/>
          <w:szCs w:val="22"/>
        </w:rPr>
        <w:footnoteRef/>
      </w:r>
      <w:r w:rsidRPr="00692627">
        <w:rPr>
          <w:rFonts w:ascii="Times New Roman" w:hAnsi="Times New Roman" w:cs="Times New Roman"/>
          <w:sz w:val="22"/>
          <w:szCs w:val="22"/>
        </w:rPr>
        <w:t xml:space="preserve"> </w:t>
      </w:r>
      <w:r w:rsidRPr="00692627">
        <w:rPr>
          <w:rFonts w:ascii="Times New Roman" w:hAnsi="Times New Roman" w:cs="Times New Roman"/>
          <w:i/>
          <w:iCs/>
          <w:sz w:val="22"/>
          <w:szCs w:val="22"/>
        </w:rPr>
        <w:t>Supra</w:t>
      </w:r>
      <w:r w:rsidRPr="00692627">
        <w:rPr>
          <w:rFonts w:ascii="Times New Roman" w:hAnsi="Times New Roman" w:cs="Times New Roman"/>
          <w:sz w:val="22"/>
          <w:szCs w:val="22"/>
        </w:rPr>
        <w:t xml:space="preserve">, ver nota 3.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37B81" w14:textId="77777777" w:rsidR="002305C3" w:rsidRDefault="002305C3" w:rsidP="002305C3">
    <w:pPr>
      <w:pStyle w:val="Encabezado"/>
      <w:spacing w:line="360" w:lineRule="auto"/>
      <w:ind w:left="709"/>
      <w:rPr>
        <w:rFonts w:ascii="Arial" w:hAnsi="Arial" w:cs="Arial"/>
        <w:b/>
        <w:color w:val="0070C0"/>
      </w:rPr>
    </w:pPr>
    <w:r w:rsidRPr="002305C3">
      <w:rPr>
        <w:rFonts w:ascii="Arial" w:hAnsi="Arial" w:cs="Arial"/>
        <w:b/>
        <w:color w:val="0070C0"/>
      </w:rPr>
      <w:t xml:space="preserve">VOTO PARTICULAR QUE FORMULA </w:t>
    </w:r>
  </w:p>
  <w:p w14:paraId="6E74C746" w14:textId="77777777" w:rsidR="002305C3" w:rsidRDefault="002305C3" w:rsidP="002305C3">
    <w:pPr>
      <w:pStyle w:val="Encabezado"/>
      <w:spacing w:line="360" w:lineRule="auto"/>
      <w:ind w:left="709"/>
      <w:rPr>
        <w:rFonts w:ascii="Arial" w:hAnsi="Arial" w:cs="Arial"/>
        <w:b/>
        <w:color w:val="0070C0"/>
      </w:rPr>
    </w:pPr>
    <w:r w:rsidRPr="002305C3">
      <w:rPr>
        <w:rFonts w:ascii="Arial" w:hAnsi="Arial" w:cs="Arial"/>
        <w:b/>
        <w:color w:val="0070C0"/>
      </w:rPr>
      <w:t xml:space="preserve">LA MINISTRA ANA MARGARITA RÍOS FARJAT </w:t>
    </w:r>
  </w:p>
  <w:p w14:paraId="07DC71DC" w14:textId="75A30DD7" w:rsidR="002305C3" w:rsidRDefault="002305C3" w:rsidP="002305C3">
    <w:pPr>
      <w:pStyle w:val="Encabezado"/>
      <w:pBdr>
        <w:bottom w:val="single" w:sz="6" w:space="1" w:color="auto"/>
      </w:pBdr>
      <w:spacing w:line="360" w:lineRule="auto"/>
      <w:ind w:left="709"/>
      <w:rPr>
        <w:rFonts w:ascii="Arial" w:hAnsi="Arial" w:cs="Arial"/>
        <w:b/>
        <w:color w:val="0070C0"/>
      </w:rPr>
    </w:pPr>
    <w:r w:rsidRPr="002305C3">
      <w:rPr>
        <w:rFonts w:ascii="Arial" w:hAnsi="Arial" w:cs="Arial"/>
        <w:b/>
        <w:color w:val="0070C0"/>
      </w:rPr>
      <w:t>EN EL AMPARO EN REVISIÓN 275/2019</w:t>
    </w:r>
  </w:p>
  <w:p w14:paraId="5C8759FE" w14:textId="77777777" w:rsidR="002305C3" w:rsidRPr="00196213" w:rsidRDefault="002305C3" w:rsidP="006C6AA9">
    <w:pPr>
      <w:pStyle w:val="Encabezado"/>
      <w:rPr>
        <w:color w:val="0070C0"/>
      </w:rPr>
    </w:pPr>
  </w:p>
  <w:p w14:paraId="0C01D31A" w14:textId="77777777" w:rsidR="005D1337" w:rsidRDefault="005D1337" w:rsidP="002305C3">
    <w:pPr>
      <w:pStyle w:val="Encabezado"/>
      <w:rPr>
        <w:rFonts w:ascii="Arial" w:hAnsi="Arial" w:cs="Arial"/>
      </w:rPr>
    </w:pPr>
  </w:p>
  <w:p w14:paraId="045CEA36" w14:textId="77777777" w:rsidR="007A4E24" w:rsidRPr="003C6188" w:rsidRDefault="007A4E24" w:rsidP="002305C3">
    <w:pPr>
      <w:pStyle w:val="Encabezado"/>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B8751" w14:textId="77777777" w:rsidR="002305C3" w:rsidRDefault="004437D5" w:rsidP="002305C3">
    <w:pPr>
      <w:pStyle w:val="Encabezado"/>
      <w:spacing w:line="360" w:lineRule="auto"/>
      <w:ind w:left="709"/>
      <w:jc w:val="right"/>
      <w:rPr>
        <w:rFonts w:ascii="Arial" w:hAnsi="Arial" w:cs="Arial"/>
        <w:b/>
        <w:color w:val="0070C0"/>
      </w:rPr>
    </w:pPr>
    <w:r w:rsidRPr="002305C3">
      <w:rPr>
        <w:rFonts w:ascii="Arial" w:hAnsi="Arial" w:cs="Arial"/>
        <w:b/>
        <w:color w:val="0070C0"/>
      </w:rPr>
      <w:t xml:space="preserve">VOTO </w:t>
    </w:r>
    <w:r w:rsidR="001D080D" w:rsidRPr="002305C3">
      <w:rPr>
        <w:rFonts w:ascii="Arial" w:hAnsi="Arial" w:cs="Arial"/>
        <w:b/>
        <w:color w:val="0070C0"/>
      </w:rPr>
      <w:t>PARTICULAR</w:t>
    </w:r>
    <w:r w:rsidRPr="002305C3">
      <w:rPr>
        <w:rFonts w:ascii="Arial" w:hAnsi="Arial" w:cs="Arial"/>
        <w:b/>
        <w:color w:val="0070C0"/>
      </w:rPr>
      <w:t xml:space="preserve"> QUE FORMULA </w:t>
    </w:r>
  </w:p>
  <w:p w14:paraId="110587B7" w14:textId="21A9D350" w:rsidR="002305C3" w:rsidRDefault="004437D5" w:rsidP="002305C3">
    <w:pPr>
      <w:pStyle w:val="Encabezado"/>
      <w:spacing w:line="360" w:lineRule="auto"/>
      <w:ind w:left="709"/>
      <w:jc w:val="right"/>
      <w:rPr>
        <w:rFonts w:ascii="Arial" w:hAnsi="Arial" w:cs="Arial"/>
        <w:b/>
        <w:color w:val="0070C0"/>
      </w:rPr>
    </w:pPr>
    <w:r w:rsidRPr="002305C3">
      <w:rPr>
        <w:rFonts w:ascii="Arial" w:hAnsi="Arial" w:cs="Arial"/>
        <w:b/>
        <w:color w:val="0070C0"/>
      </w:rPr>
      <w:t xml:space="preserve">LA MINISTRA ANA MARGARITA RÍOS FARJAT </w:t>
    </w:r>
  </w:p>
  <w:p w14:paraId="1908BD67" w14:textId="46DA6431" w:rsidR="005D1337" w:rsidRDefault="004437D5" w:rsidP="002305C3">
    <w:pPr>
      <w:pStyle w:val="Encabezado"/>
      <w:pBdr>
        <w:bottom w:val="single" w:sz="6" w:space="1" w:color="auto"/>
      </w:pBdr>
      <w:spacing w:line="360" w:lineRule="auto"/>
      <w:ind w:left="709"/>
      <w:jc w:val="right"/>
      <w:rPr>
        <w:rFonts w:ascii="Arial" w:hAnsi="Arial" w:cs="Arial"/>
        <w:b/>
        <w:color w:val="0070C0"/>
      </w:rPr>
    </w:pPr>
    <w:r w:rsidRPr="002305C3">
      <w:rPr>
        <w:rFonts w:ascii="Arial" w:hAnsi="Arial" w:cs="Arial"/>
        <w:b/>
        <w:color w:val="0070C0"/>
      </w:rPr>
      <w:t xml:space="preserve">EN </w:t>
    </w:r>
    <w:r w:rsidR="002B0782" w:rsidRPr="002305C3">
      <w:rPr>
        <w:rFonts w:ascii="Arial" w:hAnsi="Arial" w:cs="Arial"/>
        <w:b/>
        <w:color w:val="0070C0"/>
      </w:rPr>
      <w:t xml:space="preserve">EL AMPARO EN REVISIÓN </w:t>
    </w:r>
    <w:r w:rsidR="00BB0E05" w:rsidRPr="002305C3">
      <w:rPr>
        <w:rFonts w:ascii="Arial" w:hAnsi="Arial" w:cs="Arial"/>
        <w:b/>
        <w:color w:val="0070C0"/>
      </w:rPr>
      <w:t>275</w:t>
    </w:r>
    <w:r w:rsidR="002B0782" w:rsidRPr="002305C3">
      <w:rPr>
        <w:rFonts w:ascii="Arial" w:hAnsi="Arial" w:cs="Arial"/>
        <w:b/>
        <w:color w:val="0070C0"/>
      </w:rPr>
      <w:t>/2019</w:t>
    </w:r>
  </w:p>
  <w:p w14:paraId="73EE6D05" w14:textId="77777777" w:rsidR="007060D3" w:rsidRPr="006C6AA9" w:rsidRDefault="007060D3" w:rsidP="006C6AA9">
    <w:pPr>
      <w:pStyle w:val="Encabezado"/>
      <w:ind w:left="709"/>
      <w:rPr>
        <w:rFonts w:ascii="Arial" w:hAnsi="Arial" w:cs="Arial"/>
        <w:bCs/>
        <w:color w:val="0070C0"/>
      </w:rPr>
    </w:pPr>
  </w:p>
  <w:p w14:paraId="7F56D076" w14:textId="77777777" w:rsidR="0023043E" w:rsidRDefault="0023043E" w:rsidP="006C6AA9">
    <w:pPr>
      <w:pStyle w:val="Encabezado"/>
      <w:ind w:left="709"/>
      <w:rPr>
        <w:bCs/>
      </w:rPr>
    </w:pPr>
  </w:p>
  <w:p w14:paraId="256A0CE4" w14:textId="77777777" w:rsidR="007A4E24" w:rsidRPr="006C6AA9" w:rsidRDefault="007A4E24" w:rsidP="006C6AA9">
    <w:pPr>
      <w:pStyle w:val="Encabezado"/>
      <w:ind w:left="709"/>
      <w:rPr>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E1B8D"/>
    <w:multiLevelType w:val="hybridMultilevel"/>
    <w:tmpl w:val="557E451C"/>
    <w:lvl w:ilvl="0" w:tplc="FB82345E">
      <w:start w:val="1"/>
      <w:numFmt w:val="upperRoman"/>
      <w:lvlText w:val="%1."/>
      <w:lvlJc w:val="left"/>
      <w:pPr>
        <w:ind w:left="1080" w:hanging="72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F846805"/>
    <w:multiLevelType w:val="hybridMultilevel"/>
    <w:tmpl w:val="FFAE5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FC64C43"/>
    <w:multiLevelType w:val="hybridMultilevel"/>
    <w:tmpl w:val="795AF7D6"/>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D9A467E"/>
    <w:multiLevelType w:val="hybridMultilevel"/>
    <w:tmpl w:val="47B20812"/>
    <w:lvl w:ilvl="0" w:tplc="3A18FF28">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16A1059"/>
    <w:multiLevelType w:val="hybridMultilevel"/>
    <w:tmpl w:val="227C43D2"/>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2A377FC"/>
    <w:multiLevelType w:val="hybridMultilevel"/>
    <w:tmpl w:val="FDF2C34A"/>
    <w:lvl w:ilvl="0" w:tplc="F10CFE9A">
      <w:start w:val="1"/>
      <w:numFmt w:val="decimal"/>
      <w:lvlText w:val="%1."/>
      <w:lvlJc w:val="left"/>
      <w:pPr>
        <w:ind w:left="3272" w:hanging="720"/>
      </w:pPr>
      <w:rPr>
        <w:rFonts w:ascii="Arial" w:eastAsia="Times New Roman" w:hAnsi="Arial" w:cs="Arial"/>
        <w:b w:val="0"/>
        <w:color w:val="auto"/>
        <w:sz w:val="26"/>
        <w:szCs w:val="26"/>
        <w:lang w:val="es-ES_tradnl"/>
      </w:rPr>
    </w:lvl>
    <w:lvl w:ilvl="1" w:tplc="6E52D5D4">
      <w:start w:val="1"/>
      <w:numFmt w:val="decimal"/>
      <w:lvlText w:val="%2."/>
      <w:lvlJc w:val="right"/>
      <w:pPr>
        <w:ind w:left="1080" w:hanging="360"/>
      </w:pPr>
      <w:rPr>
        <w:rFonts w:ascii="Arial" w:eastAsiaTheme="minorHAnsi" w:hAnsi="Arial" w:cs="Arial"/>
      </w:rPr>
    </w:lvl>
    <w:lvl w:ilvl="2" w:tplc="080A001B">
      <w:start w:val="1"/>
      <w:numFmt w:val="lowerRoman"/>
      <w:lvlText w:val="%3."/>
      <w:lvlJc w:val="right"/>
      <w:pPr>
        <w:ind w:left="1800" w:hanging="180"/>
      </w:pPr>
    </w:lvl>
    <w:lvl w:ilvl="3" w:tplc="7D409778">
      <w:start w:val="1"/>
      <w:numFmt w:val="lowerLetter"/>
      <w:lvlText w:val="%4)"/>
      <w:lvlJc w:val="left"/>
      <w:pPr>
        <w:ind w:left="2520" w:hanging="360"/>
      </w:pPr>
      <w:rPr>
        <w:rFonts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2B761708"/>
    <w:multiLevelType w:val="hybridMultilevel"/>
    <w:tmpl w:val="EC1A4660"/>
    <w:lvl w:ilvl="0" w:tplc="838E404E">
      <w:start w:val="1"/>
      <w:numFmt w:val="decimal"/>
      <w:lvlText w:val="%1."/>
      <w:lvlJc w:val="left"/>
      <w:pPr>
        <w:ind w:left="8015" w:hanging="360"/>
      </w:pPr>
      <w:rPr>
        <w:rFonts w:ascii="Arial" w:hAnsi="Arial" w:cs="Arial" w:hint="default"/>
        <w:b w:val="0"/>
        <w:sz w:val="24"/>
      </w:rPr>
    </w:lvl>
    <w:lvl w:ilvl="1" w:tplc="080A0001">
      <w:start w:val="1"/>
      <w:numFmt w:val="bullet"/>
      <w:lvlText w:val=""/>
      <w:lvlJc w:val="left"/>
      <w:pPr>
        <w:ind w:left="416" w:firstLine="664"/>
      </w:pPr>
      <w:rPr>
        <w:rFonts w:ascii="Symbol" w:hAnsi="Symbol" w:hint="default"/>
      </w:rPr>
    </w:lvl>
    <w:lvl w:ilvl="2" w:tplc="5778FC3A">
      <w:start w:val="1"/>
      <w:numFmt w:val="upperLetter"/>
      <w:lvlText w:val="%3."/>
      <w:lvlJc w:val="left"/>
      <w:pPr>
        <w:ind w:left="2010" w:hanging="3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15:restartNumberingAfterBreak="0">
    <w:nsid w:val="2C9E5437"/>
    <w:multiLevelType w:val="hybridMultilevel"/>
    <w:tmpl w:val="ADDEA7E4"/>
    <w:lvl w:ilvl="0" w:tplc="E18EC06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D1835AF"/>
    <w:multiLevelType w:val="hybridMultilevel"/>
    <w:tmpl w:val="F46C819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E4B42"/>
    <w:multiLevelType w:val="hybridMultilevel"/>
    <w:tmpl w:val="E012B4C8"/>
    <w:lvl w:ilvl="0" w:tplc="7F2C2F2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4B65BEA"/>
    <w:multiLevelType w:val="hybridMultilevel"/>
    <w:tmpl w:val="CBB8E89C"/>
    <w:lvl w:ilvl="0" w:tplc="6E621C1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DD30AB8"/>
    <w:multiLevelType w:val="hybridMultilevel"/>
    <w:tmpl w:val="FFAE5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2073D15"/>
    <w:multiLevelType w:val="hybridMultilevel"/>
    <w:tmpl w:val="A0D0B2B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3010C63"/>
    <w:multiLevelType w:val="hybridMultilevel"/>
    <w:tmpl w:val="CBB8E89C"/>
    <w:lvl w:ilvl="0" w:tplc="6E621C1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A831901"/>
    <w:multiLevelType w:val="hybridMultilevel"/>
    <w:tmpl w:val="3E76BB3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EF33D6A"/>
    <w:multiLevelType w:val="hybridMultilevel"/>
    <w:tmpl w:val="A0964D22"/>
    <w:lvl w:ilvl="0" w:tplc="080A0011">
      <w:start w:val="1"/>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78285BB9"/>
    <w:multiLevelType w:val="hybridMultilevel"/>
    <w:tmpl w:val="FC9EBF06"/>
    <w:lvl w:ilvl="0" w:tplc="2D0A437A">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7" w15:restartNumberingAfterBreak="0">
    <w:nsid w:val="7DF43CA6"/>
    <w:multiLevelType w:val="hybridMultilevel"/>
    <w:tmpl w:val="03FC19BC"/>
    <w:lvl w:ilvl="0" w:tplc="221CE17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52394156">
    <w:abstractNumId w:val="3"/>
  </w:num>
  <w:num w:numId="2" w16cid:durableId="1114835567">
    <w:abstractNumId w:val="9"/>
  </w:num>
  <w:num w:numId="3" w16cid:durableId="779029656">
    <w:abstractNumId w:val="17"/>
  </w:num>
  <w:num w:numId="4" w16cid:durableId="343363298">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89382680">
    <w:abstractNumId w:val="14"/>
  </w:num>
  <w:num w:numId="6" w16cid:durableId="1283725589">
    <w:abstractNumId w:val="12"/>
  </w:num>
  <w:num w:numId="7" w16cid:durableId="737940221">
    <w:abstractNumId w:val="1"/>
  </w:num>
  <w:num w:numId="8" w16cid:durableId="1218512396">
    <w:abstractNumId w:val="11"/>
  </w:num>
  <w:num w:numId="9" w16cid:durableId="182742335">
    <w:abstractNumId w:val="13"/>
  </w:num>
  <w:num w:numId="10" w16cid:durableId="163981842">
    <w:abstractNumId w:val="10"/>
  </w:num>
  <w:num w:numId="11" w16cid:durableId="1750879981">
    <w:abstractNumId w:val="2"/>
  </w:num>
  <w:num w:numId="12" w16cid:durableId="1690833104">
    <w:abstractNumId w:val="16"/>
  </w:num>
  <w:num w:numId="13" w16cid:durableId="1478180822">
    <w:abstractNumId w:val="7"/>
  </w:num>
  <w:num w:numId="14" w16cid:durableId="827281599">
    <w:abstractNumId w:val="0"/>
  </w:num>
  <w:num w:numId="15" w16cid:durableId="1764260021">
    <w:abstractNumId w:val="8"/>
  </w:num>
  <w:num w:numId="16" w16cid:durableId="960189038">
    <w:abstractNumId w:val="4"/>
  </w:num>
  <w:num w:numId="17" w16cid:durableId="817965722">
    <w:abstractNumId w:val="15"/>
  </w:num>
  <w:num w:numId="18" w16cid:durableId="112997678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6E1"/>
    <w:rsid w:val="00007324"/>
    <w:rsid w:val="0001097B"/>
    <w:rsid w:val="000111DF"/>
    <w:rsid w:val="00020C19"/>
    <w:rsid w:val="00022E11"/>
    <w:rsid w:val="000246ED"/>
    <w:rsid w:val="00025A27"/>
    <w:rsid w:val="000264D4"/>
    <w:rsid w:val="00030834"/>
    <w:rsid w:val="00032949"/>
    <w:rsid w:val="00037406"/>
    <w:rsid w:val="00040AD1"/>
    <w:rsid w:val="00041242"/>
    <w:rsid w:val="000428FB"/>
    <w:rsid w:val="0004394B"/>
    <w:rsid w:val="0004714E"/>
    <w:rsid w:val="00052F9D"/>
    <w:rsid w:val="000557E1"/>
    <w:rsid w:val="00060361"/>
    <w:rsid w:val="000622D3"/>
    <w:rsid w:val="0006433F"/>
    <w:rsid w:val="0006790E"/>
    <w:rsid w:val="00067D4D"/>
    <w:rsid w:val="00077AF1"/>
    <w:rsid w:val="00080EF7"/>
    <w:rsid w:val="00082536"/>
    <w:rsid w:val="00083138"/>
    <w:rsid w:val="000859C6"/>
    <w:rsid w:val="0009022B"/>
    <w:rsid w:val="00090B65"/>
    <w:rsid w:val="00096B8A"/>
    <w:rsid w:val="00097CB9"/>
    <w:rsid w:val="000A1143"/>
    <w:rsid w:val="000A36C8"/>
    <w:rsid w:val="000A770C"/>
    <w:rsid w:val="000B1D01"/>
    <w:rsid w:val="000B2391"/>
    <w:rsid w:val="000B2C58"/>
    <w:rsid w:val="000B5208"/>
    <w:rsid w:val="000C0C2D"/>
    <w:rsid w:val="000C1D31"/>
    <w:rsid w:val="000C31C3"/>
    <w:rsid w:val="000C4636"/>
    <w:rsid w:val="000C4C69"/>
    <w:rsid w:val="000D17EF"/>
    <w:rsid w:val="000D47A7"/>
    <w:rsid w:val="000D6AA0"/>
    <w:rsid w:val="000D751D"/>
    <w:rsid w:val="000E3761"/>
    <w:rsid w:val="000E4A9C"/>
    <w:rsid w:val="000E600C"/>
    <w:rsid w:val="000F2E13"/>
    <w:rsid w:val="00101480"/>
    <w:rsid w:val="00101F93"/>
    <w:rsid w:val="001021DC"/>
    <w:rsid w:val="0011208F"/>
    <w:rsid w:val="00112678"/>
    <w:rsid w:val="00114D63"/>
    <w:rsid w:val="00116692"/>
    <w:rsid w:val="00120C9E"/>
    <w:rsid w:val="001219A4"/>
    <w:rsid w:val="00134909"/>
    <w:rsid w:val="00142A24"/>
    <w:rsid w:val="00145BD7"/>
    <w:rsid w:val="00146CA9"/>
    <w:rsid w:val="0016122E"/>
    <w:rsid w:val="00161C4B"/>
    <w:rsid w:val="0016222C"/>
    <w:rsid w:val="00166C07"/>
    <w:rsid w:val="00167BA4"/>
    <w:rsid w:val="001713B6"/>
    <w:rsid w:val="00171E34"/>
    <w:rsid w:val="001746FC"/>
    <w:rsid w:val="00180B03"/>
    <w:rsid w:val="0018437E"/>
    <w:rsid w:val="00184415"/>
    <w:rsid w:val="001856E2"/>
    <w:rsid w:val="00187AD2"/>
    <w:rsid w:val="00187C79"/>
    <w:rsid w:val="001906C0"/>
    <w:rsid w:val="00191502"/>
    <w:rsid w:val="001932E7"/>
    <w:rsid w:val="00195313"/>
    <w:rsid w:val="00196213"/>
    <w:rsid w:val="001A0EE7"/>
    <w:rsid w:val="001A0FB7"/>
    <w:rsid w:val="001A1F0C"/>
    <w:rsid w:val="001A377E"/>
    <w:rsid w:val="001A4293"/>
    <w:rsid w:val="001A4EA1"/>
    <w:rsid w:val="001A679F"/>
    <w:rsid w:val="001B1EEB"/>
    <w:rsid w:val="001C3C92"/>
    <w:rsid w:val="001C599E"/>
    <w:rsid w:val="001C6756"/>
    <w:rsid w:val="001C7676"/>
    <w:rsid w:val="001D0360"/>
    <w:rsid w:val="001D080D"/>
    <w:rsid w:val="001D2B51"/>
    <w:rsid w:val="001D5B98"/>
    <w:rsid w:val="001D79C0"/>
    <w:rsid w:val="001E0477"/>
    <w:rsid w:val="001E6DAF"/>
    <w:rsid w:val="001F1BBA"/>
    <w:rsid w:val="001F21C3"/>
    <w:rsid w:val="001F4DF4"/>
    <w:rsid w:val="001F5233"/>
    <w:rsid w:val="001F7507"/>
    <w:rsid w:val="001F7C7E"/>
    <w:rsid w:val="002034DE"/>
    <w:rsid w:val="002056A5"/>
    <w:rsid w:val="002072BE"/>
    <w:rsid w:val="00207B7E"/>
    <w:rsid w:val="002106AD"/>
    <w:rsid w:val="00217F5F"/>
    <w:rsid w:val="002223D3"/>
    <w:rsid w:val="00222FE3"/>
    <w:rsid w:val="00223CC4"/>
    <w:rsid w:val="00227C07"/>
    <w:rsid w:val="0023043E"/>
    <w:rsid w:val="002305C3"/>
    <w:rsid w:val="00230BF9"/>
    <w:rsid w:val="00236ABB"/>
    <w:rsid w:val="00241915"/>
    <w:rsid w:val="0024352D"/>
    <w:rsid w:val="00243BB9"/>
    <w:rsid w:val="0024529A"/>
    <w:rsid w:val="00245983"/>
    <w:rsid w:val="002470F0"/>
    <w:rsid w:val="00256A3B"/>
    <w:rsid w:val="00256D1E"/>
    <w:rsid w:val="00261C71"/>
    <w:rsid w:val="00263DEC"/>
    <w:rsid w:val="00265732"/>
    <w:rsid w:val="002713C4"/>
    <w:rsid w:val="0027332C"/>
    <w:rsid w:val="00273417"/>
    <w:rsid w:val="002766E1"/>
    <w:rsid w:val="0027690A"/>
    <w:rsid w:val="00277570"/>
    <w:rsid w:val="00280ECA"/>
    <w:rsid w:val="00281346"/>
    <w:rsid w:val="00281F5D"/>
    <w:rsid w:val="00282B34"/>
    <w:rsid w:val="00284DE8"/>
    <w:rsid w:val="002859B2"/>
    <w:rsid w:val="002944DE"/>
    <w:rsid w:val="002A3739"/>
    <w:rsid w:val="002A44A7"/>
    <w:rsid w:val="002A4E98"/>
    <w:rsid w:val="002B0782"/>
    <w:rsid w:val="002B17E3"/>
    <w:rsid w:val="002B1ACF"/>
    <w:rsid w:val="002B5A52"/>
    <w:rsid w:val="002B5DBE"/>
    <w:rsid w:val="002C3248"/>
    <w:rsid w:val="002D2EA9"/>
    <w:rsid w:val="002E00BE"/>
    <w:rsid w:val="002E2208"/>
    <w:rsid w:val="002E2A36"/>
    <w:rsid w:val="002F5A6D"/>
    <w:rsid w:val="002F6F6B"/>
    <w:rsid w:val="002F7BCE"/>
    <w:rsid w:val="00302140"/>
    <w:rsid w:val="00302B9B"/>
    <w:rsid w:val="00304746"/>
    <w:rsid w:val="00311D39"/>
    <w:rsid w:val="0031418B"/>
    <w:rsid w:val="00314930"/>
    <w:rsid w:val="00315EFB"/>
    <w:rsid w:val="00317F98"/>
    <w:rsid w:val="003211B1"/>
    <w:rsid w:val="003313E5"/>
    <w:rsid w:val="00331A83"/>
    <w:rsid w:val="00331FBF"/>
    <w:rsid w:val="00332A7A"/>
    <w:rsid w:val="00335FD2"/>
    <w:rsid w:val="00341D89"/>
    <w:rsid w:val="003433CD"/>
    <w:rsid w:val="0034395B"/>
    <w:rsid w:val="00350932"/>
    <w:rsid w:val="003545BF"/>
    <w:rsid w:val="00354E0E"/>
    <w:rsid w:val="00357EAF"/>
    <w:rsid w:val="00361416"/>
    <w:rsid w:val="00361D44"/>
    <w:rsid w:val="00373A3F"/>
    <w:rsid w:val="003750DE"/>
    <w:rsid w:val="00376924"/>
    <w:rsid w:val="00381B64"/>
    <w:rsid w:val="00390B6B"/>
    <w:rsid w:val="00391214"/>
    <w:rsid w:val="00392608"/>
    <w:rsid w:val="00392AD1"/>
    <w:rsid w:val="00392C9E"/>
    <w:rsid w:val="00397019"/>
    <w:rsid w:val="003A36B6"/>
    <w:rsid w:val="003A4E9E"/>
    <w:rsid w:val="003A5BFB"/>
    <w:rsid w:val="003B3447"/>
    <w:rsid w:val="003B4676"/>
    <w:rsid w:val="003B553D"/>
    <w:rsid w:val="003B584F"/>
    <w:rsid w:val="003B5903"/>
    <w:rsid w:val="003B6907"/>
    <w:rsid w:val="003B7E76"/>
    <w:rsid w:val="003C072F"/>
    <w:rsid w:val="003C0DE5"/>
    <w:rsid w:val="003C2927"/>
    <w:rsid w:val="003C6188"/>
    <w:rsid w:val="003D1539"/>
    <w:rsid w:val="003D4D6B"/>
    <w:rsid w:val="003D52DF"/>
    <w:rsid w:val="003E2D85"/>
    <w:rsid w:val="003E53E5"/>
    <w:rsid w:val="003E55F5"/>
    <w:rsid w:val="003E7CB9"/>
    <w:rsid w:val="003E7E6E"/>
    <w:rsid w:val="003F1D94"/>
    <w:rsid w:val="003F2CEE"/>
    <w:rsid w:val="003F68BA"/>
    <w:rsid w:val="00400D3A"/>
    <w:rsid w:val="0040168D"/>
    <w:rsid w:val="00404387"/>
    <w:rsid w:val="00415930"/>
    <w:rsid w:val="00435F45"/>
    <w:rsid w:val="004363A1"/>
    <w:rsid w:val="00436BDE"/>
    <w:rsid w:val="00441134"/>
    <w:rsid w:val="0044159F"/>
    <w:rsid w:val="00442555"/>
    <w:rsid w:val="004437D5"/>
    <w:rsid w:val="00447E2A"/>
    <w:rsid w:val="00450739"/>
    <w:rsid w:val="00460482"/>
    <w:rsid w:val="004640BD"/>
    <w:rsid w:val="00464EA8"/>
    <w:rsid w:val="004652C6"/>
    <w:rsid w:val="00466E49"/>
    <w:rsid w:val="00467A75"/>
    <w:rsid w:val="004707F8"/>
    <w:rsid w:val="00473404"/>
    <w:rsid w:val="00473618"/>
    <w:rsid w:val="00475FF2"/>
    <w:rsid w:val="00480722"/>
    <w:rsid w:val="00480AC0"/>
    <w:rsid w:val="00480B1D"/>
    <w:rsid w:val="00482E3A"/>
    <w:rsid w:val="004836C8"/>
    <w:rsid w:val="004836F4"/>
    <w:rsid w:val="00483DF8"/>
    <w:rsid w:val="00483F70"/>
    <w:rsid w:val="00484504"/>
    <w:rsid w:val="0049334E"/>
    <w:rsid w:val="00497FB5"/>
    <w:rsid w:val="004A0DC8"/>
    <w:rsid w:val="004A2DC0"/>
    <w:rsid w:val="004A4BF6"/>
    <w:rsid w:val="004A4C32"/>
    <w:rsid w:val="004A5F17"/>
    <w:rsid w:val="004B3A5F"/>
    <w:rsid w:val="004B3D0B"/>
    <w:rsid w:val="004B4F46"/>
    <w:rsid w:val="004C3477"/>
    <w:rsid w:val="004C547C"/>
    <w:rsid w:val="004D15FA"/>
    <w:rsid w:val="004D47F5"/>
    <w:rsid w:val="004D6DCC"/>
    <w:rsid w:val="004E19FB"/>
    <w:rsid w:val="004E1F5C"/>
    <w:rsid w:val="004E247B"/>
    <w:rsid w:val="004E294C"/>
    <w:rsid w:val="004F0130"/>
    <w:rsid w:val="004F1322"/>
    <w:rsid w:val="004F19FE"/>
    <w:rsid w:val="004F2AD1"/>
    <w:rsid w:val="004F3114"/>
    <w:rsid w:val="00500780"/>
    <w:rsid w:val="00502080"/>
    <w:rsid w:val="00506380"/>
    <w:rsid w:val="00507287"/>
    <w:rsid w:val="00513B3E"/>
    <w:rsid w:val="005160B4"/>
    <w:rsid w:val="00516937"/>
    <w:rsid w:val="005169FF"/>
    <w:rsid w:val="0051706E"/>
    <w:rsid w:val="00521E8E"/>
    <w:rsid w:val="00525178"/>
    <w:rsid w:val="00527457"/>
    <w:rsid w:val="00534B82"/>
    <w:rsid w:val="00535478"/>
    <w:rsid w:val="00544EFB"/>
    <w:rsid w:val="00552E45"/>
    <w:rsid w:val="00554325"/>
    <w:rsid w:val="005550E4"/>
    <w:rsid w:val="00555D3C"/>
    <w:rsid w:val="005567C0"/>
    <w:rsid w:val="00560953"/>
    <w:rsid w:val="005613AF"/>
    <w:rsid w:val="005716DB"/>
    <w:rsid w:val="0057216F"/>
    <w:rsid w:val="00573459"/>
    <w:rsid w:val="00573EFC"/>
    <w:rsid w:val="00576B3C"/>
    <w:rsid w:val="005819BA"/>
    <w:rsid w:val="00583B2A"/>
    <w:rsid w:val="00584401"/>
    <w:rsid w:val="00585012"/>
    <w:rsid w:val="00585B9A"/>
    <w:rsid w:val="00593B4D"/>
    <w:rsid w:val="00595015"/>
    <w:rsid w:val="00595DDB"/>
    <w:rsid w:val="005A0E6E"/>
    <w:rsid w:val="005A78BD"/>
    <w:rsid w:val="005B5E10"/>
    <w:rsid w:val="005B5E63"/>
    <w:rsid w:val="005B6D9B"/>
    <w:rsid w:val="005B74EC"/>
    <w:rsid w:val="005C0E89"/>
    <w:rsid w:val="005C1743"/>
    <w:rsid w:val="005C2185"/>
    <w:rsid w:val="005C21FF"/>
    <w:rsid w:val="005C29A1"/>
    <w:rsid w:val="005C6DF6"/>
    <w:rsid w:val="005C77D9"/>
    <w:rsid w:val="005D1337"/>
    <w:rsid w:val="005D1A93"/>
    <w:rsid w:val="005D1E1E"/>
    <w:rsid w:val="005D4BDC"/>
    <w:rsid w:val="005D50E8"/>
    <w:rsid w:val="005D52A0"/>
    <w:rsid w:val="005E078D"/>
    <w:rsid w:val="005E4CBB"/>
    <w:rsid w:val="005E5C8D"/>
    <w:rsid w:val="005F5202"/>
    <w:rsid w:val="005F673C"/>
    <w:rsid w:val="00605A0C"/>
    <w:rsid w:val="006061AC"/>
    <w:rsid w:val="00612502"/>
    <w:rsid w:val="0061269C"/>
    <w:rsid w:val="00614DCA"/>
    <w:rsid w:val="0062042F"/>
    <w:rsid w:val="00627590"/>
    <w:rsid w:val="00627B77"/>
    <w:rsid w:val="00630739"/>
    <w:rsid w:val="00633899"/>
    <w:rsid w:val="00633FBE"/>
    <w:rsid w:val="00635A77"/>
    <w:rsid w:val="00640DDB"/>
    <w:rsid w:val="006425B2"/>
    <w:rsid w:val="00644473"/>
    <w:rsid w:val="00645152"/>
    <w:rsid w:val="00645F5D"/>
    <w:rsid w:val="00650634"/>
    <w:rsid w:val="006510A6"/>
    <w:rsid w:val="0066124B"/>
    <w:rsid w:val="00662046"/>
    <w:rsid w:val="00664FA8"/>
    <w:rsid w:val="00665BAA"/>
    <w:rsid w:val="0067133E"/>
    <w:rsid w:val="006732EE"/>
    <w:rsid w:val="00674B37"/>
    <w:rsid w:val="00675CD6"/>
    <w:rsid w:val="00677481"/>
    <w:rsid w:val="00677E9C"/>
    <w:rsid w:val="00680089"/>
    <w:rsid w:val="00682ADC"/>
    <w:rsid w:val="00683079"/>
    <w:rsid w:val="006833F7"/>
    <w:rsid w:val="0068734F"/>
    <w:rsid w:val="00692627"/>
    <w:rsid w:val="0069289E"/>
    <w:rsid w:val="00694126"/>
    <w:rsid w:val="00694DD2"/>
    <w:rsid w:val="006955D0"/>
    <w:rsid w:val="00696D67"/>
    <w:rsid w:val="006A130F"/>
    <w:rsid w:val="006A1505"/>
    <w:rsid w:val="006A189C"/>
    <w:rsid w:val="006A3FA0"/>
    <w:rsid w:val="006A4D71"/>
    <w:rsid w:val="006A5F36"/>
    <w:rsid w:val="006A7044"/>
    <w:rsid w:val="006B18D4"/>
    <w:rsid w:val="006B2B93"/>
    <w:rsid w:val="006B5EDC"/>
    <w:rsid w:val="006C640A"/>
    <w:rsid w:val="006C6AA9"/>
    <w:rsid w:val="006D0BA1"/>
    <w:rsid w:val="006D1602"/>
    <w:rsid w:val="006D221C"/>
    <w:rsid w:val="006D2C64"/>
    <w:rsid w:val="006D39CC"/>
    <w:rsid w:val="006D4DBA"/>
    <w:rsid w:val="006D53C0"/>
    <w:rsid w:val="006D661C"/>
    <w:rsid w:val="006E4402"/>
    <w:rsid w:val="006E52E2"/>
    <w:rsid w:val="006E759F"/>
    <w:rsid w:val="006F0281"/>
    <w:rsid w:val="006F02FF"/>
    <w:rsid w:val="006F068E"/>
    <w:rsid w:val="006F4A94"/>
    <w:rsid w:val="006F58FB"/>
    <w:rsid w:val="006F5BB1"/>
    <w:rsid w:val="006F5C07"/>
    <w:rsid w:val="00700B7B"/>
    <w:rsid w:val="007031B1"/>
    <w:rsid w:val="00703F70"/>
    <w:rsid w:val="00704615"/>
    <w:rsid w:val="00705B05"/>
    <w:rsid w:val="007060D3"/>
    <w:rsid w:val="00706CCE"/>
    <w:rsid w:val="0071217C"/>
    <w:rsid w:val="00712C4B"/>
    <w:rsid w:val="00716B24"/>
    <w:rsid w:val="007212CF"/>
    <w:rsid w:val="00721BFE"/>
    <w:rsid w:val="00723282"/>
    <w:rsid w:val="00723554"/>
    <w:rsid w:val="007256AD"/>
    <w:rsid w:val="00725917"/>
    <w:rsid w:val="00732CBC"/>
    <w:rsid w:val="007402B2"/>
    <w:rsid w:val="00741D06"/>
    <w:rsid w:val="00744FB7"/>
    <w:rsid w:val="007479BE"/>
    <w:rsid w:val="00751DE0"/>
    <w:rsid w:val="0075237A"/>
    <w:rsid w:val="00752453"/>
    <w:rsid w:val="00754954"/>
    <w:rsid w:val="00755535"/>
    <w:rsid w:val="00756D14"/>
    <w:rsid w:val="007574DF"/>
    <w:rsid w:val="00757D52"/>
    <w:rsid w:val="00764CC1"/>
    <w:rsid w:val="00766739"/>
    <w:rsid w:val="007676E3"/>
    <w:rsid w:val="007713FE"/>
    <w:rsid w:val="00773798"/>
    <w:rsid w:val="007773B4"/>
    <w:rsid w:val="00787C63"/>
    <w:rsid w:val="00790CBE"/>
    <w:rsid w:val="0079101B"/>
    <w:rsid w:val="00791A79"/>
    <w:rsid w:val="00795A9E"/>
    <w:rsid w:val="00797120"/>
    <w:rsid w:val="007A0186"/>
    <w:rsid w:val="007A2E11"/>
    <w:rsid w:val="007A3E71"/>
    <w:rsid w:val="007A45AD"/>
    <w:rsid w:val="007A4716"/>
    <w:rsid w:val="007A4D78"/>
    <w:rsid w:val="007A4E24"/>
    <w:rsid w:val="007A767D"/>
    <w:rsid w:val="007B2B3E"/>
    <w:rsid w:val="007B5754"/>
    <w:rsid w:val="007C55E8"/>
    <w:rsid w:val="007C635E"/>
    <w:rsid w:val="007C73E3"/>
    <w:rsid w:val="007D1601"/>
    <w:rsid w:val="007D224B"/>
    <w:rsid w:val="007D46A4"/>
    <w:rsid w:val="007E23E9"/>
    <w:rsid w:val="007E4B37"/>
    <w:rsid w:val="007E5166"/>
    <w:rsid w:val="007E5271"/>
    <w:rsid w:val="007E75E1"/>
    <w:rsid w:val="007F00E2"/>
    <w:rsid w:val="007F025F"/>
    <w:rsid w:val="007F12B3"/>
    <w:rsid w:val="007F5B75"/>
    <w:rsid w:val="007F647B"/>
    <w:rsid w:val="007F7EA1"/>
    <w:rsid w:val="007F7FF5"/>
    <w:rsid w:val="00803267"/>
    <w:rsid w:val="00803C63"/>
    <w:rsid w:val="00807585"/>
    <w:rsid w:val="008076CE"/>
    <w:rsid w:val="00812D03"/>
    <w:rsid w:val="0081435F"/>
    <w:rsid w:val="00817536"/>
    <w:rsid w:val="00817552"/>
    <w:rsid w:val="00822139"/>
    <w:rsid w:val="00824D96"/>
    <w:rsid w:val="00825F95"/>
    <w:rsid w:val="0083260F"/>
    <w:rsid w:val="00835990"/>
    <w:rsid w:val="00836FF7"/>
    <w:rsid w:val="00841F44"/>
    <w:rsid w:val="00842206"/>
    <w:rsid w:val="008440D8"/>
    <w:rsid w:val="00844481"/>
    <w:rsid w:val="008453BE"/>
    <w:rsid w:val="0084743A"/>
    <w:rsid w:val="00853B4C"/>
    <w:rsid w:val="00857295"/>
    <w:rsid w:val="00871898"/>
    <w:rsid w:val="008746AC"/>
    <w:rsid w:val="00874861"/>
    <w:rsid w:val="008810E4"/>
    <w:rsid w:val="00885385"/>
    <w:rsid w:val="00887969"/>
    <w:rsid w:val="008914E9"/>
    <w:rsid w:val="00891524"/>
    <w:rsid w:val="008959B0"/>
    <w:rsid w:val="008A030F"/>
    <w:rsid w:val="008A198D"/>
    <w:rsid w:val="008A2308"/>
    <w:rsid w:val="008A4827"/>
    <w:rsid w:val="008A6532"/>
    <w:rsid w:val="008A7D55"/>
    <w:rsid w:val="008B06E5"/>
    <w:rsid w:val="008B4C8B"/>
    <w:rsid w:val="008D0134"/>
    <w:rsid w:val="008D0B43"/>
    <w:rsid w:val="008D289B"/>
    <w:rsid w:val="008D2CA0"/>
    <w:rsid w:val="008D2EFD"/>
    <w:rsid w:val="008D48F2"/>
    <w:rsid w:val="008D5723"/>
    <w:rsid w:val="008D7F12"/>
    <w:rsid w:val="008E7E3E"/>
    <w:rsid w:val="008F0B02"/>
    <w:rsid w:val="008F23AC"/>
    <w:rsid w:val="008F576A"/>
    <w:rsid w:val="00900F5B"/>
    <w:rsid w:val="0090139D"/>
    <w:rsid w:val="00901FF9"/>
    <w:rsid w:val="00902785"/>
    <w:rsid w:val="009036B5"/>
    <w:rsid w:val="00906B7D"/>
    <w:rsid w:val="00906F8F"/>
    <w:rsid w:val="00912F7A"/>
    <w:rsid w:val="00915D78"/>
    <w:rsid w:val="00922B7E"/>
    <w:rsid w:val="00925543"/>
    <w:rsid w:val="00932564"/>
    <w:rsid w:val="00933752"/>
    <w:rsid w:val="00941984"/>
    <w:rsid w:val="00941A0D"/>
    <w:rsid w:val="00946D08"/>
    <w:rsid w:val="0095006E"/>
    <w:rsid w:val="00953DDD"/>
    <w:rsid w:val="00955A41"/>
    <w:rsid w:val="00956A90"/>
    <w:rsid w:val="0096214F"/>
    <w:rsid w:val="00962EDB"/>
    <w:rsid w:val="009659BF"/>
    <w:rsid w:val="00967F26"/>
    <w:rsid w:val="009716E0"/>
    <w:rsid w:val="00973603"/>
    <w:rsid w:val="0097632B"/>
    <w:rsid w:val="009816B5"/>
    <w:rsid w:val="00982124"/>
    <w:rsid w:val="0098696D"/>
    <w:rsid w:val="00991414"/>
    <w:rsid w:val="009928FB"/>
    <w:rsid w:val="00993395"/>
    <w:rsid w:val="0099405F"/>
    <w:rsid w:val="00994AEC"/>
    <w:rsid w:val="009A1767"/>
    <w:rsid w:val="009A1E8F"/>
    <w:rsid w:val="009A4AA9"/>
    <w:rsid w:val="009A57C5"/>
    <w:rsid w:val="009A6B56"/>
    <w:rsid w:val="009A75B1"/>
    <w:rsid w:val="009A7BEE"/>
    <w:rsid w:val="009B1D3B"/>
    <w:rsid w:val="009B60B8"/>
    <w:rsid w:val="009C4023"/>
    <w:rsid w:val="009D12EB"/>
    <w:rsid w:val="009D23DD"/>
    <w:rsid w:val="009D3333"/>
    <w:rsid w:val="009D340B"/>
    <w:rsid w:val="009E50C1"/>
    <w:rsid w:val="009E76DF"/>
    <w:rsid w:val="009E78C9"/>
    <w:rsid w:val="009F0DDE"/>
    <w:rsid w:val="009F3C46"/>
    <w:rsid w:val="009F498E"/>
    <w:rsid w:val="009F5011"/>
    <w:rsid w:val="009F69AA"/>
    <w:rsid w:val="009F7AD2"/>
    <w:rsid w:val="00A01B1B"/>
    <w:rsid w:val="00A02D48"/>
    <w:rsid w:val="00A0345F"/>
    <w:rsid w:val="00A04BA7"/>
    <w:rsid w:val="00A068B7"/>
    <w:rsid w:val="00A06FBD"/>
    <w:rsid w:val="00A07ABB"/>
    <w:rsid w:val="00A1346A"/>
    <w:rsid w:val="00A17227"/>
    <w:rsid w:val="00A20E15"/>
    <w:rsid w:val="00A22938"/>
    <w:rsid w:val="00A23555"/>
    <w:rsid w:val="00A25C38"/>
    <w:rsid w:val="00A30B7F"/>
    <w:rsid w:val="00A31E0B"/>
    <w:rsid w:val="00A32FAF"/>
    <w:rsid w:val="00A4584B"/>
    <w:rsid w:val="00A51A76"/>
    <w:rsid w:val="00A53858"/>
    <w:rsid w:val="00A566A1"/>
    <w:rsid w:val="00A61C55"/>
    <w:rsid w:val="00A625F2"/>
    <w:rsid w:val="00A62DC1"/>
    <w:rsid w:val="00A7068C"/>
    <w:rsid w:val="00A707D0"/>
    <w:rsid w:val="00A70E0F"/>
    <w:rsid w:val="00A7138D"/>
    <w:rsid w:val="00A71B84"/>
    <w:rsid w:val="00A72BEF"/>
    <w:rsid w:val="00A7300C"/>
    <w:rsid w:val="00A74691"/>
    <w:rsid w:val="00A807D5"/>
    <w:rsid w:val="00A85552"/>
    <w:rsid w:val="00A85C86"/>
    <w:rsid w:val="00A87E66"/>
    <w:rsid w:val="00A9117F"/>
    <w:rsid w:val="00A93C7A"/>
    <w:rsid w:val="00A942AA"/>
    <w:rsid w:val="00A946CC"/>
    <w:rsid w:val="00A95405"/>
    <w:rsid w:val="00A95DCD"/>
    <w:rsid w:val="00A97B20"/>
    <w:rsid w:val="00AA0450"/>
    <w:rsid w:val="00AA07DE"/>
    <w:rsid w:val="00AA30A7"/>
    <w:rsid w:val="00AA4B39"/>
    <w:rsid w:val="00AA4DDA"/>
    <w:rsid w:val="00AA67AE"/>
    <w:rsid w:val="00AB0DE8"/>
    <w:rsid w:val="00AB26B6"/>
    <w:rsid w:val="00AB3BB5"/>
    <w:rsid w:val="00AB48D0"/>
    <w:rsid w:val="00AB600D"/>
    <w:rsid w:val="00AC1E0C"/>
    <w:rsid w:val="00AC2CBA"/>
    <w:rsid w:val="00AD16AD"/>
    <w:rsid w:val="00AD17B4"/>
    <w:rsid w:val="00AD25BF"/>
    <w:rsid w:val="00AD3FCD"/>
    <w:rsid w:val="00AD433E"/>
    <w:rsid w:val="00AD53A9"/>
    <w:rsid w:val="00AD6102"/>
    <w:rsid w:val="00AE3329"/>
    <w:rsid w:val="00AE59CA"/>
    <w:rsid w:val="00AF0856"/>
    <w:rsid w:val="00AF2476"/>
    <w:rsid w:val="00AF4376"/>
    <w:rsid w:val="00AF4CC6"/>
    <w:rsid w:val="00AF6B7A"/>
    <w:rsid w:val="00AF70FF"/>
    <w:rsid w:val="00AF7957"/>
    <w:rsid w:val="00B00209"/>
    <w:rsid w:val="00B0135D"/>
    <w:rsid w:val="00B02724"/>
    <w:rsid w:val="00B036F1"/>
    <w:rsid w:val="00B0492B"/>
    <w:rsid w:val="00B04982"/>
    <w:rsid w:val="00B06436"/>
    <w:rsid w:val="00B07428"/>
    <w:rsid w:val="00B11EA8"/>
    <w:rsid w:val="00B13722"/>
    <w:rsid w:val="00B178AE"/>
    <w:rsid w:val="00B2019E"/>
    <w:rsid w:val="00B22772"/>
    <w:rsid w:val="00B2488B"/>
    <w:rsid w:val="00B24972"/>
    <w:rsid w:val="00B24C04"/>
    <w:rsid w:val="00B25A06"/>
    <w:rsid w:val="00B27FF0"/>
    <w:rsid w:val="00B32DF9"/>
    <w:rsid w:val="00B361A0"/>
    <w:rsid w:val="00B37F42"/>
    <w:rsid w:val="00B4106E"/>
    <w:rsid w:val="00B41554"/>
    <w:rsid w:val="00B46328"/>
    <w:rsid w:val="00B50AE7"/>
    <w:rsid w:val="00B538B4"/>
    <w:rsid w:val="00B54B40"/>
    <w:rsid w:val="00B621BE"/>
    <w:rsid w:val="00B62739"/>
    <w:rsid w:val="00B62F0C"/>
    <w:rsid w:val="00B65710"/>
    <w:rsid w:val="00B65F95"/>
    <w:rsid w:val="00B7234D"/>
    <w:rsid w:val="00B75551"/>
    <w:rsid w:val="00B80044"/>
    <w:rsid w:val="00B80700"/>
    <w:rsid w:val="00B8099B"/>
    <w:rsid w:val="00B83887"/>
    <w:rsid w:val="00B96DBC"/>
    <w:rsid w:val="00B979FC"/>
    <w:rsid w:val="00B97BC1"/>
    <w:rsid w:val="00B97D95"/>
    <w:rsid w:val="00BA6230"/>
    <w:rsid w:val="00BA63D6"/>
    <w:rsid w:val="00BA73E5"/>
    <w:rsid w:val="00BB00C9"/>
    <w:rsid w:val="00BB099D"/>
    <w:rsid w:val="00BB0E05"/>
    <w:rsid w:val="00BB4F6D"/>
    <w:rsid w:val="00BC1DB2"/>
    <w:rsid w:val="00BC240A"/>
    <w:rsid w:val="00BC3B20"/>
    <w:rsid w:val="00BC5579"/>
    <w:rsid w:val="00BC7F1A"/>
    <w:rsid w:val="00BE7BB5"/>
    <w:rsid w:val="00BE7BD0"/>
    <w:rsid w:val="00BF1779"/>
    <w:rsid w:val="00BF42AE"/>
    <w:rsid w:val="00BF6679"/>
    <w:rsid w:val="00C00EFC"/>
    <w:rsid w:val="00C02DBC"/>
    <w:rsid w:val="00C02DE5"/>
    <w:rsid w:val="00C04DA6"/>
    <w:rsid w:val="00C076FE"/>
    <w:rsid w:val="00C1348F"/>
    <w:rsid w:val="00C15269"/>
    <w:rsid w:val="00C16F7C"/>
    <w:rsid w:val="00C21154"/>
    <w:rsid w:val="00C23CDA"/>
    <w:rsid w:val="00C23F05"/>
    <w:rsid w:val="00C25353"/>
    <w:rsid w:val="00C26BA1"/>
    <w:rsid w:val="00C27979"/>
    <w:rsid w:val="00C308F7"/>
    <w:rsid w:val="00C34168"/>
    <w:rsid w:val="00C37980"/>
    <w:rsid w:val="00C43306"/>
    <w:rsid w:val="00C43E21"/>
    <w:rsid w:val="00C43E99"/>
    <w:rsid w:val="00C4639E"/>
    <w:rsid w:val="00C51069"/>
    <w:rsid w:val="00C52F91"/>
    <w:rsid w:val="00C55506"/>
    <w:rsid w:val="00C62C09"/>
    <w:rsid w:val="00C631ED"/>
    <w:rsid w:val="00C67248"/>
    <w:rsid w:val="00C708F6"/>
    <w:rsid w:val="00C726FC"/>
    <w:rsid w:val="00C75D4C"/>
    <w:rsid w:val="00C76DB5"/>
    <w:rsid w:val="00C81B15"/>
    <w:rsid w:val="00C83533"/>
    <w:rsid w:val="00C84710"/>
    <w:rsid w:val="00C85D3F"/>
    <w:rsid w:val="00C86CBD"/>
    <w:rsid w:val="00CA21F2"/>
    <w:rsid w:val="00CA2D95"/>
    <w:rsid w:val="00CA464A"/>
    <w:rsid w:val="00CA526E"/>
    <w:rsid w:val="00CB38C7"/>
    <w:rsid w:val="00CC1A5D"/>
    <w:rsid w:val="00CC3B69"/>
    <w:rsid w:val="00CC4058"/>
    <w:rsid w:val="00CC6CD1"/>
    <w:rsid w:val="00CD1A10"/>
    <w:rsid w:val="00CD1BA7"/>
    <w:rsid w:val="00CD5907"/>
    <w:rsid w:val="00CE48A9"/>
    <w:rsid w:val="00CE7FF0"/>
    <w:rsid w:val="00CF728E"/>
    <w:rsid w:val="00D02B9B"/>
    <w:rsid w:val="00D0425A"/>
    <w:rsid w:val="00D044E3"/>
    <w:rsid w:val="00D055C8"/>
    <w:rsid w:val="00D075B8"/>
    <w:rsid w:val="00D10C29"/>
    <w:rsid w:val="00D11A73"/>
    <w:rsid w:val="00D11FB6"/>
    <w:rsid w:val="00D123A2"/>
    <w:rsid w:val="00D12AC6"/>
    <w:rsid w:val="00D12B36"/>
    <w:rsid w:val="00D147D3"/>
    <w:rsid w:val="00D14E7B"/>
    <w:rsid w:val="00D1615E"/>
    <w:rsid w:val="00D162B2"/>
    <w:rsid w:val="00D16A43"/>
    <w:rsid w:val="00D20CB7"/>
    <w:rsid w:val="00D22C83"/>
    <w:rsid w:val="00D24B8B"/>
    <w:rsid w:val="00D2547E"/>
    <w:rsid w:val="00D27AB2"/>
    <w:rsid w:val="00D303B2"/>
    <w:rsid w:val="00D30670"/>
    <w:rsid w:val="00D349B9"/>
    <w:rsid w:val="00D358A7"/>
    <w:rsid w:val="00D41286"/>
    <w:rsid w:val="00D42A4F"/>
    <w:rsid w:val="00D4651E"/>
    <w:rsid w:val="00D50A73"/>
    <w:rsid w:val="00D526AA"/>
    <w:rsid w:val="00D54938"/>
    <w:rsid w:val="00D5722B"/>
    <w:rsid w:val="00D63DC3"/>
    <w:rsid w:val="00D66E7D"/>
    <w:rsid w:val="00D70175"/>
    <w:rsid w:val="00D72926"/>
    <w:rsid w:val="00D74E67"/>
    <w:rsid w:val="00D75106"/>
    <w:rsid w:val="00D75457"/>
    <w:rsid w:val="00D77E91"/>
    <w:rsid w:val="00D77F55"/>
    <w:rsid w:val="00D82380"/>
    <w:rsid w:val="00D82710"/>
    <w:rsid w:val="00D82D87"/>
    <w:rsid w:val="00D834F6"/>
    <w:rsid w:val="00D84A44"/>
    <w:rsid w:val="00D85324"/>
    <w:rsid w:val="00D853EF"/>
    <w:rsid w:val="00D9114F"/>
    <w:rsid w:val="00D92769"/>
    <w:rsid w:val="00D92D71"/>
    <w:rsid w:val="00D94323"/>
    <w:rsid w:val="00D9568B"/>
    <w:rsid w:val="00DA14E5"/>
    <w:rsid w:val="00DB49BD"/>
    <w:rsid w:val="00DB60CD"/>
    <w:rsid w:val="00DB788C"/>
    <w:rsid w:val="00DC05BB"/>
    <w:rsid w:val="00DC2A2C"/>
    <w:rsid w:val="00DC4F03"/>
    <w:rsid w:val="00DD3D13"/>
    <w:rsid w:val="00DD4312"/>
    <w:rsid w:val="00DD46FC"/>
    <w:rsid w:val="00DD4CA4"/>
    <w:rsid w:val="00DE270E"/>
    <w:rsid w:val="00DE70F1"/>
    <w:rsid w:val="00DE72CC"/>
    <w:rsid w:val="00DE7550"/>
    <w:rsid w:val="00DE7B4E"/>
    <w:rsid w:val="00DF0BE3"/>
    <w:rsid w:val="00DF4CE7"/>
    <w:rsid w:val="00DF5818"/>
    <w:rsid w:val="00E0123A"/>
    <w:rsid w:val="00E03C8B"/>
    <w:rsid w:val="00E0456E"/>
    <w:rsid w:val="00E077AC"/>
    <w:rsid w:val="00E10194"/>
    <w:rsid w:val="00E11FE3"/>
    <w:rsid w:val="00E12077"/>
    <w:rsid w:val="00E17F4F"/>
    <w:rsid w:val="00E214F7"/>
    <w:rsid w:val="00E22C4B"/>
    <w:rsid w:val="00E23CBC"/>
    <w:rsid w:val="00E32825"/>
    <w:rsid w:val="00E336CC"/>
    <w:rsid w:val="00E35874"/>
    <w:rsid w:val="00E37B09"/>
    <w:rsid w:val="00E41703"/>
    <w:rsid w:val="00E43AE9"/>
    <w:rsid w:val="00E52211"/>
    <w:rsid w:val="00E53683"/>
    <w:rsid w:val="00E606D1"/>
    <w:rsid w:val="00E61D7E"/>
    <w:rsid w:val="00E66624"/>
    <w:rsid w:val="00E70AB3"/>
    <w:rsid w:val="00E716E1"/>
    <w:rsid w:val="00E73C9C"/>
    <w:rsid w:val="00E75E6D"/>
    <w:rsid w:val="00E77509"/>
    <w:rsid w:val="00E82B22"/>
    <w:rsid w:val="00E83070"/>
    <w:rsid w:val="00E86D1D"/>
    <w:rsid w:val="00E87DA1"/>
    <w:rsid w:val="00E87FA9"/>
    <w:rsid w:val="00E92478"/>
    <w:rsid w:val="00EA1347"/>
    <w:rsid w:val="00EA1D81"/>
    <w:rsid w:val="00EA58C7"/>
    <w:rsid w:val="00EA62F3"/>
    <w:rsid w:val="00EA6609"/>
    <w:rsid w:val="00EA6987"/>
    <w:rsid w:val="00EB3ED6"/>
    <w:rsid w:val="00EB43A0"/>
    <w:rsid w:val="00EC475B"/>
    <w:rsid w:val="00EC5200"/>
    <w:rsid w:val="00EC5C3D"/>
    <w:rsid w:val="00EC6EA0"/>
    <w:rsid w:val="00ED1898"/>
    <w:rsid w:val="00ED1D0B"/>
    <w:rsid w:val="00ED3750"/>
    <w:rsid w:val="00ED617A"/>
    <w:rsid w:val="00ED6D1E"/>
    <w:rsid w:val="00ED73EB"/>
    <w:rsid w:val="00EE069F"/>
    <w:rsid w:val="00EE72A1"/>
    <w:rsid w:val="00EF201B"/>
    <w:rsid w:val="00EF4268"/>
    <w:rsid w:val="00EF45AE"/>
    <w:rsid w:val="00F02EF6"/>
    <w:rsid w:val="00F04790"/>
    <w:rsid w:val="00F049AC"/>
    <w:rsid w:val="00F06DAF"/>
    <w:rsid w:val="00F12A19"/>
    <w:rsid w:val="00F21922"/>
    <w:rsid w:val="00F23D46"/>
    <w:rsid w:val="00F24060"/>
    <w:rsid w:val="00F30595"/>
    <w:rsid w:val="00F324F8"/>
    <w:rsid w:val="00F33AF4"/>
    <w:rsid w:val="00F349EC"/>
    <w:rsid w:val="00F363CC"/>
    <w:rsid w:val="00F413E9"/>
    <w:rsid w:val="00F43E9C"/>
    <w:rsid w:val="00F44899"/>
    <w:rsid w:val="00F4509E"/>
    <w:rsid w:val="00F4570F"/>
    <w:rsid w:val="00F4572E"/>
    <w:rsid w:val="00F457ED"/>
    <w:rsid w:val="00F46D66"/>
    <w:rsid w:val="00F531F8"/>
    <w:rsid w:val="00F53C1A"/>
    <w:rsid w:val="00F53DBE"/>
    <w:rsid w:val="00F61581"/>
    <w:rsid w:val="00F6438D"/>
    <w:rsid w:val="00F65A49"/>
    <w:rsid w:val="00F7264F"/>
    <w:rsid w:val="00F7285F"/>
    <w:rsid w:val="00F7365E"/>
    <w:rsid w:val="00F73B1F"/>
    <w:rsid w:val="00F777E7"/>
    <w:rsid w:val="00F81CEE"/>
    <w:rsid w:val="00F82095"/>
    <w:rsid w:val="00F87E8B"/>
    <w:rsid w:val="00F9024F"/>
    <w:rsid w:val="00F91683"/>
    <w:rsid w:val="00F9329A"/>
    <w:rsid w:val="00F95F65"/>
    <w:rsid w:val="00F96ED6"/>
    <w:rsid w:val="00FA0259"/>
    <w:rsid w:val="00FA46F2"/>
    <w:rsid w:val="00FA539C"/>
    <w:rsid w:val="00FB0382"/>
    <w:rsid w:val="00FB21EB"/>
    <w:rsid w:val="00FB247D"/>
    <w:rsid w:val="00FB3744"/>
    <w:rsid w:val="00FB3ED1"/>
    <w:rsid w:val="00FB6390"/>
    <w:rsid w:val="00FB695F"/>
    <w:rsid w:val="00FB7718"/>
    <w:rsid w:val="00FB7983"/>
    <w:rsid w:val="00FC453B"/>
    <w:rsid w:val="00FC56DF"/>
    <w:rsid w:val="00FC6731"/>
    <w:rsid w:val="00FC71D9"/>
    <w:rsid w:val="00FC73FA"/>
    <w:rsid w:val="00FD113E"/>
    <w:rsid w:val="00FF0469"/>
    <w:rsid w:val="00FF1129"/>
    <w:rsid w:val="00FF27C4"/>
    <w:rsid w:val="00FF2A3E"/>
    <w:rsid w:val="00FF2AAA"/>
    <w:rsid w:val="00FF5149"/>
    <w:rsid w:val="00FF56CD"/>
    <w:rsid w:val="00FF60B4"/>
    <w:rsid w:val="00FF60CF"/>
  </w:rsids>
  <m:mathPr>
    <m:mathFont m:val="Cambria Math"/>
    <m:brkBin m:val="before"/>
    <m:brkBinSub m:val="--"/>
    <m:smallFrac m:val="0"/>
    <m:dispDef/>
    <m:lMargin m:val="0"/>
    <m:rMargin m:val="0"/>
    <m:defJc m:val="centerGroup"/>
    <m:wrapIndent m:val="1440"/>
    <m:intLim m:val="subSup"/>
    <m:naryLim m:val="undOvr"/>
  </m:mathPr>
  <w:themeFontLang w:val="es-MX" w:bidi="bo-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341E40"/>
  <w15:docId w15:val="{332BFACF-E40C-49B0-870A-A8733D74F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Cita texto,TEXTO GENERAL SENTENCIAS,Footnote,Párrafo de lista2,Párrafo de lista1,List Paragraph,Lista vistosa - Énfasis 11,List Paragraph1,Colorful List - Accent 11,Cuadrícula clara - Énfasis 31,Lista multicolor - Énfasis 11,PARRAFO,DH1"/>
    <w:basedOn w:val="Normal"/>
    <w:link w:val="PrrafodelistaCar"/>
    <w:uiPriority w:val="34"/>
    <w:qFormat/>
    <w:rsid w:val="002766E1"/>
    <w:pPr>
      <w:ind w:left="720"/>
      <w:contextualSpacing/>
    </w:p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Car,C, Car,Car3, C"/>
    <w:basedOn w:val="Normal"/>
    <w:link w:val="TextonotapieCar"/>
    <w:unhideWhenUsed/>
    <w:qFormat/>
    <w:rsid w:val="00B97BC1"/>
    <w:pPr>
      <w:spacing w:after="0" w:line="240" w:lineRule="auto"/>
    </w:pPr>
    <w:rPr>
      <w:sz w:val="20"/>
      <w:szCs w:val="20"/>
    </w:rPr>
  </w:style>
  <w:style w:type="character" w:customStyle="1" w:styleId="TextonotapieCar">
    <w:name w:val="Texto nota pie Car"/>
    <w:aliases w:val="Footnote Text Char Char Char Char Char Car1,Footnote Text Char Char Char Char Car1,Footnote reference Car1,FA Fu Car1,Footnote Text Char Char Char Car1,Footnote Text Cha Car1,FA Fußnotentext Car1,FA Fu?notentext Car1,Ca Car,Car Car"/>
    <w:basedOn w:val="Fuentedeprrafopredeter"/>
    <w:link w:val="Textonotapie"/>
    <w:qFormat/>
    <w:rsid w:val="00B97BC1"/>
    <w:rPr>
      <w:sz w:val="20"/>
      <w:szCs w:val="20"/>
    </w:rPr>
  </w:style>
  <w:style w:type="character" w:styleId="Refdenotaalpie">
    <w:name w:val="footnote reference"/>
    <w:aliases w:val="Ref. de nota al pie 2,Footnotes refss,Texto de nota al pie,Appel note de bas de page,Footnote number,referencia nota al pie,BVI fnr,f,4_G,16 Point,Superscript 6 Point,Texto nota al pie,Footnote Reference Char3,ftref,julio,Ref,R,ft,f1"/>
    <w:basedOn w:val="Fuentedeprrafopredeter"/>
    <w:link w:val="4GChar"/>
    <w:uiPriority w:val="99"/>
    <w:unhideWhenUsed/>
    <w:qFormat/>
    <w:rsid w:val="00B97BC1"/>
    <w:rPr>
      <w:vertAlign w:val="superscript"/>
    </w:rPr>
  </w:style>
  <w:style w:type="paragraph" w:customStyle="1" w:styleId="Texto">
    <w:name w:val="Texto"/>
    <w:basedOn w:val="Normal"/>
    <w:link w:val="TextoCar"/>
    <w:rsid w:val="00824D96"/>
    <w:pPr>
      <w:spacing w:after="101" w:line="216" w:lineRule="exact"/>
      <w:ind w:firstLine="288"/>
      <w:jc w:val="both"/>
    </w:pPr>
    <w:rPr>
      <w:rFonts w:ascii="Arial" w:eastAsia="Times New Roman" w:hAnsi="Arial" w:cs="Times New Roman"/>
      <w:sz w:val="18"/>
      <w:szCs w:val="18"/>
      <w:lang w:eastAsia="es-MX"/>
    </w:rPr>
  </w:style>
  <w:style w:type="character" w:customStyle="1" w:styleId="TextoCar">
    <w:name w:val="Texto Car"/>
    <w:link w:val="Texto"/>
    <w:locked/>
    <w:rsid w:val="00824D96"/>
    <w:rPr>
      <w:rFonts w:ascii="Arial" w:eastAsia="Times New Roman" w:hAnsi="Arial" w:cs="Times New Roman"/>
      <w:sz w:val="18"/>
      <w:szCs w:val="18"/>
      <w:lang w:eastAsia="es-MX"/>
    </w:rPr>
  </w:style>
  <w:style w:type="paragraph" w:styleId="Encabezado">
    <w:name w:val="header"/>
    <w:basedOn w:val="Normal"/>
    <w:link w:val="EncabezadoCar"/>
    <w:uiPriority w:val="99"/>
    <w:unhideWhenUsed/>
    <w:rsid w:val="005D133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D1337"/>
  </w:style>
  <w:style w:type="paragraph" w:styleId="Piedepgina">
    <w:name w:val="footer"/>
    <w:basedOn w:val="Normal"/>
    <w:link w:val="PiedepginaCar"/>
    <w:uiPriority w:val="99"/>
    <w:unhideWhenUsed/>
    <w:rsid w:val="005D133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D1337"/>
  </w:style>
  <w:style w:type="paragraph" w:customStyle="1" w:styleId="corte4fondo">
    <w:name w:val="corte4 fondo"/>
    <w:basedOn w:val="Normal"/>
    <w:link w:val="corte4fondoCar1"/>
    <w:qFormat/>
    <w:rsid w:val="003C6188"/>
    <w:pPr>
      <w:spacing w:after="0" w:line="360" w:lineRule="auto"/>
      <w:ind w:firstLine="709"/>
      <w:jc w:val="both"/>
    </w:pPr>
    <w:rPr>
      <w:rFonts w:ascii="Arial" w:eastAsia="Times New Roman" w:hAnsi="Arial" w:cs="Times New Roman"/>
      <w:sz w:val="30"/>
      <w:szCs w:val="24"/>
      <w:lang w:eastAsia="es-ES"/>
    </w:rPr>
  </w:style>
  <w:style w:type="character" w:customStyle="1" w:styleId="corte4fondoCar1">
    <w:name w:val="corte4 fondo Car1"/>
    <w:link w:val="corte4fondo"/>
    <w:rsid w:val="003C6188"/>
    <w:rPr>
      <w:rFonts w:ascii="Arial" w:eastAsia="Times New Roman" w:hAnsi="Arial" w:cs="Times New Roman"/>
      <w:sz w:val="30"/>
      <w:szCs w:val="24"/>
      <w:lang w:eastAsia="es-ES"/>
    </w:rPr>
  </w:style>
  <w:style w:type="character" w:customStyle="1" w:styleId="TextonotapieCar1">
    <w:name w:val="Texto nota pie Car1"/>
    <w:aliases w:val="Footnote Text Char Char Char Char Char Car,Footnote Text Char Char Char Char Car,Footnote reference Car,FA Fu Car,Footnote Text Char Char Char Car,Footnote Text Cha Car,FA Fußnotentext Car,FA Fu?notentext Car,FA Fuﬂnotentext Car"/>
    <w:basedOn w:val="Fuentedeprrafopredeter"/>
    <w:uiPriority w:val="99"/>
    <w:qFormat/>
    <w:locked/>
    <w:rsid w:val="00732CBC"/>
    <w:rPr>
      <w:sz w:val="24"/>
      <w:szCs w:val="24"/>
    </w:rPr>
  </w:style>
  <w:style w:type="paragraph" w:customStyle="1" w:styleId="corte4fondoCar">
    <w:name w:val="corte4 fondo Car"/>
    <w:basedOn w:val="Normal"/>
    <w:link w:val="corte4fondoCarCar"/>
    <w:rsid w:val="00F95F65"/>
    <w:pPr>
      <w:spacing w:after="0" w:line="360" w:lineRule="auto"/>
      <w:ind w:firstLine="709"/>
      <w:jc w:val="both"/>
    </w:pPr>
    <w:rPr>
      <w:rFonts w:ascii="Arial" w:eastAsia="Times New Roman" w:hAnsi="Arial" w:cs="Times New Roman"/>
      <w:sz w:val="30"/>
      <w:szCs w:val="20"/>
      <w:lang w:val="es-ES_tradnl"/>
    </w:rPr>
  </w:style>
  <w:style w:type="character" w:customStyle="1" w:styleId="corte4fondoCarCar">
    <w:name w:val="corte4 fondo Car Car"/>
    <w:link w:val="corte4fondoCar"/>
    <w:rsid w:val="00F95F65"/>
    <w:rPr>
      <w:rFonts w:ascii="Arial" w:eastAsia="Times New Roman" w:hAnsi="Arial" w:cs="Times New Roman"/>
      <w:sz w:val="30"/>
      <w:szCs w:val="20"/>
      <w:lang w:val="es-ES_tradnl"/>
    </w:rPr>
  </w:style>
  <w:style w:type="paragraph" w:customStyle="1" w:styleId="Default">
    <w:name w:val="Default"/>
    <w:rsid w:val="00704615"/>
    <w:pPr>
      <w:autoSpaceDE w:val="0"/>
      <w:autoSpaceDN w:val="0"/>
      <w:adjustRightInd w:val="0"/>
      <w:spacing w:after="0" w:line="240" w:lineRule="auto"/>
    </w:pPr>
    <w:rPr>
      <w:rFonts w:ascii="Arial" w:hAnsi="Arial" w:cs="Arial"/>
      <w:color w:val="000000"/>
      <w:sz w:val="24"/>
      <w:szCs w:val="24"/>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qFormat/>
    <w:rsid w:val="00EE069F"/>
    <w:pPr>
      <w:spacing w:after="0" w:line="240" w:lineRule="auto"/>
      <w:jc w:val="both"/>
    </w:pPr>
    <w:rPr>
      <w:vertAlign w:val="superscript"/>
    </w:rPr>
  </w:style>
  <w:style w:type="paragraph" w:customStyle="1" w:styleId="Estilo">
    <w:name w:val="Estilo"/>
    <w:basedOn w:val="Sinespaciado"/>
    <w:link w:val="EstiloCar"/>
    <w:qFormat/>
    <w:rsid w:val="00E077AC"/>
    <w:pPr>
      <w:jc w:val="both"/>
    </w:pPr>
    <w:rPr>
      <w:rFonts w:ascii="Arial" w:hAnsi="Arial"/>
      <w:sz w:val="24"/>
    </w:rPr>
  </w:style>
  <w:style w:type="character" w:customStyle="1" w:styleId="EstiloCar">
    <w:name w:val="Estilo Car"/>
    <w:basedOn w:val="Fuentedeprrafopredeter"/>
    <w:link w:val="Estilo"/>
    <w:rsid w:val="00E077AC"/>
    <w:rPr>
      <w:rFonts w:ascii="Arial" w:hAnsi="Arial"/>
      <w:sz w:val="24"/>
    </w:rPr>
  </w:style>
  <w:style w:type="paragraph" w:styleId="Sinespaciado">
    <w:name w:val="No Spacing"/>
    <w:uiPriority w:val="1"/>
    <w:qFormat/>
    <w:rsid w:val="00E077AC"/>
    <w:pPr>
      <w:spacing w:after="0" w:line="240" w:lineRule="auto"/>
    </w:pPr>
  </w:style>
  <w:style w:type="paragraph" w:customStyle="1" w:styleId="corte5transcripcion">
    <w:name w:val="corte5 transcripcion"/>
    <w:basedOn w:val="Normal"/>
    <w:link w:val="corte5transcripcionCar"/>
    <w:qFormat/>
    <w:rsid w:val="00B37F42"/>
    <w:pPr>
      <w:spacing w:after="0" w:line="360" w:lineRule="auto"/>
      <w:ind w:left="709" w:right="709"/>
      <w:jc w:val="both"/>
    </w:pPr>
    <w:rPr>
      <w:rFonts w:ascii="Arial" w:eastAsia="Times New Roman" w:hAnsi="Arial" w:cs="Times New Roman"/>
      <w:b/>
      <w:i/>
      <w:sz w:val="30"/>
      <w:szCs w:val="20"/>
      <w:lang w:eastAsia="es-ES"/>
    </w:rPr>
  </w:style>
  <w:style w:type="character" w:customStyle="1" w:styleId="corte5transcripcionCar">
    <w:name w:val="corte5 transcripcion Car"/>
    <w:link w:val="corte5transcripcion"/>
    <w:locked/>
    <w:rsid w:val="00B37F42"/>
    <w:rPr>
      <w:rFonts w:ascii="Arial" w:eastAsia="Times New Roman" w:hAnsi="Arial" w:cs="Times New Roman"/>
      <w:b/>
      <w:i/>
      <w:sz w:val="30"/>
      <w:szCs w:val="20"/>
      <w:lang w:eastAsia="es-ES"/>
    </w:rPr>
  </w:style>
  <w:style w:type="paragraph" w:customStyle="1" w:styleId="corte4fondoCar1CarCarCarCar">
    <w:name w:val="corte4 fondo Car1 Car Car Car Car"/>
    <w:basedOn w:val="Normal"/>
    <w:link w:val="corte4fondoCar1CarCarCarCarCar"/>
    <w:rsid w:val="0096214F"/>
    <w:pPr>
      <w:spacing w:after="0" w:line="360" w:lineRule="auto"/>
      <w:ind w:firstLine="709"/>
      <w:jc w:val="both"/>
    </w:pPr>
    <w:rPr>
      <w:rFonts w:ascii="Arial" w:eastAsia="Times New Roman" w:hAnsi="Arial" w:cs="Times New Roman"/>
      <w:sz w:val="30"/>
      <w:szCs w:val="20"/>
      <w:lang w:eastAsia="es-MX"/>
    </w:rPr>
  </w:style>
  <w:style w:type="character" w:customStyle="1" w:styleId="corte4fondoCar1CarCarCarCarCar">
    <w:name w:val="corte4 fondo Car1 Car Car Car Car Car"/>
    <w:link w:val="corte4fondoCar1CarCarCarCar"/>
    <w:rsid w:val="0096214F"/>
    <w:rPr>
      <w:rFonts w:ascii="Arial" w:eastAsia="Times New Roman" w:hAnsi="Arial" w:cs="Times New Roman"/>
      <w:sz w:val="30"/>
      <w:szCs w:val="20"/>
      <w:lang w:eastAsia="es-MX"/>
    </w:rPr>
  </w:style>
  <w:style w:type="character" w:customStyle="1" w:styleId="PrrafodelistaCar">
    <w:name w:val="Párrafo de lista Car"/>
    <w:aliases w:val="Cita texto Car,TEXTO GENERAL SENTENCIAS Car,Footnote Car,Párrafo de lista2 Car,Párrafo de lista1 Car,List Paragraph Car,Lista vistosa - Énfasis 11 Car,List Paragraph1 Car,Colorful List - Accent 11 Car,PARRAFO Car,DH1 Car"/>
    <w:link w:val="Prrafodelista"/>
    <w:uiPriority w:val="34"/>
    <w:qFormat/>
    <w:locked/>
    <w:rsid w:val="00DF4CE7"/>
  </w:style>
  <w:style w:type="paragraph" w:customStyle="1" w:styleId="Prrafo">
    <w:name w:val="Párrafo"/>
    <w:basedOn w:val="Normal"/>
    <w:qFormat/>
    <w:rsid w:val="00F777E7"/>
    <w:pPr>
      <w:spacing w:before="240" w:after="240" w:line="360" w:lineRule="auto"/>
      <w:jc w:val="both"/>
    </w:pPr>
    <w:rPr>
      <w:rFonts w:ascii="Arial" w:hAnsi="Arial" w:cs="Arial"/>
      <w:sz w:val="26"/>
      <w:szCs w:val="26"/>
    </w:rPr>
  </w:style>
  <w:style w:type="character" w:customStyle="1" w:styleId="TEXTONORMALCar">
    <w:name w:val="TEXTO NORMAL Car"/>
    <w:link w:val="TEXTONORMAL"/>
    <w:locked/>
    <w:rsid w:val="00E336CC"/>
    <w:rPr>
      <w:rFonts w:ascii="Arial" w:eastAsia="Times New Roman" w:hAnsi="Arial" w:cs="Times New Roman"/>
      <w:sz w:val="28"/>
      <w:szCs w:val="28"/>
      <w:lang w:val="x-none" w:eastAsia="es-ES"/>
    </w:rPr>
  </w:style>
  <w:style w:type="paragraph" w:customStyle="1" w:styleId="TEXTONORMAL">
    <w:name w:val="TEXTO NORMAL"/>
    <w:basedOn w:val="Normal"/>
    <w:link w:val="TEXTONORMALCar"/>
    <w:rsid w:val="00E336CC"/>
    <w:pPr>
      <w:spacing w:after="0" w:line="360" w:lineRule="auto"/>
      <w:ind w:firstLine="709"/>
      <w:jc w:val="both"/>
    </w:pPr>
    <w:rPr>
      <w:rFonts w:ascii="Arial" w:eastAsia="Times New Roman" w:hAnsi="Arial" w:cs="Times New Roman"/>
      <w:sz w:val="28"/>
      <w:szCs w:val="28"/>
      <w:lang w:val="x-none" w:eastAsia="es-ES"/>
    </w:rPr>
  </w:style>
  <w:style w:type="paragraph" w:customStyle="1" w:styleId="Piedepagina">
    <w:name w:val="Pie de pagina"/>
    <w:basedOn w:val="Normal"/>
    <w:uiPriority w:val="99"/>
    <w:rsid w:val="00D123A2"/>
    <w:pPr>
      <w:spacing w:line="240" w:lineRule="exact"/>
    </w:pPr>
    <w:rPr>
      <w:rFonts w:ascii="Times New Roman" w:eastAsia="Times New Roman" w:hAnsi="Times New Roman" w:cs="Times New Roman"/>
      <w:sz w:val="20"/>
      <w:szCs w:val="20"/>
      <w:vertAlign w:val="superscript"/>
      <w:lang w:eastAsia="es-MX"/>
    </w:rPr>
  </w:style>
  <w:style w:type="character" w:styleId="Refdecomentario">
    <w:name w:val="annotation reference"/>
    <w:basedOn w:val="Fuentedeprrafopredeter"/>
    <w:uiPriority w:val="99"/>
    <w:semiHidden/>
    <w:unhideWhenUsed/>
    <w:rsid w:val="00BB099D"/>
    <w:rPr>
      <w:sz w:val="16"/>
      <w:szCs w:val="16"/>
    </w:rPr>
  </w:style>
  <w:style w:type="paragraph" w:styleId="Textocomentario">
    <w:name w:val="annotation text"/>
    <w:basedOn w:val="Normal"/>
    <w:link w:val="TextocomentarioCar"/>
    <w:uiPriority w:val="99"/>
    <w:unhideWhenUsed/>
    <w:rsid w:val="00BB099D"/>
    <w:pPr>
      <w:spacing w:line="240" w:lineRule="auto"/>
    </w:pPr>
    <w:rPr>
      <w:sz w:val="20"/>
      <w:szCs w:val="20"/>
    </w:rPr>
  </w:style>
  <w:style w:type="character" w:customStyle="1" w:styleId="TextocomentarioCar">
    <w:name w:val="Texto comentario Car"/>
    <w:basedOn w:val="Fuentedeprrafopredeter"/>
    <w:link w:val="Textocomentario"/>
    <w:uiPriority w:val="99"/>
    <w:rsid w:val="00BB099D"/>
    <w:rPr>
      <w:sz w:val="20"/>
      <w:szCs w:val="20"/>
    </w:rPr>
  </w:style>
  <w:style w:type="paragraph" w:styleId="Asuntodelcomentario">
    <w:name w:val="annotation subject"/>
    <w:basedOn w:val="Textocomentario"/>
    <w:next w:val="Textocomentario"/>
    <w:link w:val="AsuntodelcomentarioCar"/>
    <w:uiPriority w:val="99"/>
    <w:semiHidden/>
    <w:unhideWhenUsed/>
    <w:rsid w:val="00BB099D"/>
    <w:rPr>
      <w:b/>
      <w:bCs/>
    </w:rPr>
  </w:style>
  <w:style w:type="character" w:customStyle="1" w:styleId="AsuntodelcomentarioCar">
    <w:name w:val="Asunto del comentario Car"/>
    <w:basedOn w:val="TextocomentarioCar"/>
    <w:link w:val="Asuntodelcomentario"/>
    <w:uiPriority w:val="99"/>
    <w:semiHidden/>
    <w:rsid w:val="00BB099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19152">
      <w:bodyDiv w:val="1"/>
      <w:marLeft w:val="0"/>
      <w:marRight w:val="0"/>
      <w:marTop w:val="0"/>
      <w:marBottom w:val="0"/>
      <w:divBdr>
        <w:top w:val="none" w:sz="0" w:space="0" w:color="auto"/>
        <w:left w:val="none" w:sz="0" w:space="0" w:color="auto"/>
        <w:bottom w:val="none" w:sz="0" w:space="0" w:color="auto"/>
        <w:right w:val="none" w:sz="0" w:space="0" w:color="auto"/>
      </w:divBdr>
    </w:div>
    <w:div w:id="352078195">
      <w:bodyDiv w:val="1"/>
      <w:marLeft w:val="0"/>
      <w:marRight w:val="0"/>
      <w:marTop w:val="0"/>
      <w:marBottom w:val="0"/>
      <w:divBdr>
        <w:top w:val="none" w:sz="0" w:space="0" w:color="auto"/>
        <w:left w:val="none" w:sz="0" w:space="0" w:color="auto"/>
        <w:bottom w:val="none" w:sz="0" w:space="0" w:color="auto"/>
        <w:right w:val="none" w:sz="0" w:space="0" w:color="auto"/>
      </w:divBdr>
    </w:div>
    <w:div w:id="488637926">
      <w:bodyDiv w:val="1"/>
      <w:marLeft w:val="0"/>
      <w:marRight w:val="0"/>
      <w:marTop w:val="0"/>
      <w:marBottom w:val="0"/>
      <w:divBdr>
        <w:top w:val="none" w:sz="0" w:space="0" w:color="auto"/>
        <w:left w:val="none" w:sz="0" w:space="0" w:color="auto"/>
        <w:bottom w:val="none" w:sz="0" w:space="0" w:color="auto"/>
        <w:right w:val="none" w:sz="0" w:space="0" w:color="auto"/>
      </w:divBdr>
    </w:div>
    <w:div w:id="1311642050">
      <w:bodyDiv w:val="1"/>
      <w:marLeft w:val="0"/>
      <w:marRight w:val="0"/>
      <w:marTop w:val="0"/>
      <w:marBottom w:val="0"/>
      <w:divBdr>
        <w:top w:val="none" w:sz="0" w:space="0" w:color="auto"/>
        <w:left w:val="none" w:sz="0" w:space="0" w:color="auto"/>
        <w:bottom w:val="none" w:sz="0" w:space="0" w:color="auto"/>
        <w:right w:val="none" w:sz="0" w:space="0" w:color="auto"/>
      </w:divBdr>
    </w:div>
    <w:div w:id="1625303892">
      <w:bodyDiv w:val="1"/>
      <w:marLeft w:val="0"/>
      <w:marRight w:val="0"/>
      <w:marTop w:val="0"/>
      <w:marBottom w:val="0"/>
      <w:divBdr>
        <w:top w:val="none" w:sz="0" w:space="0" w:color="auto"/>
        <w:left w:val="none" w:sz="0" w:space="0" w:color="auto"/>
        <w:bottom w:val="none" w:sz="0" w:space="0" w:color="auto"/>
        <w:right w:val="none" w:sz="0" w:space="0" w:color="auto"/>
      </w:divBdr>
      <w:divsChild>
        <w:div w:id="93941256">
          <w:marLeft w:val="0"/>
          <w:marRight w:val="0"/>
          <w:marTop w:val="0"/>
          <w:marBottom w:val="101"/>
          <w:divBdr>
            <w:top w:val="none" w:sz="0" w:space="0" w:color="auto"/>
            <w:left w:val="none" w:sz="0" w:space="0" w:color="auto"/>
            <w:bottom w:val="none" w:sz="0" w:space="0" w:color="auto"/>
            <w:right w:val="none" w:sz="0" w:space="0" w:color="auto"/>
          </w:divBdr>
        </w:div>
        <w:div w:id="123930432">
          <w:marLeft w:val="0"/>
          <w:marRight w:val="0"/>
          <w:marTop w:val="0"/>
          <w:marBottom w:val="101"/>
          <w:divBdr>
            <w:top w:val="none" w:sz="0" w:space="0" w:color="auto"/>
            <w:left w:val="none" w:sz="0" w:space="0" w:color="auto"/>
            <w:bottom w:val="none" w:sz="0" w:space="0" w:color="auto"/>
            <w:right w:val="none" w:sz="0" w:space="0" w:color="auto"/>
          </w:divBdr>
        </w:div>
        <w:div w:id="261768850">
          <w:marLeft w:val="0"/>
          <w:marRight w:val="0"/>
          <w:marTop w:val="0"/>
          <w:marBottom w:val="101"/>
          <w:divBdr>
            <w:top w:val="none" w:sz="0" w:space="0" w:color="auto"/>
            <w:left w:val="none" w:sz="0" w:space="0" w:color="auto"/>
            <w:bottom w:val="none" w:sz="0" w:space="0" w:color="auto"/>
            <w:right w:val="none" w:sz="0" w:space="0" w:color="auto"/>
          </w:divBdr>
        </w:div>
        <w:div w:id="305203675">
          <w:marLeft w:val="0"/>
          <w:marRight w:val="0"/>
          <w:marTop w:val="0"/>
          <w:marBottom w:val="101"/>
          <w:divBdr>
            <w:top w:val="none" w:sz="0" w:space="0" w:color="auto"/>
            <w:left w:val="none" w:sz="0" w:space="0" w:color="auto"/>
            <w:bottom w:val="none" w:sz="0" w:space="0" w:color="auto"/>
            <w:right w:val="none" w:sz="0" w:space="0" w:color="auto"/>
          </w:divBdr>
        </w:div>
        <w:div w:id="325669533">
          <w:marLeft w:val="0"/>
          <w:marRight w:val="0"/>
          <w:marTop w:val="0"/>
          <w:marBottom w:val="101"/>
          <w:divBdr>
            <w:top w:val="none" w:sz="0" w:space="0" w:color="auto"/>
            <w:left w:val="none" w:sz="0" w:space="0" w:color="auto"/>
            <w:bottom w:val="none" w:sz="0" w:space="0" w:color="auto"/>
            <w:right w:val="none" w:sz="0" w:space="0" w:color="auto"/>
          </w:divBdr>
        </w:div>
        <w:div w:id="349919137">
          <w:marLeft w:val="0"/>
          <w:marRight w:val="0"/>
          <w:marTop w:val="0"/>
          <w:marBottom w:val="101"/>
          <w:divBdr>
            <w:top w:val="none" w:sz="0" w:space="0" w:color="auto"/>
            <w:left w:val="none" w:sz="0" w:space="0" w:color="auto"/>
            <w:bottom w:val="none" w:sz="0" w:space="0" w:color="auto"/>
            <w:right w:val="none" w:sz="0" w:space="0" w:color="auto"/>
          </w:divBdr>
        </w:div>
        <w:div w:id="427964272">
          <w:marLeft w:val="0"/>
          <w:marRight w:val="0"/>
          <w:marTop w:val="0"/>
          <w:marBottom w:val="101"/>
          <w:divBdr>
            <w:top w:val="none" w:sz="0" w:space="0" w:color="auto"/>
            <w:left w:val="none" w:sz="0" w:space="0" w:color="auto"/>
            <w:bottom w:val="none" w:sz="0" w:space="0" w:color="auto"/>
            <w:right w:val="none" w:sz="0" w:space="0" w:color="auto"/>
          </w:divBdr>
        </w:div>
        <w:div w:id="430398835">
          <w:marLeft w:val="0"/>
          <w:marRight w:val="0"/>
          <w:marTop w:val="0"/>
          <w:marBottom w:val="101"/>
          <w:divBdr>
            <w:top w:val="none" w:sz="0" w:space="0" w:color="auto"/>
            <w:left w:val="none" w:sz="0" w:space="0" w:color="auto"/>
            <w:bottom w:val="none" w:sz="0" w:space="0" w:color="auto"/>
            <w:right w:val="none" w:sz="0" w:space="0" w:color="auto"/>
          </w:divBdr>
        </w:div>
        <w:div w:id="495847035">
          <w:marLeft w:val="0"/>
          <w:marRight w:val="0"/>
          <w:marTop w:val="0"/>
          <w:marBottom w:val="101"/>
          <w:divBdr>
            <w:top w:val="none" w:sz="0" w:space="0" w:color="auto"/>
            <w:left w:val="none" w:sz="0" w:space="0" w:color="auto"/>
            <w:bottom w:val="none" w:sz="0" w:space="0" w:color="auto"/>
            <w:right w:val="none" w:sz="0" w:space="0" w:color="auto"/>
          </w:divBdr>
        </w:div>
        <w:div w:id="512840952">
          <w:marLeft w:val="0"/>
          <w:marRight w:val="0"/>
          <w:marTop w:val="0"/>
          <w:marBottom w:val="101"/>
          <w:divBdr>
            <w:top w:val="none" w:sz="0" w:space="0" w:color="auto"/>
            <w:left w:val="none" w:sz="0" w:space="0" w:color="auto"/>
            <w:bottom w:val="none" w:sz="0" w:space="0" w:color="auto"/>
            <w:right w:val="none" w:sz="0" w:space="0" w:color="auto"/>
          </w:divBdr>
        </w:div>
        <w:div w:id="529799651">
          <w:marLeft w:val="0"/>
          <w:marRight w:val="0"/>
          <w:marTop w:val="0"/>
          <w:marBottom w:val="101"/>
          <w:divBdr>
            <w:top w:val="none" w:sz="0" w:space="0" w:color="auto"/>
            <w:left w:val="none" w:sz="0" w:space="0" w:color="auto"/>
            <w:bottom w:val="none" w:sz="0" w:space="0" w:color="auto"/>
            <w:right w:val="none" w:sz="0" w:space="0" w:color="auto"/>
          </w:divBdr>
        </w:div>
        <w:div w:id="545029309">
          <w:marLeft w:val="0"/>
          <w:marRight w:val="0"/>
          <w:marTop w:val="0"/>
          <w:marBottom w:val="101"/>
          <w:divBdr>
            <w:top w:val="none" w:sz="0" w:space="0" w:color="auto"/>
            <w:left w:val="none" w:sz="0" w:space="0" w:color="auto"/>
            <w:bottom w:val="none" w:sz="0" w:space="0" w:color="auto"/>
            <w:right w:val="none" w:sz="0" w:space="0" w:color="auto"/>
          </w:divBdr>
        </w:div>
        <w:div w:id="578365563">
          <w:marLeft w:val="0"/>
          <w:marRight w:val="0"/>
          <w:marTop w:val="0"/>
          <w:marBottom w:val="101"/>
          <w:divBdr>
            <w:top w:val="none" w:sz="0" w:space="0" w:color="auto"/>
            <w:left w:val="none" w:sz="0" w:space="0" w:color="auto"/>
            <w:bottom w:val="none" w:sz="0" w:space="0" w:color="auto"/>
            <w:right w:val="none" w:sz="0" w:space="0" w:color="auto"/>
          </w:divBdr>
        </w:div>
        <w:div w:id="627392987">
          <w:marLeft w:val="0"/>
          <w:marRight w:val="0"/>
          <w:marTop w:val="0"/>
          <w:marBottom w:val="101"/>
          <w:divBdr>
            <w:top w:val="none" w:sz="0" w:space="0" w:color="auto"/>
            <w:left w:val="none" w:sz="0" w:space="0" w:color="auto"/>
            <w:bottom w:val="none" w:sz="0" w:space="0" w:color="auto"/>
            <w:right w:val="none" w:sz="0" w:space="0" w:color="auto"/>
          </w:divBdr>
        </w:div>
        <w:div w:id="627668202">
          <w:marLeft w:val="0"/>
          <w:marRight w:val="0"/>
          <w:marTop w:val="0"/>
          <w:marBottom w:val="101"/>
          <w:divBdr>
            <w:top w:val="none" w:sz="0" w:space="0" w:color="auto"/>
            <w:left w:val="none" w:sz="0" w:space="0" w:color="auto"/>
            <w:bottom w:val="none" w:sz="0" w:space="0" w:color="auto"/>
            <w:right w:val="none" w:sz="0" w:space="0" w:color="auto"/>
          </w:divBdr>
        </w:div>
        <w:div w:id="635765516">
          <w:marLeft w:val="0"/>
          <w:marRight w:val="0"/>
          <w:marTop w:val="0"/>
          <w:marBottom w:val="101"/>
          <w:divBdr>
            <w:top w:val="none" w:sz="0" w:space="0" w:color="auto"/>
            <w:left w:val="none" w:sz="0" w:space="0" w:color="auto"/>
            <w:bottom w:val="none" w:sz="0" w:space="0" w:color="auto"/>
            <w:right w:val="none" w:sz="0" w:space="0" w:color="auto"/>
          </w:divBdr>
        </w:div>
        <w:div w:id="644939934">
          <w:marLeft w:val="0"/>
          <w:marRight w:val="0"/>
          <w:marTop w:val="0"/>
          <w:marBottom w:val="101"/>
          <w:divBdr>
            <w:top w:val="none" w:sz="0" w:space="0" w:color="auto"/>
            <w:left w:val="none" w:sz="0" w:space="0" w:color="auto"/>
            <w:bottom w:val="none" w:sz="0" w:space="0" w:color="auto"/>
            <w:right w:val="none" w:sz="0" w:space="0" w:color="auto"/>
          </w:divBdr>
        </w:div>
        <w:div w:id="698972951">
          <w:marLeft w:val="0"/>
          <w:marRight w:val="0"/>
          <w:marTop w:val="0"/>
          <w:marBottom w:val="101"/>
          <w:divBdr>
            <w:top w:val="none" w:sz="0" w:space="0" w:color="auto"/>
            <w:left w:val="none" w:sz="0" w:space="0" w:color="auto"/>
            <w:bottom w:val="none" w:sz="0" w:space="0" w:color="auto"/>
            <w:right w:val="none" w:sz="0" w:space="0" w:color="auto"/>
          </w:divBdr>
        </w:div>
        <w:div w:id="811948125">
          <w:marLeft w:val="0"/>
          <w:marRight w:val="0"/>
          <w:marTop w:val="0"/>
          <w:marBottom w:val="101"/>
          <w:divBdr>
            <w:top w:val="none" w:sz="0" w:space="0" w:color="auto"/>
            <w:left w:val="none" w:sz="0" w:space="0" w:color="auto"/>
            <w:bottom w:val="none" w:sz="0" w:space="0" w:color="auto"/>
            <w:right w:val="none" w:sz="0" w:space="0" w:color="auto"/>
          </w:divBdr>
        </w:div>
        <w:div w:id="895436950">
          <w:marLeft w:val="0"/>
          <w:marRight w:val="0"/>
          <w:marTop w:val="0"/>
          <w:marBottom w:val="101"/>
          <w:divBdr>
            <w:top w:val="none" w:sz="0" w:space="0" w:color="auto"/>
            <w:left w:val="none" w:sz="0" w:space="0" w:color="auto"/>
            <w:bottom w:val="none" w:sz="0" w:space="0" w:color="auto"/>
            <w:right w:val="none" w:sz="0" w:space="0" w:color="auto"/>
          </w:divBdr>
        </w:div>
        <w:div w:id="907575112">
          <w:marLeft w:val="0"/>
          <w:marRight w:val="0"/>
          <w:marTop w:val="0"/>
          <w:marBottom w:val="101"/>
          <w:divBdr>
            <w:top w:val="none" w:sz="0" w:space="0" w:color="auto"/>
            <w:left w:val="none" w:sz="0" w:space="0" w:color="auto"/>
            <w:bottom w:val="none" w:sz="0" w:space="0" w:color="auto"/>
            <w:right w:val="none" w:sz="0" w:space="0" w:color="auto"/>
          </w:divBdr>
        </w:div>
        <w:div w:id="928152876">
          <w:marLeft w:val="0"/>
          <w:marRight w:val="0"/>
          <w:marTop w:val="0"/>
          <w:marBottom w:val="101"/>
          <w:divBdr>
            <w:top w:val="none" w:sz="0" w:space="0" w:color="auto"/>
            <w:left w:val="none" w:sz="0" w:space="0" w:color="auto"/>
            <w:bottom w:val="none" w:sz="0" w:space="0" w:color="auto"/>
            <w:right w:val="none" w:sz="0" w:space="0" w:color="auto"/>
          </w:divBdr>
        </w:div>
        <w:div w:id="933246068">
          <w:marLeft w:val="0"/>
          <w:marRight w:val="0"/>
          <w:marTop w:val="0"/>
          <w:marBottom w:val="101"/>
          <w:divBdr>
            <w:top w:val="none" w:sz="0" w:space="0" w:color="auto"/>
            <w:left w:val="none" w:sz="0" w:space="0" w:color="auto"/>
            <w:bottom w:val="none" w:sz="0" w:space="0" w:color="auto"/>
            <w:right w:val="none" w:sz="0" w:space="0" w:color="auto"/>
          </w:divBdr>
        </w:div>
        <w:div w:id="985931949">
          <w:marLeft w:val="0"/>
          <w:marRight w:val="0"/>
          <w:marTop w:val="0"/>
          <w:marBottom w:val="101"/>
          <w:divBdr>
            <w:top w:val="none" w:sz="0" w:space="0" w:color="auto"/>
            <w:left w:val="none" w:sz="0" w:space="0" w:color="auto"/>
            <w:bottom w:val="none" w:sz="0" w:space="0" w:color="auto"/>
            <w:right w:val="none" w:sz="0" w:space="0" w:color="auto"/>
          </w:divBdr>
        </w:div>
        <w:div w:id="1174997187">
          <w:marLeft w:val="0"/>
          <w:marRight w:val="0"/>
          <w:marTop w:val="0"/>
          <w:marBottom w:val="101"/>
          <w:divBdr>
            <w:top w:val="none" w:sz="0" w:space="0" w:color="auto"/>
            <w:left w:val="none" w:sz="0" w:space="0" w:color="auto"/>
            <w:bottom w:val="none" w:sz="0" w:space="0" w:color="auto"/>
            <w:right w:val="none" w:sz="0" w:space="0" w:color="auto"/>
          </w:divBdr>
        </w:div>
        <w:div w:id="1239049492">
          <w:marLeft w:val="0"/>
          <w:marRight w:val="0"/>
          <w:marTop w:val="0"/>
          <w:marBottom w:val="101"/>
          <w:divBdr>
            <w:top w:val="none" w:sz="0" w:space="0" w:color="auto"/>
            <w:left w:val="none" w:sz="0" w:space="0" w:color="auto"/>
            <w:bottom w:val="none" w:sz="0" w:space="0" w:color="auto"/>
            <w:right w:val="none" w:sz="0" w:space="0" w:color="auto"/>
          </w:divBdr>
        </w:div>
        <w:div w:id="1340694350">
          <w:marLeft w:val="0"/>
          <w:marRight w:val="0"/>
          <w:marTop w:val="0"/>
          <w:marBottom w:val="101"/>
          <w:divBdr>
            <w:top w:val="none" w:sz="0" w:space="0" w:color="auto"/>
            <w:left w:val="none" w:sz="0" w:space="0" w:color="auto"/>
            <w:bottom w:val="none" w:sz="0" w:space="0" w:color="auto"/>
            <w:right w:val="none" w:sz="0" w:space="0" w:color="auto"/>
          </w:divBdr>
        </w:div>
        <w:div w:id="1398090533">
          <w:marLeft w:val="0"/>
          <w:marRight w:val="0"/>
          <w:marTop w:val="0"/>
          <w:marBottom w:val="101"/>
          <w:divBdr>
            <w:top w:val="none" w:sz="0" w:space="0" w:color="auto"/>
            <w:left w:val="none" w:sz="0" w:space="0" w:color="auto"/>
            <w:bottom w:val="none" w:sz="0" w:space="0" w:color="auto"/>
            <w:right w:val="none" w:sz="0" w:space="0" w:color="auto"/>
          </w:divBdr>
        </w:div>
        <w:div w:id="1434590313">
          <w:marLeft w:val="0"/>
          <w:marRight w:val="0"/>
          <w:marTop w:val="0"/>
          <w:marBottom w:val="101"/>
          <w:divBdr>
            <w:top w:val="none" w:sz="0" w:space="0" w:color="auto"/>
            <w:left w:val="none" w:sz="0" w:space="0" w:color="auto"/>
            <w:bottom w:val="none" w:sz="0" w:space="0" w:color="auto"/>
            <w:right w:val="none" w:sz="0" w:space="0" w:color="auto"/>
          </w:divBdr>
        </w:div>
        <w:div w:id="1447577483">
          <w:marLeft w:val="0"/>
          <w:marRight w:val="0"/>
          <w:marTop w:val="0"/>
          <w:marBottom w:val="101"/>
          <w:divBdr>
            <w:top w:val="none" w:sz="0" w:space="0" w:color="auto"/>
            <w:left w:val="none" w:sz="0" w:space="0" w:color="auto"/>
            <w:bottom w:val="none" w:sz="0" w:space="0" w:color="auto"/>
            <w:right w:val="none" w:sz="0" w:space="0" w:color="auto"/>
          </w:divBdr>
        </w:div>
        <w:div w:id="1457718121">
          <w:marLeft w:val="0"/>
          <w:marRight w:val="0"/>
          <w:marTop w:val="0"/>
          <w:marBottom w:val="101"/>
          <w:divBdr>
            <w:top w:val="none" w:sz="0" w:space="0" w:color="auto"/>
            <w:left w:val="none" w:sz="0" w:space="0" w:color="auto"/>
            <w:bottom w:val="none" w:sz="0" w:space="0" w:color="auto"/>
            <w:right w:val="none" w:sz="0" w:space="0" w:color="auto"/>
          </w:divBdr>
        </w:div>
        <w:div w:id="1603031829">
          <w:marLeft w:val="0"/>
          <w:marRight w:val="0"/>
          <w:marTop w:val="0"/>
          <w:marBottom w:val="101"/>
          <w:divBdr>
            <w:top w:val="none" w:sz="0" w:space="0" w:color="auto"/>
            <w:left w:val="none" w:sz="0" w:space="0" w:color="auto"/>
            <w:bottom w:val="none" w:sz="0" w:space="0" w:color="auto"/>
            <w:right w:val="none" w:sz="0" w:space="0" w:color="auto"/>
          </w:divBdr>
        </w:div>
        <w:div w:id="1614677633">
          <w:marLeft w:val="0"/>
          <w:marRight w:val="0"/>
          <w:marTop w:val="0"/>
          <w:marBottom w:val="101"/>
          <w:divBdr>
            <w:top w:val="none" w:sz="0" w:space="0" w:color="auto"/>
            <w:left w:val="none" w:sz="0" w:space="0" w:color="auto"/>
            <w:bottom w:val="none" w:sz="0" w:space="0" w:color="auto"/>
            <w:right w:val="none" w:sz="0" w:space="0" w:color="auto"/>
          </w:divBdr>
        </w:div>
        <w:div w:id="1665277309">
          <w:marLeft w:val="0"/>
          <w:marRight w:val="0"/>
          <w:marTop w:val="0"/>
          <w:marBottom w:val="101"/>
          <w:divBdr>
            <w:top w:val="none" w:sz="0" w:space="0" w:color="auto"/>
            <w:left w:val="none" w:sz="0" w:space="0" w:color="auto"/>
            <w:bottom w:val="none" w:sz="0" w:space="0" w:color="auto"/>
            <w:right w:val="none" w:sz="0" w:space="0" w:color="auto"/>
          </w:divBdr>
        </w:div>
        <w:div w:id="1720084013">
          <w:marLeft w:val="0"/>
          <w:marRight w:val="0"/>
          <w:marTop w:val="0"/>
          <w:marBottom w:val="101"/>
          <w:divBdr>
            <w:top w:val="none" w:sz="0" w:space="0" w:color="auto"/>
            <w:left w:val="none" w:sz="0" w:space="0" w:color="auto"/>
            <w:bottom w:val="none" w:sz="0" w:space="0" w:color="auto"/>
            <w:right w:val="none" w:sz="0" w:space="0" w:color="auto"/>
          </w:divBdr>
        </w:div>
        <w:div w:id="1762532142">
          <w:marLeft w:val="0"/>
          <w:marRight w:val="0"/>
          <w:marTop w:val="0"/>
          <w:marBottom w:val="101"/>
          <w:divBdr>
            <w:top w:val="none" w:sz="0" w:space="0" w:color="auto"/>
            <w:left w:val="none" w:sz="0" w:space="0" w:color="auto"/>
            <w:bottom w:val="none" w:sz="0" w:space="0" w:color="auto"/>
            <w:right w:val="none" w:sz="0" w:space="0" w:color="auto"/>
          </w:divBdr>
        </w:div>
        <w:div w:id="1811433107">
          <w:marLeft w:val="0"/>
          <w:marRight w:val="0"/>
          <w:marTop w:val="0"/>
          <w:marBottom w:val="101"/>
          <w:divBdr>
            <w:top w:val="none" w:sz="0" w:space="0" w:color="auto"/>
            <w:left w:val="none" w:sz="0" w:space="0" w:color="auto"/>
            <w:bottom w:val="none" w:sz="0" w:space="0" w:color="auto"/>
            <w:right w:val="none" w:sz="0" w:space="0" w:color="auto"/>
          </w:divBdr>
        </w:div>
        <w:div w:id="1827550797">
          <w:marLeft w:val="0"/>
          <w:marRight w:val="0"/>
          <w:marTop w:val="0"/>
          <w:marBottom w:val="101"/>
          <w:divBdr>
            <w:top w:val="none" w:sz="0" w:space="0" w:color="auto"/>
            <w:left w:val="none" w:sz="0" w:space="0" w:color="auto"/>
            <w:bottom w:val="none" w:sz="0" w:space="0" w:color="auto"/>
            <w:right w:val="none" w:sz="0" w:space="0" w:color="auto"/>
          </w:divBdr>
        </w:div>
        <w:div w:id="1853955171">
          <w:marLeft w:val="0"/>
          <w:marRight w:val="0"/>
          <w:marTop w:val="0"/>
          <w:marBottom w:val="101"/>
          <w:divBdr>
            <w:top w:val="none" w:sz="0" w:space="0" w:color="auto"/>
            <w:left w:val="none" w:sz="0" w:space="0" w:color="auto"/>
            <w:bottom w:val="none" w:sz="0" w:space="0" w:color="auto"/>
            <w:right w:val="none" w:sz="0" w:space="0" w:color="auto"/>
          </w:divBdr>
        </w:div>
        <w:div w:id="1868131686">
          <w:marLeft w:val="0"/>
          <w:marRight w:val="0"/>
          <w:marTop w:val="0"/>
          <w:marBottom w:val="101"/>
          <w:divBdr>
            <w:top w:val="none" w:sz="0" w:space="0" w:color="auto"/>
            <w:left w:val="none" w:sz="0" w:space="0" w:color="auto"/>
            <w:bottom w:val="none" w:sz="0" w:space="0" w:color="auto"/>
            <w:right w:val="none" w:sz="0" w:space="0" w:color="auto"/>
          </w:divBdr>
        </w:div>
        <w:div w:id="1919632972">
          <w:marLeft w:val="0"/>
          <w:marRight w:val="0"/>
          <w:marTop w:val="0"/>
          <w:marBottom w:val="101"/>
          <w:divBdr>
            <w:top w:val="none" w:sz="0" w:space="0" w:color="auto"/>
            <w:left w:val="none" w:sz="0" w:space="0" w:color="auto"/>
            <w:bottom w:val="none" w:sz="0" w:space="0" w:color="auto"/>
            <w:right w:val="none" w:sz="0" w:space="0" w:color="auto"/>
          </w:divBdr>
        </w:div>
        <w:div w:id="2014337138">
          <w:marLeft w:val="0"/>
          <w:marRight w:val="0"/>
          <w:marTop w:val="0"/>
          <w:marBottom w:val="101"/>
          <w:divBdr>
            <w:top w:val="none" w:sz="0" w:space="0" w:color="auto"/>
            <w:left w:val="none" w:sz="0" w:space="0" w:color="auto"/>
            <w:bottom w:val="none" w:sz="0" w:space="0" w:color="auto"/>
            <w:right w:val="none" w:sz="0" w:space="0" w:color="auto"/>
          </w:divBdr>
        </w:div>
      </w:divsChild>
    </w:div>
    <w:div w:id="19029827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1223214E3FDD0E46AAE5B5C8F6314C30" ma:contentTypeVersion="10" ma:contentTypeDescription="Crear nuevo documento." ma:contentTypeScope="" ma:versionID="4085c0762e6942d73d80071c8df89e53">
  <xsd:schema xmlns:xsd="http://www.w3.org/2001/XMLSchema" xmlns:xs="http://www.w3.org/2001/XMLSchema" xmlns:p="http://schemas.microsoft.com/office/2006/metadata/properties" xmlns:ns3="6548c816-ea15-48f4-b14d-8bf69222fbfd" targetNamespace="http://schemas.microsoft.com/office/2006/metadata/properties" ma:root="true" ma:fieldsID="ceeb7b167405e394fe06bdd369a5a74f" ns3:_="">
    <xsd:import namespace="6548c816-ea15-48f4-b14d-8bf69222fbf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48c816-ea15-48f4-b14d-8bf69222fb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53E686-7170-4C4A-9F05-DBCD63871B0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D32D1D5-3950-4BBB-8910-A68A3F338494}">
  <ds:schemaRefs>
    <ds:schemaRef ds:uri="http://schemas.openxmlformats.org/officeDocument/2006/bibliography"/>
  </ds:schemaRefs>
</ds:datastoreItem>
</file>

<file path=customXml/itemProps3.xml><?xml version="1.0" encoding="utf-8"?>
<ds:datastoreItem xmlns:ds="http://schemas.openxmlformats.org/officeDocument/2006/customXml" ds:itemID="{EB12C66C-E603-4622-9670-D795E6CD80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48c816-ea15-48f4-b14d-8bf69222fb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519C42-18EA-4DD7-A3F1-02E33687B2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2542</Words>
  <Characters>13982</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
    </vt:vector>
  </TitlesOfParts>
  <Company>SCJN</Company>
  <LinksUpToDate>false</LinksUpToDate>
  <CharactersWithSpaces>16492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Coordinacion AMRF</dc:creator>
  <cp:keywords/>
  <dc:description/>
  <cp:lastModifiedBy>HELENA CATALINA RODRIGUEZ RUAN</cp:lastModifiedBy>
  <cp:revision>2</cp:revision>
  <cp:lastPrinted>2020-09-14T03:30:00Z</cp:lastPrinted>
  <dcterms:created xsi:type="dcterms:W3CDTF">2022-10-13T16:10:00Z</dcterms:created>
  <dcterms:modified xsi:type="dcterms:W3CDTF">2022-10-13T16:10:00Z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0x0101001223214E3FDD0E46AAE5B5C8F6314C30</vt:lpwstr>
  </property>
</Properties>
</file>