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C459" w14:textId="2DF482C3" w:rsidR="00402291" w:rsidRPr="00EA3FBA" w:rsidRDefault="00402291" w:rsidP="005A70CD">
      <w:pPr>
        <w:ind w:right="49"/>
        <w:jc w:val="both"/>
        <w:rPr>
          <w:rFonts w:ascii="Arial" w:hAnsi="Arial" w:cs="Arial"/>
          <w:b/>
          <w:sz w:val="26"/>
          <w:szCs w:val="26"/>
          <w:lang w:val="es-MX"/>
        </w:rPr>
      </w:pPr>
      <w:r w:rsidRPr="00404CAB">
        <w:rPr>
          <w:rFonts w:ascii="Arial" w:hAnsi="Arial" w:cs="Arial"/>
          <w:b/>
          <w:sz w:val="26"/>
          <w:szCs w:val="26"/>
          <w:lang w:val="es-MX"/>
        </w:rPr>
        <w:t>VOT</w:t>
      </w:r>
      <w:r w:rsidRPr="00EA3FBA">
        <w:rPr>
          <w:rFonts w:ascii="Arial" w:hAnsi="Arial" w:cs="Arial"/>
          <w:b/>
          <w:sz w:val="26"/>
          <w:szCs w:val="26"/>
          <w:lang w:val="es-MX"/>
        </w:rPr>
        <w:t xml:space="preserve">O </w:t>
      </w:r>
      <w:r w:rsidR="000478CF">
        <w:rPr>
          <w:rFonts w:ascii="Arial" w:hAnsi="Arial" w:cs="Arial"/>
          <w:b/>
          <w:sz w:val="26"/>
          <w:szCs w:val="26"/>
          <w:lang w:val="es-MX"/>
        </w:rPr>
        <w:t xml:space="preserve">PARTICULAR, ACLARATORIO Y CONCURRENTE </w:t>
      </w:r>
      <w:r w:rsidRPr="00EA3FBA">
        <w:rPr>
          <w:rFonts w:ascii="Arial" w:hAnsi="Arial" w:cs="Arial"/>
          <w:b/>
          <w:sz w:val="26"/>
          <w:szCs w:val="26"/>
          <w:lang w:val="es-MX"/>
        </w:rPr>
        <w:t xml:space="preserve">QUE FORMULA EL MINISTRO JAVIER LAYNEZ POTISEK EN LA ACCIÓN DE INCONSTITUCIONALIDAD </w:t>
      </w:r>
      <w:r w:rsidR="00234407" w:rsidRPr="00EA3FBA">
        <w:rPr>
          <w:rFonts w:ascii="Arial" w:hAnsi="Arial" w:cs="Arial"/>
          <w:b/>
          <w:sz w:val="26"/>
          <w:szCs w:val="26"/>
          <w:lang w:val="es-MX"/>
        </w:rPr>
        <w:t>95</w:t>
      </w:r>
      <w:r w:rsidRPr="00EA3FBA">
        <w:rPr>
          <w:rFonts w:ascii="Arial" w:hAnsi="Arial" w:cs="Arial"/>
          <w:b/>
          <w:sz w:val="26"/>
          <w:szCs w:val="26"/>
          <w:lang w:val="es-MX"/>
        </w:rPr>
        <w:t>/2019</w:t>
      </w:r>
      <w:r w:rsidR="00234407" w:rsidRPr="00EA3FBA">
        <w:rPr>
          <w:rFonts w:ascii="Arial" w:hAnsi="Arial" w:cs="Arial"/>
          <w:b/>
          <w:sz w:val="26"/>
          <w:szCs w:val="26"/>
          <w:lang w:val="es-MX"/>
        </w:rPr>
        <w:t xml:space="preserve"> Y SU ACUMULADA 98/2019</w:t>
      </w:r>
      <w:r w:rsidR="00212F38">
        <w:rPr>
          <w:rFonts w:ascii="Arial" w:hAnsi="Arial" w:cs="Arial"/>
          <w:b/>
          <w:sz w:val="26"/>
          <w:szCs w:val="26"/>
          <w:lang w:val="es-MX"/>
        </w:rPr>
        <w:t>.</w:t>
      </w:r>
    </w:p>
    <w:p w14:paraId="4A01E7E8" w14:textId="353CA6B6" w:rsidR="00344B3A" w:rsidRDefault="00344B3A" w:rsidP="002F0911">
      <w:pPr>
        <w:spacing w:line="360" w:lineRule="auto"/>
        <w:ind w:right="49"/>
        <w:jc w:val="both"/>
        <w:rPr>
          <w:rFonts w:ascii="Arial" w:hAnsi="Arial" w:cs="Arial"/>
          <w:sz w:val="26"/>
          <w:szCs w:val="26"/>
          <w:highlight w:val="green"/>
        </w:rPr>
      </w:pPr>
    </w:p>
    <w:p w14:paraId="72D475D2" w14:textId="77777777" w:rsidR="00212F38" w:rsidRPr="00EA3FBA" w:rsidRDefault="00212F38" w:rsidP="002F0911">
      <w:pPr>
        <w:spacing w:line="360" w:lineRule="auto"/>
        <w:ind w:right="49"/>
        <w:jc w:val="both"/>
        <w:rPr>
          <w:rFonts w:ascii="Arial" w:hAnsi="Arial" w:cs="Arial"/>
          <w:sz w:val="26"/>
          <w:szCs w:val="26"/>
          <w:highlight w:val="green"/>
        </w:rPr>
      </w:pPr>
    </w:p>
    <w:p w14:paraId="08307D62" w14:textId="3AF1A0BD" w:rsidR="00F7570C" w:rsidRDefault="00344B3A" w:rsidP="00EA3FBA">
      <w:pPr>
        <w:spacing w:line="360" w:lineRule="auto"/>
        <w:jc w:val="both"/>
        <w:rPr>
          <w:rFonts w:ascii="Arial" w:eastAsia="Calibri" w:hAnsi="Arial" w:cs="Arial"/>
          <w:sz w:val="26"/>
          <w:szCs w:val="26"/>
          <w:lang w:eastAsia="en-US"/>
        </w:rPr>
      </w:pPr>
      <w:r w:rsidRPr="00344B3A">
        <w:rPr>
          <w:rFonts w:ascii="Arial" w:hAnsi="Arial" w:cs="Arial"/>
          <w:sz w:val="26"/>
          <w:szCs w:val="26"/>
          <w:lang w:val="es-ES_tradnl"/>
        </w:rPr>
        <w:t>En sesión</w:t>
      </w:r>
      <w:r w:rsidR="0055756D" w:rsidRPr="00EA3FBA">
        <w:rPr>
          <w:rFonts w:ascii="Arial" w:hAnsi="Arial" w:cs="Arial"/>
          <w:sz w:val="26"/>
          <w:szCs w:val="26"/>
        </w:rPr>
        <w:t xml:space="preserve"> de siete de enero de dos mil veintiuno</w:t>
      </w:r>
      <w:r w:rsidRPr="00344B3A">
        <w:rPr>
          <w:rFonts w:ascii="Arial" w:hAnsi="Arial" w:cs="Arial"/>
          <w:sz w:val="26"/>
          <w:szCs w:val="26"/>
          <w:lang w:val="es-ES_tradnl"/>
        </w:rPr>
        <w:t>, el Pleno de la Suprema Corte resolvió la</w:t>
      </w:r>
      <w:r w:rsidR="000E2F95">
        <w:rPr>
          <w:rFonts w:ascii="Arial" w:hAnsi="Arial" w:cs="Arial"/>
          <w:sz w:val="26"/>
          <w:szCs w:val="26"/>
          <w:lang w:val="es-ES_tradnl"/>
        </w:rPr>
        <w:t>s</w:t>
      </w:r>
      <w:r w:rsidRPr="00344B3A">
        <w:rPr>
          <w:rFonts w:ascii="Arial" w:hAnsi="Arial" w:cs="Arial"/>
          <w:sz w:val="26"/>
          <w:szCs w:val="26"/>
          <w:lang w:val="es-ES_tradnl"/>
        </w:rPr>
        <w:t xml:space="preserve"> acci</w:t>
      </w:r>
      <w:r w:rsidR="000E2F95">
        <w:rPr>
          <w:rFonts w:ascii="Arial" w:hAnsi="Arial" w:cs="Arial"/>
          <w:sz w:val="26"/>
          <w:szCs w:val="26"/>
          <w:lang w:val="es-ES_tradnl"/>
        </w:rPr>
        <w:t>ones</w:t>
      </w:r>
      <w:r w:rsidRPr="00344B3A">
        <w:rPr>
          <w:rFonts w:ascii="Arial" w:hAnsi="Arial" w:cs="Arial"/>
          <w:sz w:val="26"/>
          <w:szCs w:val="26"/>
          <w:lang w:val="es-ES_tradnl"/>
        </w:rPr>
        <w:t xml:space="preserve"> de inconstitucionalidad citada</w:t>
      </w:r>
      <w:r w:rsidR="000E2F95">
        <w:rPr>
          <w:rFonts w:ascii="Arial" w:hAnsi="Arial" w:cs="Arial"/>
          <w:sz w:val="26"/>
          <w:szCs w:val="26"/>
          <w:lang w:val="es-ES_tradnl"/>
        </w:rPr>
        <w:t>s</w:t>
      </w:r>
      <w:r w:rsidRPr="00344B3A">
        <w:rPr>
          <w:rFonts w:ascii="Arial" w:hAnsi="Arial" w:cs="Arial"/>
          <w:sz w:val="26"/>
          <w:szCs w:val="26"/>
          <w:lang w:val="es-ES_tradnl"/>
        </w:rPr>
        <w:t xml:space="preserve"> al rubro, promovida</w:t>
      </w:r>
      <w:r w:rsidR="000E2F95">
        <w:rPr>
          <w:rFonts w:ascii="Arial" w:hAnsi="Arial" w:cs="Arial"/>
          <w:sz w:val="26"/>
          <w:szCs w:val="26"/>
          <w:lang w:val="es-ES_tradnl"/>
        </w:rPr>
        <w:t>s</w:t>
      </w:r>
      <w:r w:rsidRPr="00344B3A">
        <w:rPr>
          <w:rFonts w:ascii="Arial" w:hAnsi="Arial" w:cs="Arial"/>
          <w:sz w:val="26"/>
          <w:szCs w:val="26"/>
          <w:lang w:val="es-ES_tradnl"/>
        </w:rPr>
        <w:t xml:space="preserve"> por</w:t>
      </w:r>
      <w:r w:rsidR="00F7570C" w:rsidRPr="00EA3FBA">
        <w:rPr>
          <w:rFonts w:ascii="Arial" w:hAnsi="Arial" w:cs="Arial"/>
          <w:sz w:val="26"/>
          <w:szCs w:val="26"/>
          <w:lang w:val="es-ES_tradnl"/>
        </w:rPr>
        <w:t xml:space="preserve"> la</w:t>
      </w:r>
      <w:r w:rsidRPr="00344B3A">
        <w:rPr>
          <w:rFonts w:ascii="Arial" w:hAnsi="Arial" w:cs="Arial"/>
          <w:sz w:val="26"/>
          <w:szCs w:val="26"/>
          <w:lang w:val="es-ES_tradnl"/>
        </w:rPr>
        <w:t xml:space="preserve"> </w:t>
      </w:r>
      <w:r w:rsidR="00F7570C" w:rsidRPr="00EA3FBA">
        <w:rPr>
          <w:rFonts w:ascii="Arial" w:hAnsi="Arial" w:cs="Arial"/>
          <w:sz w:val="26"/>
          <w:szCs w:val="26"/>
          <w:lang w:val="es-MX"/>
        </w:rPr>
        <w:t>Comisión Nacional de los Derechos Humanos y</w:t>
      </w:r>
      <w:r w:rsidR="002554F3">
        <w:rPr>
          <w:rFonts w:ascii="Arial" w:hAnsi="Arial" w:cs="Arial"/>
          <w:sz w:val="26"/>
          <w:szCs w:val="26"/>
          <w:lang w:val="es-MX"/>
        </w:rPr>
        <w:t xml:space="preserve"> la</w:t>
      </w:r>
      <w:r w:rsidR="00F7570C" w:rsidRPr="00EA3FBA">
        <w:rPr>
          <w:rFonts w:ascii="Arial" w:hAnsi="Arial" w:cs="Arial"/>
          <w:sz w:val="26"/>
          <w:szCs w:val="26"/>
          <w:lang w:val="es-MX"/>
        </w:rPr>
        <w:t xml:space="preserve"> Comisión de Derechos Humanos de la Ciudad de México </w:t>
      </w:r>
      <w:r w:rsidR="00F7570C" w:rsidRPr="00EA3FBA">
        <w:rPr>
          <w:rFonts w:ascii="Arial" w:eastAsia="Calibri" w:hAnsi="Arial" w:cs="Arial"/>
          <w:sz w:val="26"/>
          <w:szCs w:val="26"/>
          <w:lang w:eastAsia="en-US"/>
        </w:rPr>
        <w:t xml:space="preserve">en contra de diversos preceptos de la Ley del Sistema de Seguridad Ciudadana de la Ciudad de México, expedida mediante Decreto publicado en la Gaceta Oficial de dicha entidad federativa el uno de agosto de dos mil diecinueve. </w:t>
      </w:r>
    </w:p>
    <w:p w14:paraId="36F4F6EA" w14:textId="77777777" w:rsidR="00EA3FBA" w:rsidRPr="00EA3FBA" w:rsidRDefault="00EA3FBA" w:rsidP="00EA3FBA">
      <w:pPr>
        <w:spacing w:line="360" w:lineRule="auto"/>
        <w:jc w:val="both"/>
        <w:rPr>
          <w:rFonts w:ascii="Arial" w:hAnsi="Arial" w:cs="Arial"/>
          <w:sz w:val="26"/>
          <w:szCs w:val="26"/>
          <w:lang w:val="es-MX"/>
        </w:rPr>
      </w:pPr>
    </w:p>
    <w:p w14:paraId="16195C2E" w14:textId="52944DDE" w:rsidR="00344B3A" w:rsidRPr="00552A9E" w:rsidRDefault="00344B3A" w:rsidP="000D14D9">
      <w:pPr>
        <w:spacing w:line="360" w:lineRule="auto"/>
        <w:jc w:val="both"/>
        <w:rPr>
          <w:rFonts w:ascii="Arial" w:hAnsi="Arial" w:cs="Arial"/>
          <w:sz w:val="26"/>
          <w:szCs w:val="26"/>
          <w:lang w:val="es-ES_tradnl"/>
        </w:rPr>
      </w:pPr>
      <w:r w:rsidRPr="00552A9E">
        <w:rPr>
          <w:rFonts w:ascii="Arial" w:hAnsi="Arial" w:cs="Arial"/>
          <w:sz w:val="26"/>
          <w:szCs w:val="26"/>
          <w:lang w:val="es-ES_tradnl"/>
        </w:rPr>
        <w:t xml:space="preserve">A </w:t>
      </w:r>
      <w:proofErr w:type="gramStart"/>
      <w:r w:rsidR="004856AA" w:rsidRPr="00552A9E">
        <w:rPr>
          <w:rFonts w:ascii="Arial" w:hAnsi="Arial" w:cs="Arial"/>
          <w:sz w:val="26"/>
          <w:szCs w:val="26"/>
          <w:lang w:val="es-ES_tradnl"/>
        </w:rPr>
        <w:t>continuación</w:t>
      </w:r>
      <w:proofErr w:type="gramEnd"/>
      <w:r w:rsidR="00C1343B">
        <w:rPr>
          <w:rFonts w:ascii="Arial" w:hAnsi="Arial" w:cs="Arial"/>
          <w:sz w:val="26"/>
          <w:szCs w:val="26"/>
          <w:lang w:val="es-ES_tradnl"/>
        </w:rPr>
        <w:t xml:space="preserve"> </w:t>
      </w:r>
      <w:r w:rsidR="006500D6" w:rsidRPr="00552A9E">
        <w:rPr>
          <w:rFonts w:ascii="Arial" w:hAnsi="Arial" w:cs="Arial"/>
          <w:sz w:val="26"/>
          <w:szCs w:val="26"/>
          <w:lang w:val="es-ES_tradnl"/>
        </w:rPr>
        <w:t>explicaré las cuestiones en las que no comparto el sentido de la resolución</w:t>
      </w:r>
      <w:r w:rsidR="00552A9E" w:rsidRPr="00552A9E">
        <w:rPr>
          <w:rFonts w:ascii="Arial" w:hAnsi="Arial" w:cs="Arial"/>
          <w:sz w:val="26"/>
          <w:szCs w:val="26"/>
          <w:lang w:val="es-ES_tradnl"/>
        </w:rPr>
        <w:t xml:space="preserve">, </w:t>
      </w:r>
      <w:r w:rsidR="006500D6" w:rsidRPr="00552A9E">
        <w:rPr>
          <w:rFonts w:ascii="Arial" w:hAnsi="Arial" w:cs="Arial"/>
          <w:sz w:val="26"/>
          <w:szCs w:val="26"/>
          <w:lang w:val="es-ES_tradnl"/>
        </w:rPr>
        <w:t>así como aquellas en las que</w:t>
      </w:r>
      <w:r w:rsidR="00953C46">
        <w:rPr>
          <w:rFonts w:ascii="Arial" w:hAnsi="Arial" w:cs="Arial"/>
          <w:sz w:val="26"/>
          <w:szCs w:val="26"/>
          <w:lang w:val="es-ES_tradnl"/>
        </w:rPr>
        <w:t>,</w:t>
      </w:r>
      <w:r w:rsidR="006500D6" w:rsidRPr="00552A9E">
        <w:rPr>
          <w:rFonts w:ascii="Arial" w:hAnsi="Arial" w:cs="Arial"/>
          <w:sz w:val="26"/>
          <w:szCs w:val="26"/>
          <w:lang w:val="es-ES_tradnl"/>
        </w:rPr>
        <w:t xml:space="preserve"> si bien estoy de acuerdo, me aparto </w:t>
      </w:r>
      <w:r w:rsidRPr="00552A9E">
        <w:rPr>
          <w:rFonts w:ascii="Arial" w:hAnsi="Arial" w:cs="Arial"/>
          <w:sz w:val="26"/>
          <w:szCs w:val="26"/>
          <w:lang w:val="es-ES_tradnl"/>
        </w:rPr>
        <w:t xml:space="preserve">de </w:t>
      </w:r>
      <w:r w:rsidR="002B5EFF" w:rsidRPr="00552A9E">
        <w:rPr>
          <w:rFonts w:ascii="Arial" w:hAnsi="Arial" w:cs="Arial"/>
          <w:sz w:val="26"/>
          <w:szCs w:val="26"/>
          <w:lang w:val="es-ES_tradnl"/>
        </w:rPr>
        <w:t>diversas</w:t>
      </w:r>
      <w:r w:rsidRPr="00552A9E">
        <w:rPr>
          <w:rFonts w:ascii="Arial" w:hAnsi="Arial" w:cs="Arial"/>
          <w:sz w:val="26"/>
          <w:szCs w:val="26"/>
          <w:lang w:val="es-ES_tradnl"/>
        </w:rPr>
        <w:t xml:space="preserve"> consideraciones que la sustentan. </w:t>
      </w:r>
    </w:p>
    <w:p w14:paraId="658F7048" w14:textId="4AD35977" w:rsidR="006500D6" w:rsidRPr="00552A9E" w:rsidRDefault="006500D6" w:rsidP="000D14D9">
      <w:pPr>
        <w:spacing w:line="360" w:lineRule="auto"/>
        <w:jc w:val="both"/>
        <w:rPr>
          <w:rFonts w:ascii="Arial" w:hAnsi="Arial" w:cs="Arial"/>
          <w:sz w:val="26"/>
          <w:szCs w:val="26"/>
          <w:lang w:val="es-ES_tradnl"/>
        </w:rPr>
      </w:pPr>
    </w:p>
    <w:p w14:paraId="1F1B376D" w14:textId="417E777C" w:rsidR="006500D6" w:rsidRPr="00552A9E" w:rsidRDefault="006500D6" w:rsidP="00DA1614">
      <w:pPr>
        <w:spacing w:after="360"/>
        <w:jc w:val="both"/>
        <w:rPr>
          <w:rFonts w:ascii="Arial" w:hAnsi="Arial" w:cs="Arial"/>
          <w:b/>
          <w:sz w:val="26"/>
          <w:szCs w:val="26"/>
          <w:lang w:val="es-ES_tradnl"/>
        </w:rPr>
      </w:pPr>
      <w:r w:rsidRPr="00552A9E">
        <w:rPr>
          <w:rFonts w:ascii="Arial" w:hAnsi="Arial" w:cs="Arial"/>
          <w:b/>
          <w:sz w:val="26"/>
          <w:szCs w:val="26"/>
          <w:lang w:val="es-ES_tradnl"/>
        </w:rPr>
        <w:t>Voto particular</w:t>
      </w:r>
      <w:r w:rsidR="00A70E78">
        <w:rPr>
          <w:rFonts w:ascii="Arial" w:hAnsi="Arial" w:cs="Arial"/>
          <w:b/>
          <w:sz w:val="26"/>
          <w:szCs w:val="26"/>
          <w:lang w:val="es-ES_tradnl"/>
        </w:rPr>
        <w:t>.</w:t>
      </w:r>
    </w:p>
    <w:p w14:paraId="722A11B5" w14:textId="2BBAAB9C" w:rsidR="006500D6" w:rsidRPr="00552A9E" w:rsidRDefault="006500D6" w:rsidP="00A70E78">
      <w:pPr>
        <w:jc w:val="both"/>
        <w:rPr>
          <w:rFonts w:ascii="Arial" w:hAnsi="Arial" w:cs="Arial"/>
          <w:b/>
          <w:sz w:val="26"/>
          <w:szCs w:val="26"/>
          <w:lang w:val="es-ES_tradnl"/>
        </w:rPr>
      </w:pPr>
      <w:r w:rsidRPr="00552A9E">
        <w:rPr>
          <w:rFonts w:ascii="Arial" w:hAnsi="Arial" w:cs="Arial"/>
          <w:b/>
          <w:sz w:val="26"/>
          <w:szCs w:val="26"/>
          <w:lang w:val="es-ES_tradnl"/>
        </w:rPr>
        <w:t>1. Improcedencia por cesación de efectos</w:t>
      </w:r>
      <w:r w:rsidR="00A70E78">
        <w:rPr>
          <w:rFonts w:ascii="Arial" w:hAnsi="Arial" w:cs="Arial"/>
          <w:b/>
          <w:sz w:val="26"/>
          <w:szCs w:val="26"/>
          <w:lang w:val="es-ES_tradnl"/>
        </w:rPr>
        <w:t>.</w:t>
      </w:r>
    </w:p>
    <w:p w14:paraId="291C05DF" w14:textId="3319F51C" w:rsidR="006500D6" w:rsidRPr="00552A9E" w:rsidRDefault="006500D6" w:rsidP="000D14D9">
      <w:pPr>
        <w:spacing w:line="360" w:lineRule="auto"/>
        <w:jc w:val="both"/>
        <w:rPr>
          <w:rFonts w:ascii="Arial" w:hAnsi="Arial" w:cs="Arial"/>
          <w:sz w:val="26"/>
          <w:szCs w:val="26"/>
          <w:lang w:val="es-ES_tradnl"/>
        </w:rPr>
      </w:pPr>
    </w:p>
    <w:p w14:paraId="2B37A577" w14:textId="2C2DAAFB" w:rsidR="004B2274" w:rsidRPr="00552A9E" w:rsidRDefault="009D675F" w:rsidP="00A0789A">
      <w:pPr>
        <w:spacing w:line="360" w:lineRule="auto"/>
        <w:jc w:val="both"/>
        <w:rPr>
          <w:rFonts w:ascii="Arial" w:hAnsi="Arial" w:cs="Arial"/>
          <w:sz w:val="26"/>
          <w:szCs w:val="26"/>
        </w:rPr>
      </w:pPr>
      <w:r w:rsidRPr="00552A9E">
        <w:rPr>
          <w:rFonts w:ascii="Arial" w:hAnsi="Arial" w:cs="Arial"/>
          <w:sz w:val="26"/>
          <w:szCs w:val="26"/>
        </w:rPr>
        <w:t>El considerando cuarto, apartado IV.2.</w:t>
      </w:r>
      <w:r w:rsidR="00164799" w:rsidRPr="00552A9E">
        <w:rPr>
          <w:rFonts w:ascii="Arial" w:hAnsi="Arial" w:cs="Arial"/>
          <w:sz w:val="26"/>
          <w:szCs w:val="26"/>
        </w:rPr>
        <w:t>,</w:t>
      </w:r>
      <w:r w:rsidRPr="00552A9E">
        <w:rPr>
          <w:rFonts w:ascii="Arial" w:hAnsi="Arial" w:cs="Arial"/>
          <w:sz w:val="26"/>
          <w:szCs w:val="26"/>
        </w:rPr>
        <w:t xml:space="preserve"> denominado </w:t>
      </w:r>
      <w:r w:rsidR="00164799" w:rsidRPr="00552A9E">
        <w:rPr>
          <w:rFonts w:ascii="Arial" w:hAnsi="Arial" w:cs="Arial"/>
          <w:sz w:val="26"/>
          <w:szCs w:val="26"/>
        </w:rPr>
        <w:t xml:space="preserve">“Actualización de una causa de improcedencia de oficio relativa a un nuevo acto legislativo”, </w:t>
      </w:r>
      <w:r w:rsidRPr="00552A9E">
        <w:rPr>
          <w:rFonts w:ascii="Arial" w:hAnsi="Arial" w:cs="Arial"/>
          <w:sz w:val="26"/>
          <w:szCs w:val="26"/>
        </w:rPr>
        <w:t xml:space="preserve">se aprobó por mayoría de votos. </w:t>
      </w:r>
    </w:p>
    <w:p w14:paraId="1F2141B3" w14:textId="77777777" w:rsidR="004B2274" w:rsidRPr="00552A9E" w:rsidRDefault="004B2274" w:rsidP="00A0789A">
      <w:pPr>
        <w:spacing w:line="360" w:lineRule="auto"/>
        <w:jc w:val="both"/>
        <w:rPr>
          <w:rFonts w:ascii="Arial" w:hAnsi="Arial" w:cs="Arial"/>
          <w:sz w:val="26"/>
          <w:szCs w:val="26"/>
        </w:rPr>
      </w:pPr>
    </w:p>
    <w:p w14:paraId="14419C2D" w14:textId="56F68D8C" w:rsidR="00BA6FBA" w:rsidRPr="00552A9E" w:rsidRDefault="006314F0" w:rsidP="00BA6FBA">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En el caso, c</w:t>
      </w:r>
      <w:r w:rsidR="004B2274" w:rsidRPr="00552A9E">
        <w:rPr>
          <w:rFonts w:ascii="Arial" w:hAnsi="Arial" w:cs="Arial"/>
          <w:sz w:val="26"/>
          <w:szCs w:val="26"/>
          <w:lang w:val="es-ES_tradnl"/>
        </w:rPr>
        <w:t xml:space="preserve">on posterioridad a </w:t>
      </w:r>
      <w:r w:rsidR="005349E5" w:rsidRPr="00552A9E">
        <w:rPr>
          <w:rFonts w:ascii="Arial" w:hAnsi="Arial" w:cs="Arial"/>
          <w:sz w:val="26"/>
          <w:szCs w:val="26"/>
          <w:lang w:val="es-ES_tradnl"/>
        </w:rPr>
        <w:t xml:space="preserve">la </w:t>
      </w:r>
      <w:r w:rsidR="00F138B9" w:rsidRPr="00552A9E">
        <w:rPr>
          <w:rFonts w:ascii="Arial" w:hAnsi="Arial" w:cs="Arial"/>
          <w:sz w:val="26"/>
          <w:szCs w:val="26"/>
          <w:lang w:val="es-ES_tradnl"/>
        </w:rPr>
        <w:t xml:space="preserve">reforma de </w:t>
      </w:r>
      <w:r w:rsidR="00F138B9" w:rsidRPr="00552A9E">
        <w:rPr>
          <w:rFonts w:ascii="Arial" w:eastAsia="Calibri" w:hAnsi="Arial" w:cs="Arial"/>
          <w:sz w:val="26"/>
          <w:szCs w:val="26"/>
          <w:lang w:eastAsia="en-US"/>
        </w:rPr>
        <w:t xml:space="preserve">la Ley del Sistema de Seguridad Ciudadana </w:t>
      </w:r>
      <w:bookmarkStart w:id="0" w:name="_Hlk101482896"/>
      <w:r w:rsidR="00F138B9" w:rsidRPr="00552A9E">
        <w:rPr>
          <w:rFonts w:ascii="Arial" w:eastAsia="Calibri" w:hAnsi="Arial" w:cs="Arial"/>
          <w:sz w:val="26"/>
          <w:szCs w:val="26"/>
          <w:lang w:eastAsia="en-US"/>
        </w:rPr>
        <w:t>de la Ciudad de México</w:t>
      </w:r>
      <w:bookmarkEnd w:id="0"/>
      <w:r w:rsidR="00F138B9" w:rsidRPr="00552A9E">
        <w:rPr>
          <w:rFonts w:ascii="Arial" w:eastAsia="Calibri" w:hAnsi="Arial" w:cs="Arial"/>
          <w:sz w:val="26"/>
          <w:szCs w:val="26"/>
          <w:lang w:eastAsia="en-US"/>
        </w:rPr>
        <w:t>, e</w:t>
      </w:r>
      <w:r w:rsidR="00C1343B">
        <w:rPr>
          <w:rFonts w:ascii="Arial" w:eastAsia="Calibri" w:hAnsi="Arial" w:cs="Arial"/>
          <w:sz w:val="26"/>
          <w:szCs w:val="26"/>
          <w:lang w:eastAsia="en-US"/>
        </w:rPr>
        <w:t>x</w:t>
      </w:r>
      <w:r w:rsidR="00F138B9" w:rsidRPr="00552A9E">
        <w:rPr>
          <w:rFonts w:ascii="Arial" w:eastAsia="Calibri" w:hAnsi="Arial" w:cs="Arial"/>
          <w:sz w:val="26"/>
          <w:szCs w:val="26"/>
          <w:lang w:eastAsia="en-US"/>
        </w:rPr>
        <w:t>pedida mediante Decreto publicado en la Gaceta Oficial de dicha entidad federativa el uno de agosto de dos mil diecinueve -</w:t>
      </w:r>
      <w:r w:rsidR="00B52907" w:rsidRPr="00552A9E">
        <w:rPr>
          <w:rFonts w:ascii="Arial" w:eastAsia="Calibri" w:hAnsi="Arial" w:cs="Arial"/>
          <w:sz w:val="26"/>
          <w:szCs w:val="26"/>
          <w:lang w:eastAsia="en-US"/>
        </w:rPr>
        <w:t>decreto</w:t>
      </w:r>
      <w:r w:rsidR="00F138B9" w:rsidRPr="00552A9E">
        <w:rPr>
          <w:rFonts w:ascii="Arial" w:eastAsia="Calibri" w:hAnsi="Arial" w:cs="Arial"/>
          <w:sz w:val="26"/>
          <w:szCs w:val="26"/>
          <w:lang w:eastAsia="en-US"/>
        </w:rPr>
        <w:t xml:space="preserve"> impugnado-</w:t>
      </w:r>
      <w:r w:rsidR="00B52907" w:rsidRPr="00552A9E">
        <w:rPr>
          <w:rFonts w:ascii="Arial" w:eastAsia="Calibri" w:hAnsi="Arial" w:cs="Arial"/>
          <w:sz w:val="26"/>
          <w:szCs w:val="26"/>
          <w:lang w:eastAsia="en-US"/>
        </w:rPr>
        <w:t xml:space="preserve">, el </w:t>
      </w:r>
      <w:r w:rsidR="00B52907" w:rsidRPr="00552A9E">
        <w:rPr>
          <w:rFonts w:ascii="Arial" w:hAnsi="Arial" w:cs="Arial"/>
          <w:sz w:val="26"/>
          <w:szCs w:val="26"/>
        </w:rPr>
        <w:t>veinticuatro de diciembre de dos mil diecinueve</w:t>
      </w:r>
      <w:r w:rsidR="00B52907" w:rsidRPr="00552A9E">
        <w:rPr>
          <w:rFonts w:ascii="Arial" w:hAnsi="Arial" w:cs="Arial"/>
          <w:sz w:val="26"/>
          <w:szCs w:val="26"/>
          <w:lang w:val="es-ES_tradnl"/>
        </w:rPr>
        <w:t xml:space="preserve"> se publicó </w:t>
      </w:r>
      <w:r w:rsidR="00B66404" w:rsidRPr="00552A9E">
        <w:rPr>
          <w:rFonts w:ascii="Arial" w:eastAsia="Calibri" w:hAnsi="Arial" w:cs="Arial"/>
          <w:sz w:val="26"/>
          <w:szCs w:val="26"/>
          <w:lang w:eastAsia="en-US"/>
        </w:rPr>
        <w:t>en la</w:t>
      </w:r>
      <w:r w:rsidR="006E46FF">
        <w:rPr>
          <w:rFonts w:ascii="Arial" w:eastAsia="Calibri" w:hAnsi="Arial" w:cs="Arial"/>
          <w:sz w:val="26"/>
          <w:szCs w:val="26"/>
          <w:lang w:eastAsia="en-US"/>
        </w:rPr>
        <w:t xml:space="preserve"> referida</w:t>
      </w:r>
      <w:r w:rsidR="00B66404" w:rsidRPr="00552A9E">
        <w:rPr>
          <w:rFonts w:ascii="Arial" w:eastAsia="Calibri" w:hAnsi="Arial" w:cs="Arial"/>
          <w:sz w:val="26"/>
          <w:szCs w:val="26"/>
          <w:lang w:eastAsia="en-US"/>
        </w:rPr>
        <w:t xml:space="preserve"> Gaceta Oficial </w:t>
      </w:r>
      <w:r w:rsidR="00B52907" w:rsidRPr="00552A9E">
        <w:rPr>
          <w:rFonts w:ascii="Arial" w:hAnsi="Arial" w:cs="Arial"/>
          <w:sz w:val="26"/>
          <w:szCs w:val="26"/>
          <w:lang w:val="es-ES_tradnl"/>
        </w:rPr>
        <w:t>el Decreto por el que se</w:t>
      </w:r>
      <w:r w:rsidR="00FA76C1" w:rsidRPr="00552A9E">
        <w:rPr>
          <w:rFonts w:ascii="Arial" w:eastAsiaTheme="minorHAnsi" w:hAnsi="Arial" w:cs="Arial"/>
          <w:sz w:val="26"/>
          <w:szCs w:val="26"/>
          <w:lang w:val="es-MX" w:eastAsia="en-US"/>
        </w:rPr>
        <w:t xml:space="preserve"> reforman y adicionan diversas disposiciones de la </w:t>
      </w:r>
      <w:r w:rsidR="00FA76C1" w:rsidRPr="00552A9E">
        <w:rPr>
          <w:rFonts w:ascii="Arial" w:eastAsia="Calibri" w:hAnsi="Arial" w:cs="Arial"/>
          <w:sz w:val="26"/>
          <w:szCs w:val="26"/>
          <w:lang w:eastAsia="en-US"/>
        </w:rPr>
        <w:t>Ley del Sistema de Seguridad Ciudadana de la Ciudad de México.</w:t>
      </w:r>
      <w:r w:rsidR="00BA6FBA" w:rsidRPr="00552A9E">
        <w:rPr>
          <w:rFonts w:ascii="Arial" w:eastAsiaTheme="minorHAnsi" w:hAnsi="Arial" w:cs="Arial"/>
          <w:sz w:val="26"/>
          <w:szCs w:val="26"/>
          <w:lang w:val="es-MX" w:eastAsia="en-US"/>
        </w:rPr>
        <w:t xml:space="preserve"> </w:t>
      </w:r>
      <w:r w:rsidR="00BA6FBA" w:rsidRPr="00552A9E">
        <w:rPr>
          <w:rFonts w:ascii="Arial" w:hAnsi="Arial" w:cs="Arial"/>
          <w:sz w:val="26"/>
          <w:szCs w:val="26"/>
          <w:lang w:val="es-ES_tradnl"/>
        </w:rPr>
        <w:t>Es decir, la ley impugnada sufrió modificaciones después de que fue promovida la acción de inconstitucionalidad.</w:t>
      </w:r>
    </w:p>
    <w:p w14:paraId="117CDE61" w14:textId="7E6BE81B" w:rsidR="00BA6FBA" w:rsidRPr="00552A9E" w:rsidRDefault="00BA6FBA" w:rsidP="00BA6FBA">
      <w:pPr>
        <w:spacing w:after="360" w:line="360" w:lineRule="auto"/>
        <w:jc w:val="both"/>
        <w:rPr>
          <w:rFonts w:ascii="Arial" w:hAnsi="Arial" w:cs="Arial"/>
          <w:sz w:val="26"/>
          <w:szCs w:val="26"/>
          <w:lang w:val="es-ES_tradnl"/>
        </w:rPr>
      </w:pPr>
    </w:p>
    <w:p w14:paraId="7C4171D5" w14:textId="1C88D97F" w:rsidR="00BA6FBA" w:rsidRPr="00552A9E" w:rsidRDefault="00BA6FBA"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lastRenderedPageBreak/>
        <w:t>Como consecuencia de lo anterior, correspondió al Tribunal Pleno determinar si derivado de ese nuevo decreto habían cesado los efectos de las normas impugnadas y</w:t>
      </w:r>
      <w:r w:rsidR="002272D4">
        <w:rPr>
          <w:rFonts w:ascii="Arial" w:hAnsi="Arial" w:cs="Arial"/>
          <w:sz w:val="26"/>
          <w:szCs w:val="26"/>
          <w:lang w:val="es-ES_tradnl"/>
        </w:rPr>
        <w:t>,</w:t>
      </w:r>
      <w:r w:rsidRPr="00552A9E">
        <w:rPr>
          <w:rFonts w:ascii="Arial" w:hAnsi="Arial" w:cs="Arial"/>
          <w:sz w:val="26"/>
          <w:szCs w:val="26"/>
          <w:lang w:val="es-ES_tradnl"/>
        </w:rPr>
        <w:t xml:space="preserve"> por ende, si se actualizaba la causa de improcedencia prevista en </w:t>
      </w:r>
      <w:r w:rsidR="00E40494">
        <w:rPr>
          <w:rFonts w:ascii="Arial" w:hAnsi="Arial" w:cs="Arial"/>
          <w:sz w:val="26"/>
          <w:szCs w:val="26"/>
          <w:lang w:val="es-ES_tradnl"/>
        </w:rPr>
        <w:t>el</w:t>
      </w:r>
      <w:r w:rsidRPr="00552A9E">
        <w:rPr>
          <w:rFonts w:ascii="Arial" w:hAnsi="Arial" w:cs="Arial"/>
          <w:sz w:val="26"/>
          <w:szCs w:val="26"/>
          <w:lang w:val="es-ES_tradnl"/>
        </w:rPr>
        <w:t xml:space="preserve"> artículo 19, fracción V, de la Ley Reglamentaria</w:t>
      </w:r>
      <w:r w:rsidRPr="00552A9E">
        <w:rPr>
          <w:rFonts w:ascii="Arial" w:hAnsi="Arial" w:cs="Arial"/>
          <w:sz w:val="26"/>
          <w:szCs w:val="26"/>
          <w:vertAlign w:val="superscript"/>
          <w:lang w:val="es-ES_tradnl"/>
        </w:rPr>
        <w:footnoteReference w:id="1"/>
      </w:r>
      <w:r w:rsidRPr="00552A9E">
        <w:rPr>
          <w:rFonts w:ascii="Arial" w:hAnsi="Arial" w:cs="Arial"/>
          <w:sz w:val="26"/>
          <w:szCs w:val="26"/>
          <w:lang w:val="es-ES_tradnl"/>
        </w:rPr>
        <w:t>.</w:t>
      </w:r>
    </w:p>
    <w:p w14:paraId="75B8EF83" w14:textId="7C73152E" w:rsidR="00BA6FBA" w:rsidRPr="00552A9E" w:rsidRDefault="00BA6FBA"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El Tribunal Pleno consideró que para determinar si habían cesado o no los efectos de la norma debía atenderse al criterio que tradicionalmente esta Suprema Corte ha adoptado. Esto es, para considerar que se ha configurado un nuevo acto legislativo y que han cesado los efectos de la norma impugnada debían reunirse los siguientes dos aspectos: a) que se haya llevado a cabo un procedimiento legislativo</w:t>
      </w:r>
      <w:r w:rsidR="00E611E3" w:rsidRPr="00552A9E">
        <w:rPr>
          <w:rFonts w:ascii="Arial" w:hAnsi="Arial" w:cs="Arial"/>
          <w:sz w:val="26"/>
          <w:szCs w:val="26"/>
          <w:lang w:val="es-ES_tradnl"/>
        </w:rPr>
        <w:t xml:space="preserve"> (criterio formal);</w:t>
      </w:r>
      <w:r w:rsidRPr="00552A9E">
        <w:rPr>
          <w:rFonts w:ascii="Arial" w:hAnsi="Arial" w:cs="Arial"/>
          <w:sz w:val="26"/>
          <w:szCs w:val="26"/>
          <w:lang w:val="es-ES_tradnl"/>
        </w:rPr>
        <w:t xml:space="preserve"> y b) </w:t>
      </w:r>
      <w:bookmarkStart w:id="1" w:name="_Hlk101525516"/>
      <w:r w:rsidRPr="00552A9E">
        <w:rPr>
          <w:rFonts w:ascii="Arial" w:hAnsi="Arial" w:cs="Arial"/>
          <w:sz w:val="26"/>
          <w:szCs w:val="26"/>
          <w:lang w:val="es-ES_tradnl"/>
        </w:rPr>
        <w:t>que la modificación impacte en el sentido de las expresiones normativas</w:t>
      </w:r>
      <w:bookmarkEnd w:id="1"/>
      <w:r w:rsidR="00536610" w:rsidRPr="00552A9E">
        <w:rPr>
          <w:rFonts w:ascii="Arial" w:hAnsi="Arial" w:cs="Arial"/>
          <w:sz w:val="26"/>
          <w:szCs w:val="26"/>
          <w:lang w:val="es-ES_tradnl"/>
        </w:rPr>
        <w:t xml:space="preserve"> (cambio normativo)</w:t>
      </w:r>
      <w:r w:rsidRPr="00552A9E">
        <w:rPr>
          <w:rFonts w:ascii="Arial" w:hAnsi="Arial" w:cs="Arial"/>
          <w:sz w:val="26"/>
          <w:szCs w:val="26"/>
          <w:vertAlign w:val="superscript"/>
          <w:lang w:val="es-ES_tradnl"/>
        </w:rPr>
        <w:footnoteReference w:id="2"/>
      </w:r>
      <w:r w:rsidRPr="00552A9E">
        <w:rPr>
          <w:rFonts w:ascii="Arial" w:hAnsi="Arial" w:cs="Arial"/>
          <w:sz w:val="26"/>
          <w:szCs w:val="26"/>
          <w:lang w:val="es-ES_tradnl"/>
        </w:rPr>
        <w:t>. Lo anterior se circunscribe a analizar si el sentido y alcance de la norma impugnada varió derivado de un cambio legislativo, pues ningún sentido tendría analizar una norma cuyo contenido sea distinto al originalmente impugnado y que ha dejado de tener efectos.</w:t>
      </w:r>
    </w:p>
    <w:p w14:paraId="1B0ADA27" w14:textId="4F19AAE3" w:rsidR="005349E5" w:rsidRPr="00552A9E" w:rsidRDefault="005349E5" w:rsidP="00DA1614">
      <w:pPr>
        <w:spacing w:line="360" w:lineRule="auto"/>
        <w:jc w:val="both"/>
        <w:rPr>
          <w:rFonts w:ascii="Arial" w:hAnsi="Arial" w:cs="Arial"/>
          <w:sz w:val="26"/>
          <w:szCs w:val="26"/>
        </w:rPr>
      </w:pPr>
      <w:r w:rsidRPr="00552A9E">
        <w:rPr>
          <w:rFonts w:ascii="Arial" w:hAnsi="Arial" w:cs="Arial"/>
          <w:sz w:val="26"/>
          <w:szCs w:val="26"/>
        </w:rPr>
        <w:t xml:space="preserve">En consecuencia, se precisó que se actualizaba de oficio la causa de improcedencia relativa a la cesación de efectos de la norma general </w:t>
      </w:r>
      <w:r w:rsidR="00E151FE">
        <w:rPr>
          <w:rFonts w:ascii="Arial" w:hAnsi="Arial" w:cs="Arial"/>
          <w:sz w:val="26"/>
          <w:szCs w:val="26"/>
        </w:rPr>
        <w:t>en relación con</w:t>
      </w:r>
      <w:r w:rsidRPr="00552A9E">
        <w:rPr>
          <w:rFonts w:ascii="Arial" w:hAnsi="Arial" w:cs="Arial"/>
          <w:sz w:val="26"/>
          <w:szCs w:val="26"/>
        </w:rPr>
        <w:t xml:space="preserve"> los artículos 101 a 109</w:t>
      </w:r>
      <w:r w:rsidR="00E151FE">
        <w:rPr>
          <w:rFonts w:ascii="Arial" w:hAnsi="Arial" w:cs="Arial"/>
          <w:sz w:val="26"/>
          <w:szCs w:val="26"/>
        </w:rPr>
        <w:t>,</w:t>
      </w:r>
      <w:r w:rsidRPr="00552A9E">
        <w:rPr>
          <w:rFonts w:ascii="Arial" w:hAnsi="Arial" w:cs="Arial"/>
          <w:sz w:val="26"/>
          <w:szCs w:val="26"/>
        </w:rPr>
        <w:t xml:space="preserve"> concebidos como un sistema referente al “régimen disciplinario”</w:t>
      </w:r>
      <w:r w:rsidR="00E151FE">
        <w:rPr>
          <w:rFonts w:ascii="Arial" w:hAnsi="Arial" w:cs="Arial"/>
          <w:sz w:val="26"/>
          <w:szCs w:val="26"/>
        </w:rPr>
        <w:t>,</w:t>
      </w:r>
      <w:r w:rsidRPr="00552A9E">
        <w:rPr>
          <w:rFonts w:ascii="Arial" w:hAnsi="Arial" w:cs="Arial"/>
          <w:sz w:val="26"/>
          <w:szCs w:val="26"/>
        </w:rPr>
        <w:t xml:space="preserve"> así como</w:t>
      </w:r>
      <w:r w:rsidR="00E151FE">
        <w:rPr>
          <w:rFonts w:ascii="Arial" w:hAnsi="Arial" w:cs="Arial"/>
          <w:sz w:val="26"/>
          <w:szCs w:val="26"/>
        </w:rPr>
        <w:t xml:space="preserve"> con</w:t>
      </w:r>
      <w:r w:rsidRPr="00552A9E">
        <w:rPr>
          <w:rFonts w:ascii="Arial" w:hAnsi="Arial" w:cs="Arial"/>
          <w:sz w:val="26"/>
          <w:szCs w:val="26"/>
        </w:rPr>
        <w:t xml:space="preserve"> los numerales 116 a 120</w:t>
      </w:r>
      <w:r w:rsidR="00E151FE">
        <w:rPr>
          <w:rFonts w:ascii="Arial" w:hAnsi="Arial" w:cs="Arial"/>
          <w:sz w:val="26"/>
          <w:szCs w:val="26"/>
        </w:rPr>
        <w:t>,</w:t>
      </w:r>
      <w:r w:rsidRPr="00552A9E">
        <w:rPr>
          <w:rFonts w:ascii="Arial" w:hAnsi="Arial" w:cs="Arial"/>
          <w:sz w:val="26"/>
          <w:szCs w:val="26"/>
        </w:rPr>
        <w:t xml:space="preserve"> atinentes al sistema de facultades de la “Comisión de Honor y Justicia”, ambos contenidos </w:t>
      </w:r>
      <w:r w:rsidRPr="00552A9E">
        <w:rPr>
          <w:rFonts w:ascii="Arial" w:hAnsi="Arial" w:cs="Arial"/>
          <w:sz w:val="26"/>
          <w:szCs w:val="26"/>
        </w:rPr>
        <w:lastRenderedPageBreak/>
        <w:t>en el Título Décimo de la Ley del Sistema de Seguridad Ciudadana de la Ciudad de México</w:t>
      </w:r>
      <w:r w:rsidR="00E151FE">
        <w:rPr>
          <w:rFonts w:ascii="Arial" w:hAnsi="Arial" w:cs="Arial"/>
          <w:sz w:val="26"/>
          <w:szCs w:val="26"/>
        </w:rPr>
        <w:t>.</w:t>
      </w:r>
      <w:r w:rsidRPr="00552A9E">
        <w:rPr>
          <w:rFonts w:ascii="Arial" w:hAnsi="Arial" w:cs="Arial"/>
          <w:sz w:val="26"/>
          <w:szCs w:val="26"/>
        </w:rPr>
        <w:t xml:space="preserve"> </w:t>
      </w:r>
      <w:r w:rsidR="00E151FE">
        <w:rPr>
          <w:rFonts w:ascii="Arial" w:hAnsi="Arial" w:cs="Arial"/>
          <w:sz w:val="26"/>
          <w:szCs w:val="26"/>
        </w:rPr>
        <w:t>A</w:t>
      </w:r>
      <w:r w:rsidRPr="00552A9E">
        <w:rPr>
          <w:rFonts w:ascii="Arial" w:hAnsi="Arial" w:cs="Arial"/>
          <w:sz w:val="26"/>
          <w:szCs w:val="26"/>
        </w:rPr>
        <w:t>l haberse configurado un “nuevo acto legislativo”,</w:t>
      </w:r>
      <w:r w:rsidR="00E151FE">
        <w:rPr>
          <w:rFonts w:ascii="Arial" w:hAnsi="Arial" w:cs="Arial"/>
          <w:sz w:val="26"/>
          <w:szCs w:val="26"/>
        </w:rPr>
        <w:t xml:space="preserve"> se dijo,</w:t>
      </w:r>
      <w:r w:rsidRPr="00552A9E">
        <w:rPr>
          <w:rFonts w:ascii="Arial" w:hAnsi="Arial" w:cs="Arial"/>
          <w:sz w:val="26"/>
          <w:szCs w:val="26"/>
        </w:rPr>
        <w:t xml:space="preserve"> </w:t>
      </w:r>
      <w:r w:rsidR="00CE7BC2">
        <w:rPr>
          <w:rFonts w:ascii="Arial" w:hAnsi="Arial" w:cs="Arial"/>
          <w:sz w:val="26"/>
          <w:szCs w:val="26"/>
        </w:rPr>
        <w:t xml:space="preserve">había </w:t>
      </w:r>
      <w:r w:rsidR="00CE7BC2" w:rsidRPr="00552A9E">
        <w:rPr>
          <w:rFonts w:ascii="Arial" w:hAnsi="Arial" w:cs="Arial"/>
          <w:sz w:val="26"/>
          <w:szCs w:val="26"/>
        </w:rPr>
        <w:t>imped</w:t>
      </w:r>
      <w:r w:rsidR="00CE7BC2">
        <w:rPr>
          <w:rFonts w:ascii="Arial" w:hAnsi="Arial" w:cs="Arial"/>
          <w:sz w:val="26"/>
          <w:szCs w:val="26"/>
        </w:rPr>
        <w:t>imento para</w:t>
      </w:r>
      <w:r w:rsidR="00CE7BC2" w:rsidRPr="00552A9E">
        <w:rPr>
          <w:rFonts w:ascii="Arial" w:hAnsi="Arial" w:cs="Arial"/>
          <w:sz w:val="26"/>
          <w:szCs w:val="26"/>
        </w:rPr>
        <w:t xml:space="preserve"> </w:t>
      </w:r>
      <w:r w:rsidRPr="00552A9E">
        <w:rPr>
          <w:rFonts w:ascii="Arial" w:hAnsi="Arial" w:cs="Arial"/>
          <w:sz w:val="26"/>
          <w:szCs w:val="26"/>
        </w:rPr>
        <w:t>emprender el análisis de las disposiciones legales adicionadas en el Decreto de veinticuatro de diciembre de dos mil diecinueve.</w:t>
      </w:r>
    </w:p>
    <w:p w14:paraId="33B346A3" w14:textId="77777777" w:rsidR="00DA1614" w:rsidRPr="00552A9E" w:rsidRDefault="00DA1614" w:rsidP="00DA1614">
      <w:pPr>
        <w:spacing w:line="360" w:lineRule="auto"/>
        <w:jc w:val="both"/>
        <w:rPr>
          <w:rFonts w:ascii="Arial" w:hAnsi="Arial" w:cs="Arial"/>
          <w:sz w:val="26"/>
          <w:szCs w:val="26"/>
          <w:lang w:val="es-ES_tradnl"/>
        </w:rPr>
      </w:pPr>
    </w:p>
    <w:p w14:paraId="3E203AC4" w14:textId="25BB8828" w:rsidR="00226D59" w:rsidRPr="00552A9E" w:rsidRDefault="00226D59" w:rsidP="005E6905">
      <w:pPr>
        <w:spacing w:after="100" w:afterAutospacing="1" w:line="360" w:lineRule="auto"/>
        <w:jc w:val="both"/>
        <w:rPr>
          <w:rFonts w:ascii="Arial" w:hAnsi="Arial" w:cs="Arial"/>
          <w:sz w:val="26"/>
          <w:szCs w:val="26"/>
          <w:lang w:val="es-ES_tradnl"/>
        </w:rPr>
      </w:pPr>
      <w:r w:rsidRPr="00552A9E">
        <w:rPr>
          <w:rFonts w:ascii="Arial" w:hAnsi="Arial" w:cs="Arial"/>
          <w:sz w:val="26"/>
          <w:szCs w:val="26"/>
          <w:lang w:val="es-ES_tradnl"/>
        </w:rPr>
        <w:t xml:space="preserve">Si bien estoy de acuerdo con </w:t>
      </w:r>
      <w:r w:rsidR="003C766A" w:rsidRPr="00552A9E">
        <w:rPr>
          <w:rFonts w:ascii="Arial" w:hAnsi="Arial" w:cs="Arial"/>
          <w:sz w:val="26"/>
          <w:szCs w:val="26"/>
          <w:lang w:val="es-ES_tradnl"/>
        </w:rPr>
        <w:t xml:space="preserve">que </w:t>
      </w:r>
      <w:r w:rsidRPr="00552A9E">
        <w:rPr>
          <w:rFonts w:ascii="Arial" w:hAnsi="Arial" w:cs="Arial"/>
          <w:sz w:val="26"/>
          <w:szCs w:val="26"/>
          <w:lang w:val="es-ES_tradnl"/>
        </w:rPr>
        <w:t xml:space="preserve">el criterio </w:t>
      </w:r>
      <w:r w:rsidR="003C766A" w:rsidRPr="00552A9E">
        <w:rPr>
          <w:rFonts w:ascii="Arial" w:hAnsi="Arial" w:cs="Arial"/>
          <w:sz w:val="26"/>
          <w:szCs w:val="26"/>
          <w:lang w:val="es-ES_tradnl"/>
        </w:rPr>
        <w:t xml:space="preserve">material y cambio normativo </w:t>
      </w:r>
      <w:r w:rsidRPr="00552A9E">
        <w:rPr>
          <w:rFonts w:ascii="Arial" w:hAnsi="Arial" w:cs="Arial"/>
          <w:sz w:val="26"/>
          <w:szCs w:val="26"/>
          <w:lang w:val="es-ES_tradnl"/>
        </w:rPr>
        <w:t>sea</w:t>
      </w:r>
      <w:r w:rsidR="003C766A" w:rsidRPr="00552A9E">
        <w:rPr>
          <w:rFonts w:ascii="Arial" w:hAnsi="Arial" w:cs="Arial"/>
          <w:sz w:val="26"/>
          <w:szCs w:val="26"/>
          <w:lang w:val="es-ES_tradnl"/>
        </w:rPr>
        <w:t>n</w:t>
      </w:r>
      <w:r w:rsidRPr="00552A9E">
        <w:rPr>
          <w:rFonts w:ascii="Arial" w:hAnsi="Arial" w:cs="Arial"/>
          <w:sz w:val="26"/>
          <w:szCs w:val="26"/>
          <w:lang w:val="es-ES_tradnl"/>
        </w:rPr>
        <w:t xml:space="preserve"> utilizado para analizar si se está ante un nuevo acto legislativo, esta metodología normalmente ha sido empleada cuando el planteamiento toral de la accionante tiene que ver con la incompatibilidad entre el contenido de una norma y el constitucional. Por tanto, dado que las acciones de inconstitucionalidad no tienen efectos retroactivos salvo en materia penal, el cambio de la norma impugnada necesariamente se traduce en que sea irrelevante que el Tribunal Pleno analice si violaba o no la Constitución Federal.</w:t>
      </w:r>
    </w:p>
    <w:p w14:paraId="757B3888" w14:textId="7A204EE4" w:rsidR="00226D59" w:rsidRPr="00552A9E" w:rsidRDefault="00226D59" w:rsidP="005E6905">
      <w:pPr>
        <w:spacing w:after="100" w:afterAutospacing="1" w:line="360" w:lineRule="auto"/>
        <w:jc w:val="both"/>
        <w:rPr>
          <w:rFonts w:ascii="Arial" w:hAnsi="Arial" w:cs="Arial"/>
          <w:sz w:val="26"/>
          <w:szCs w:val="26"/>
          <w:lang w:val="es-ES_tradnl"/>
        </w:rPr>
      </w:pPr>
      <w:r w:rsidRPr="00552A9E">
        <w:rPr>
          <w:rFonts w:ascii="Arial" w:hAnsi="Arial" w:cs="Arial"/>
          <w:sz w:val="26"/>
          <w:szCs w:val="26"/>
          <w:lang w:val="es-ES_tradnl"/>
        </w:rPr>
        <w:t xml:space="preserve">Sin embargo, considero que no fue adecuado utilizar dicha metodología en este asunto porque los accionantes cuestionaron fundamentalmente una omisión legislativa. Es decir, en este caso cuestionaban la violación a </w:t>
      </w:r>
      <w:r w:rsidR="00B27A26" w:rsidRPr="00552A9E">
        <w:rPr>
          <w:rFonts w:ascii="Arial" w:hAnsi="Arial" w:cs="Arial"/>
          <w:sz w:val="26"/>
          <w:szCs w:val="26"/>
          <w:lang w:val="es-ES_tradnl"/>
        </w:rPr>
        <w:t xml:space="preserve">diversos </w:t>
      </w:r>
      <w:r w:rsidRPr="00552A9E">
        <w:rPr>
          <w:rFonts w:ascii="Arial" w:hAnsi="Arial" w:cs="Arial"/>
          <w:sz w:val="26"/>
          <w:szCs w:val="26"/>
          <w:lang w:val="es-ES_tradnl"/>
        </w:rPr>
        <w:t>mandato</w:t>
      </w:r>
      <w:r w:rsidR="00B27A26" w:rsidRPr="00552A9E">
        <w:rPr>
          <w:rFonts w:ascii="Arial" w:hAnsi="Arial" w:cs="Arial"/>
          <w:sz w:val="26"/>
          <w:szCs w:val="26"/>
          <w:lang w:val="es-ES_tradnl"/>
        </w:rPr>
        <w:t>s</w:t>
      </w:r>
      <w:r w:rsidRPr="00552A9E">
        <w:rPr>
          <w:rFonts w:ascii="Arial" w:hAnsi="Arial" w:cs="Arial"/>
          <w:sz w:val="26"/>
          <w:szCs w:val="26"/>
          <w:lang w:val="es-ES_tradnl"/>
        </w:rPr>
        <w:t xml:space="preserve"> constitucional</w:t>
      </w:r>
      <w:r w:rsidR="00B27A26" w:rsidRPr="00552A9E">
        <w:rPr>
          <w:rFonts w:ascii="Arial" w:hAnsi="Arial" w:cs="Arial"/>
          <w:sz w:val="26"/>
          <w:szCs w:val="26"/>
          <w:lang w:val="es-ES_tradnl"/>
        </w:rPr>
        <w:t>es</w:t>
      </w:r>
      <w:r w:rsidRPr="00552A9E">
        <w:rPr>
          <w:rFonts w:ascii="Arial" w:hAnsi="Arial" w:cs="Arial"/>
          <w:sz w:val="26"/>
          <w:szCs w:val="26"/>
          <w:lang w:val="es-ES_tradnl"/>
        </w:rPr>
        <w:t xml:space="preserve"> para legislar en cierto sentido</w:t>
      </w:r>
      <w:r w:rsidR="00793CF7" w:rsidRPr="00552A9E">
        <w:rPr>
          <w:rStyle w:val="Refdenotaalpie"/>
          <w:rFonts w:ascii="Arial" w:hAnsi="Arial" w:cs="Arial"/>
          <w:sz w:val="26"/>
          <w:szCs w:val="26"/>
          <w:lang w:val="es-ES_tradnl"/>
        </w:rPr>
        <w:footnoteReference w:id="3"/>
      </w:r>
      <w:r w:rsidRPr="00552A9E">
        <w:rPr>
          <w:rFonts w:ascii="Arial" w:hAnsi="Arial" w:cs="Arial"/>
          <w:sz w:val="26"/>
          <w:szCs w:val="26"/>
          <w:lang w:val="es-ES_tradnl"/>
        </w:rPr>
        <w:t xml:space="preserve">. En virtud de esta distinción, me parece que era necesario realizar un matiz a la teoría actual del Tribunal Pleno sobre cuándo existe un nuevo acto legislativo que nos permitiera seguir analizando las impugnaciones que se formulen con el fin de que las mismas no se tornen superfluas. Esto es así porque el hecho que se reforme la norma impugnada no necesariamente implica que cesó la omisión constitucional que se cuestiona. </w:t>
      </w:r>
    </w:p>
    <w:p w14:paraId="12478385" w14:textId="77777777" w:rsidR="00496A63" w:rsidRPr="00552A9E" w:rsidRDefault="00496A63"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 xml:space="preserve">Es decir, cuando el planteamiento toral de un accionante es una omisión legislativa relativa, estimar que un nuevo acto legislativo por sí mismo </w:t>
      </w:r>
      <w:r w:rsidRPr="00552A9E">
        <w:rPr>
          <w:rFonts w:ascii="Arial" w:hAnsi="Arial" w:cs="Arial"/>
          <w:i/>
          <w:sz w:val="26"/>
          <w:szCs w:val="26"/>
          <w:lang w:val="es-ES_tradnl"/>
        </w:rPr>
        <w:t xml:space="preserve">cesa </w:t>
      </w:r>
      <w:r w:rsidRPr="00552A9E">
        <w:rPr>
          <w:rFonts w:ascii="Arial" w:hAnsi="Arial" w:cs="Arial"/>
          <w:sz w:val="26"/>
          <w:szCs w:val="26"/>
          <w:lang w:val="es-ES_tradnl"/>
        </w:rPr>
        <w:t xml:space="preserve">los efectos del acto reclamado implicaría incurrir en una </w:t>
      </w:r>
      <w:r w:rsidRPr="00552A9E">
        <w:rPr>
          <w:rFonts w:ascii="Arial" w:hAnsi="Arial" w:cs="Arial"/>
          <w:i/>
          <w:sz w:val="26"/>
          <w:szCs w:val="26"/>
          <w:lang w:val="es-ES_tradnl"/>
        </w:rPr>
        <w:t xml:space="preserve">petición de principio, </w:t>
      </w:r>
      <w:r w:rsidRPr="00552A9E">
        <w:rPr>
          <w:rFonts w:ascii="Arial" w:hAnsi="Arial" w:cs="Arial"/>
          <w:sz w:val="26"/>
          <w:szCs w:val="26"/>
          <w:lang w:val="es-ES_tradnl"/>
        </w:rPr>
        <w:lastRenderedPageBreak/>
        <w:t xml:space="preserve">pues para saber si las carencias reclamadas verdaderamente han sido extinguidas, es necesario estudiar los cambios introducidos. Así, a diferencia de lo que sucede con las impugnaciones en donde se contrasta una ley con el texto constitucional y en las que el cambio sustantivo de la norma deja sin efectos sus posibles vicios en el futuro, cuando el planteamiento es de omisión no hay tal seguridad de que la supuesta inconstitucionalidad que detonó la impugnación haya cesado. </w:t>
      </w:r>
    </w:p>
    <w:p w14:paraId="347D2ABE" w14:textId="053BB504" w:rsidR="00496A63" w:rsidRPr="00552A9E" w:rsidRDefault="00496A63"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 xml:space="preserve">En este sentido, a diferencia de lo que sucede con el actual criterio –formal y </w:t>
      </w:r>
      <w:r w:rsidR="00186E41" w:rsidRPr="00552A9E">
        <w:rPr>
          <w:rFonts w:ascii="Arial" w:hAnsi="Arial" w:cs="Arial"/>
          <w:sz w:val="26"/>
          <w:szCs w:val="26"/>
          <w:lang w:val="es-ES_tradnl"/>
        </w:rPr>
        <w:t>cambio normativo</w:t>
      </w:r>
      <w:r w:rsidRPr="00552A9E">
        <w:rPr>
          <w:rFonts w:ascii="Arial" w:hAnsi="Arial" w:cs="Arial"/>
          <w:sz w:val="26"/>
          <w:szCs w:val="26"/>
          <w:lang w:val="es-ES_tradnl"/>
        </w:rPr>
        <w:t xml:space="preserve">–, el cambio </w:t>
      </w:r>
      <w:r w:rsidR="00186E41" w:rsidRPr="00552A9E">
        <w:rPr>
          <w:rFonts w:ascii="Arial" w:hAnsi="Arial" w:cs="Arial"/>
          <w:sz w:val="26"/>
          <w:szCs w:val="26"/>
          <w:lang w:val="es-ES_tradnl"/>
        </w:rPr>
        <w:t>normativo</w:t>
      </w:r>
      <w:r w:rsidRPr="00552A9E">
        <w:rPr>
          <w:rFonts w:ascii="Arial" w:hAnsi="Arial" w:cs="Arial"/>
          <w:sz w:val="26"/>
          <w:szCs w:val="26"/>
          <w:lang w:val="es-ES_tradnl"/>
        </w:rPr>
        <w:t xml:space="preserve"> para efectos del sobreseimiento debe concretarse en función de si el vicio de omisión planteado subsiste o no, pues de no ser así, correríamos el riesgo de que la Suprema Corte no estudie la petición aún y cuando el vicio de inconstitucionalidad subsista. Esta propuesta interpretativa no sólo es congruente con los criterios del Tribunal Pleno, sino que además robustece la función de la Suprema Corte como Tribunal Constitucional, así como sus atribuciones para resolver acciones de inconstitucionalidad. </w:t>
      </w:r>
    </w:p>
    <w:p w14:paraId="40DD832E" w14:textId="1E6E9206" w:rsidR="00496A63" w:rsidRPr="00552A9E" w:rsidRDefault="00496A63"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Además, el Tribunal Pleno ha sostenido reiteradamente que para que se actualice una causa de improcedencia que impida resolver el fondo del asunto, ésta debe estar completamente acreditada, de modo que</w:t>
      </w:r>
      <w:r w:rsidR="002223DC">
        <w:rPr>
          <w:rFonts w:ascii="Arial" w:hAnsi="Arial" w:cs="Arial"/>
          <w:sz w:val="26"/>
          <w:szCs w:val="26"/>
          <w:lang w:val="es-ES_tradnl"/>
        </w:rPr>
        <w:t>,</w:t>
      </w:r>
      <w:r w:rsidRPr="00552A9E">
        <w:rPr>
          <w:rFonts w:ascii="Arial" w:hAnsi="Arial" w:cs="Arial"/>
          <w:sz w:val="26"/>
          <w:szCs w:val="26"/>
          <w:lang w:val="es-ES_tradnl"/>
        </w:rPr>
        <w:t xml:space="preserve"> ante la mínima duda, el principio </w:t>
      </w:r>
      <w:r w:rsidRPr="00552A9E">
        <w:rPr>
          <w:rFonts w:ascii="Arial" w:hAnsi="Arial" w:cs="Arial"/>
          <w:i/>
          <w:sz w:val="26"/>
          <w:szCs w:val="26"/>
          <w:lang w:val="es-ES_tradnl"/>
        </w:rPr>
        <w:t xml:space="preserve">pro </w:t>
      </w:r>
      <w:proofErr w:type="spellStart"/>
      <w:r w:rsidRPr="00552A9E">
        <w:rPr>
          <w:rFonts w:ascii="Arial" w:hAnsi="Arial" w:cs="Arial"/>
          <w:i/>
          <w:sz w:val="26"/>
          <w:szCs w:val="26"/>
          <w:lang w:val="es-ES_tradnl"/>
        </w:rPr>
        <w:t>actione</w:t>
      </w:r>
      <w:proofErr w:type="spellEnd"/>
      <w:r w:rsidRPr="00552A9E">
        <w:rPr>
          <w:rFonts w:ascii="Arial" w:hAnsi="Arial" w:cs="Arial"/>
          <w:i/>
          <w:sz w:val="26"/>
          <w:szCs w:val="26"/>
          <w:lang w:val="es-ES_tradnl"/>
        </w:rPr>
        <w:t xml:space="preserve"> </w:t>
      </w:r>
      <w:r w:rsidRPr="00552A9E">
        <w:rPr>
          <w:rFonts w:ascii="Arial" w:hAnsi="Arial" w:cs="Arial"/>
          <w:sz w:val="26"/>
          <w:szCs w:val="26"/>
          <w:lang w:val="es-ES_tradnl"/>
        </w:rPr>
        <w:t xml:space="preserve">nos obliga a resolver el fondo del asunto. </w:t>
      </w:r>
      <w:r w:rsidR="002223DC">
        <w:rPr>
          <w:rFonts w:ascii="Arial" w:hAnsi="Arial" w:cs="Arial"/>
          <w:sz w:val="26"/>
          <w:szCs w:val="26"/>
          <w:lang w:val="es-ES_tradnl"/>
        </w:rPr>
        <w:t>L</w:t>
      </w:r>
      <w:r w:rsidRPr="00552A9E">
        <w:rPr>
          <w:rFonts w:ascii="Arial" w:hAnsi="Arial" w:cs="Arial"/>
          <w:sz w:val="26"/>
          <w:szCs w:val="26"/>
          <w:lang w:val="es-ES_tradnl"/>
        </w:rPr>
        <w:t xml:space="preserve">as acciones de inconstitucionalidad son un medio de control abstracto en el que existe suplencia absoluta, por lo que su finalidad no es sólo resolver la controversia que en el caso concreto se presenta, sino que se busca que el Tribunal fije un criterio de interpretación constitucional sobre lo que es válido o no en nuestro sistema jurídico. </w:t>
      </w:r>
    </w:p>
    <w:p w14:paraId="0CFE527B" w14:textId="77777777" w:rsidR="00496A63" w:rsidRPr="00552A9E" w:rsidRDefault="00496A63"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 xml:space="preserve">La función de un Tribunal Constitucional no es corregir una interpretación específica, como si fuese un tribunal superior o de casación, sino orientar y uniformar las interpretaciones válidas en el sistema jurídico. Lo anterior obedece a que las decisiones de la Suprema Corte de Justicia de la Nación en una acción de inconstitucionalidad indirectamente trascienden a la resolución de un asunto, pues fijan los parámetros interpretativos que deben </w:t>
      </w:r>
      <w:r w:rsidRPr="00552A9E">
        <w:rPr>
          <w:rFonts w:ascii="Arial" w:hAnsi="Arial" w:cs="Arial"/>
          <w:sz w:val="26"/>
          <w:szCs w:val="26"/>
          <w:lang w:val="es-ES_tradnl"/>
        </w:rPr>
        <w:lastRenderedPageBreak/>
        <w:t>seguir los demás jueces y autoridades al resolver los ulteriores conflictos de su competencia.</w:t>
      </w:r>
    </w:p>
    <w:p w14:paraId="13AEF933" w14:textId="5A26BC75" w:rsidR="00496A63" w:rsidRPr="00552A9E" w:rsidRDefault="00496A63"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 xml:space="preserve">Por tanto, si la Suprema Corte de Justicia de la Nación es el órgano legitimado para resolver interrogantes sobre interpretaciones y actos admisibles conforme a la Constitución Federal, considero que en este asunto no debió analizarse en concreto cada una de las porciones normativas impugnadas a fin de determinar cuáles de ellas se habían transformado de modo tal que cesaron sus efectos. </w:t>
      </w:r>
      <w:r w:rsidR="00B0407A">
        <w:rPr>
          <w:rFonts w:ascii="Arial" w:hAnsi="Arial" w:cs="Arial"/>
          <w:sz w:val="26"/>
          <w:szCs w:val="26"/>
          <w:lang w:val="es-ES_tradnl"/>
        </w:rPr>
        <w:t>N</w:t>
      </w:r>
      <w:r w:rsidRPr="00552A9E">
        <w:rPr>
          <w:rFonts w:ascii="Arial" w:hAnsi="Arial" w:cs="Arial"/>
          <w:sz w:val="26"/>
          <w:szCs w:val="26"/>
          <w:lang w:val="es-ES_tradnl"/>
        </w:rPr>
        <w:t xml:space="preserve">o es el deber de este Tribunal actuar como un “borrador de normas” o un corrector de estilo. </w:t>
      </w:r>
    </w:p>
    <w:p w14:paraId="3A9ADC10" w14:textId="45ADADBA" w:rsidR="00496A63" w:rsidRPr="00552A9E" w:rsidRDefault="00496A63" w:rsidP="00DA1614">
      <w:pPr>
        <w:spacing w:after="360" w:line="360" w:lineRule="auto"/>
        <w:jc w:val="both"/>
        <w:rPr>
          <w:rFonts w:ascii="Arial" w:hAnsi="Arial" w:cs="Arial"/>
          <w:sz w:val="26"/>
          <w:szCs w:val="26"/>
          <w:lang w:val="es-ES_tradnl"/>
        </w:rPr>
      </w:pPr>
      <w:r w:rsidRPr="00552A9E">
        <w:rPr>
          <w:rFonts w:ascii="Arial" w:hAnsi="Arial" w:cs="Arial"/>
          <w:sz w:val="26"/>
          <w:szCs w:val="26"/>
          <w:lang w:val="es-ES_tradnl"/>
        </w:rPr>
        <w:t xml:space="preserve">En consecuencia, al cuestionarse que ciertas normas generaban una omisión legislativa relativa, ameritaba analizarse si ésta fue colmada o subsanada por la reforma posterior, por lo que considero que debió </w:t>
      </w:r>
      <w:r w:rsidR="00C46B47" w:rsidRPr="00552A9E">
        <w:rPr>
          <w:rFonts w:ascii="Arial" w:hAnsi="Arial" w:cs="Arial"/>
          <w:sz w:val="26"/>
          <w:szCs w:val="26"/>
          <w:lang w:val="es-ES_tradnl"/>
        </w:rPr>
        <w:t xml:space="preserve">tenerse por no actualizada </w:t>
      </w:r>
      <w:r w:rsidRPr="00552A9E">
        <w:rPr>
          <w:rFonts w:ascii="Arial" w:hAnsi="Arial" w:cs="Arial"/>
          <w:sz w:val="26"/>
          <w:szCs w:val="26"/>
          <w:lang w:val="es-ES_tradnl"/>
        </w:rPr>
        <w:t>la causa de improcedencia. Al considerar que dicho análisis era propio del estudio de fondo</w:t>
      </w:r>
      <w:r w:rsidRPr="00552A9E">
        <w:rPr>
          <w:rFonts w:ascii="Arial" w:hAnsi="Arial" w:cs="Arial"/>
          <w:sz w:val="26"/>
          <w:szCs w:val="26"/>
          <w:vertAlign w:val="superscript"/>
          <w:lang w:val="es-ES_tradnl"/>
        </w:rPr>
        <w:footnoteReference w:id="4"/>
      </w:r>
      <w:r w:rsidRPr="00552A9E">
        <w:rPr>
          <w:rFonts w:ascii="Arial" w:hAnsi="Arial" w:cs="Arial"/>
          <w:sz w:val="26"/>
          <w:szCs w:val="26"/>
          <w:lang w:val="es-ES_tradnl"/>
        </w:rPr>
        <w:t xml:space="preserve">, voté en contra del sobreseimiento respecto de los artículos que fueron modificados. </w:t>
      </w:r>
    </w:p>
    <w:p w14:paraId="0CB44ED8" w14:textId="7B45C3B2" w:rsidR="00BA6FBA" w:rsidRPr="00552A9E" w:rsidRDefault="00C46B47" w:rsidP="00A81E15">
      <w:pPr>
        <w:spacing w:line="360" w:lineRule="auto"/>
        <w:jc w:val="both"/>
        <w:rPr>
          <w:rFonts w:ascii="Arial" w:hAnsi="Arial" w:cs="Arial"/>
          <w:sz w:val="26"/>
          <w:szCs w:val="26"/>
          <w:lang w:val="es-ES_tradnl"/>
        </w:rPr>
      </w:pPr>
      <w:r w:rsidRPr="00552A9E">
        <w:rPr>
          <w:rFonts w:ascii="Arial" w:hAnsi="Arial" w:cs="Arial"/>
          <w:sz w:val="26"/>
          <w:szCs w:val="26"/>
          <w:lang w:val="es-ES_tradnl"/>
        </w:rPr>
        <w:t xml:space="preserve">Similares consideraciones sostuve en </w:t>
      </w:r>
      <w:r w:rsidR="006265A8" w:rsidRPr="00552A9E">
        <w:rPr>
          <w:rFonts w:ascii="Arial" w:hAnsi="Arial" w:cs="Arial"/>
          <w:sz w:val="26"/>
          <w:szCs w:val="26"/>
          <w:lang w:val="es-ES_tradnl"/>
        </w:rPr>
        <w:t xml:space="preserve">el voto particular relativo a </w:t>
      </w:r>
      <w:r w:rsidRPr="00552A9E">
        <w:rPr>
          <w:rFonts w:ascii="Arial" w:hAnsi="Arial" w:cs="Arial"/>
          <w:sz w:val="26"/>
          <w:szCs w:val="26"/>
          <w:lang w:val="es-ES_tradnl"/>
        </w:rPr>
        <w:t xml:space="preserve">la </w:t>
      </w:r>
      <w:r w:rsidR="008C1AFF">
        <w:rPr>
          <w:rFonts w:ascii="Arial" w:hAnsi="Arial" w:cs="Arial"/>
          <w:sz w:val="26"/>
          <w:szCs w:val="26"/>
          <w:lang w:val="es-ES_tradnl"/>
        </w:rPr>
        <w:t>a</w:t>
      </w:r>
      <w:r w:rsidRPr="00552A9E">
        <w:rPr>
          <w:rFonts w:ascii="Arial" w:hAnsi="Arial" w:cs="Arial"/>
          <w:sz w:val="26"/>
          <w:szCs w:val="26"/>
          <w:lang w:val="es-ES_tradnl"/>
        </w:rPr>
        <w:t xml:space="preserve">cción de </w:t>
      </w:r>
      <w:r w:rsidR="008C1AFF">
        <w:rPr>
          <w:rFonts w:ascii="Arial" w:hAnsi="Arial" w:cs="Arial"/>
          <w:sz w:val="26"/>
          <w:szCs w:val="26"/>
          <w:lang w:val="es-ES_tradnl"/>
        </w:rPr>
        <w:t>i</w:t>
      </w:r>
      <w:r w:rsidRPr="00552A9E">
        <w:rPr>
          <w:rFonts w:ascii="Arial" w:hAnsi="Arial" w:cs="Arial"/>
          <w:sz w:val="26"/>
          <w:szCs w:val="26"/>
          <w:lang w:val="es-ES_tradnl"/>
        </w:rPr>
        <w:t>nconstitucionalidad</w:t>
      </w:r>
      <w:r w:rsidR="006265A8" w:rsidRPr="00552A9E">
        <w:rPr>
          <w:rFonts w:ascii="Arial" w:hAnsi="Arial" w:cs="Arial"/>
          <w:sz w:val="26"/>
          <w:szCs w:val="26"/>
          <w:lang w:val="es-ES_tradnl"/>
        </w:rPr>
        <w:t xml:space="preserve"> </w:t>
      </w:r>
      <w:r w:rsidR="006265A8" w:rsidRPr="00552A9E">
        <w:rPr>
          <w:rFonts w:ascii="Arial" w:hAnsi="Arial" w:cs="Arial"/>
          <w:sz w:val="26"/>
          <w:szCs w:val="26"/>
        </w:rPr>
        <w:t>105/2018 y su acumulada 108/2018, fallada el veinte de mayo de dos mil diecinueve.</w:t>
      </w:r>
    </w:p>
    <w:p w14:paraId="6A53B5ED" w14:textId="77777777" w:rsidR="00A81E15" w:rsidRDefault="00A81E15" w:rsidP="00A81E15">
      <w:pPr>
        <w:spacing w:line="360" w:lineRule="auto"/>
        <w:jc w:val="both"/>
        <w:rPr>
          <w:rFonts w:ascii="Arial" w:hAnsi="Arial" w:cs="Arial"/>
          <w:b/>
          <w:sz w:val="26"/>
          <w:szCs w:val="26"/>
          <w:lang w:val="es-ES_tradnl"/>
        </w:rPr>
      </w:pPr>
    </w:p>
    <w:p w14:paraId="20E62F3B" w14:textId="19298EB0" w:rsidR="0071395B" w:rsidRPr="00552A9E" w:rsidRDefault="00601007" w:rsidP="00A81E15">
      <w:pPr>
        <w:spacing w:after="240" w:line="360" w:lineRule="auto"/>
        <w:jc w:val="both"/>
        <w:rPr>
          <w:rFonts w:ascii="Arial" w:hAnsi="Arial" w:cs="Arial"/>
          <w:b/>
          <w:sz w:val="26"/>
          <w:szCs w:val="26"/>
          <w:lang w:val="es-ES_tradnl"/>
        </w:rPr>
      </w:pPr>
      <w:r w:rsidRPr="00552A9E">
        <w:rPr>
          <w:rFonts w:ascii="Arial" w:hAnsi="Arial" w:cs="Arial"/>
          <w:b/>
          <w:sz w:val="26"/>
          <w:szCs w:val="26"/>
          <w:lang w:val="es-ES_tradnl"/>
        </w:rPr>
        <w:t xml:space="preserve">Voto </w:t>
      </w:r>
      <w:r w:rsidR="00E3440B" w:rsidRPr="00552A9E">
        <w:rPr>
          <w:rFonts w:ascii="Arial" w:hAnsi="Arial" w:cs="Arial"/>
          <w:b/>
          <w:sz w:val="26"/>
          <w:szCs w:val="26"/>
          <w:lang w:val="es-ES_tradnl"/>
        </w:rPr>
        <w:t>aclaratorio</w:t>
      </w:r>
      <w:r w:rsidR="00A81E15">
        <w:rPr>
          <w:rFonts w:ascii="Arial" w:hAnsi="Arial" w:cs="Arial"/>
          <w:b/>
          <w:sz w:val="26"/>
          <w:szCs w:val="26"/>
          <w:lang w:val="es-ES_tradnl"/>
        </w:rPr>
        <w:t>.</w:t>
      </w:r>
    </w:p>
    <w:p w14:paraId="4CE90B7B" w14:textId="7FEC4D82" w:rsidR="00F56192" w:rsidRPr="00552A9E" w:rsidRDefault="00270D8F" w:rsidP="00A81E15">
      <w:pPr>
        <w:pStyle w:val="Prrafodelista"/>
        <w:numPr>
          <w:ilvl w:val="0"/>
          <w:numId w:val="7"/>
        </w:numPr>
        <w:spacing w:line="360" w:lineRule="auto"/>
        <w:ind w:left="284"/>
        <w:jc w:val="both"/>
        <w:rPr>
          <w:rFonts w:ascii="Arial" w:hAnsi="Arial" w:cs="Arial"/>
          <w:b/>
          <w:sz w:val="26"/>
          <w:szCs w:val="26"/>
        </w:rPr>
      </w:pPr>
      <w:r w:rsidRPr="00552A9E">
        <w:rPr>
          <w:rFonts w:ascii="Arial" w:hAnsi="Arial" w:cs="Arial"/>
          <w:b/>
          <w:sz w:val="26"/>
          <w:szCs w:val="26"/>
        </w:rPr>
        <w:t>Causa de improcedencia</w:t>
      </w:r>
      <w:r w:rsidR="00A81E15">
        <w:rPr>
          <w:rFonts w:ascii="Arial" w:hAnsi="Arial" w:cs="Arial"/>
          <w:b/>
          <w:sz w:val="26"/>
          <w:szCs w:val="26"/>
        </w:rPr>
        <w:t>.</w:t>
      </w:r>
    </w:p>
    <w:p w14:paraId="01B8E294" w14:textId="77777777" w:rsidR="00FA20A6" w:rsidRPr="00552A9E" w:rsidRDefault="00FA20A6" w:rsidP="00A81E15">
      <w:pPr>
        <w:spacing w:line="360" w:lineRule="auto"/>
        <w:jc w:val="both"/>
        <w:rPr>
          <w:rFonts w:ascii="Arial" w:hAnsi="Arial" w:cs="Arial"/>
          <w:b/>
          <w:sz w:val="26"/>
          <w:szCs w:val="26"/>
        </w:rPr>
      </w:pPr>
    </w:p>
    <w:p w14:paraId="7DBDBB40" w14:textId="3B8DCC49" w:rsidR="00270D8F" w:rsidRPr="00552A9E" w:rsidRDefault="00270D8F" w:rsidP="00270D8F">
      <w:pPr>
        <w:spacing w:line="360" w:lineRule="auto"/>
        <w:jc w:val="both"/>
        <w:rPr>
          <w:rFonts w:ascii="Arial" w:hAnsi="Arial" w:cs="Arial"/>
          <w:sz w:val="26"/>
          <w:szCs w:val="26"/>
        </w:rPr>
      </w:pPr>
      <w:r w:rsidRPr="00552A9E">
        <w:rPr>
          <w:rFonts w:ascii="Arial" w:hAnsi="Arial" w:cs="Arial"/>
          <w:sz w:val="26"/>
          <w:szCs w:val="26"/>
        </w:rPr>
        <w:t xml:space="preserve">El considerando cuarto, apartado IV.1., denominado “Causa de improcedencia invocada por el Congreso de la Ciudad de México.”, se aprobó por unanimidad de once de votos. </w:t>
      </w:r>
    </w:p>
    <w:p w14:paraId="49E2DA4B" w14:textId="1EDD5DEB" w:rsidR="005D52DA" w:rsidRPr="00552A9E" w:rsidRDefault="005D52DA" w:rsidP="00270D8F">
      <w:pPr>
        <w:spacing w:line="360" w:lineRule="auto"/>
        <w:jc w:val="both"/>
        <w:rPr>
          <w:rFonts w:ascii="Arial" w:hAnsi="Arial" w:cs="Arial"/>
          <w:sz w:val="26"/>
          <w:szCs w:val="26"/>
        </w:rPr>
      </w:pPr>
    </w:p>
    <w:p w14:paraId="29AAF8C3" w14:textId="149E37FC" w:rsidR="005D52DA" w:rsidRPr="00552A9E" w:rsidRDefault="005D52DA" w:rsidP="00270D8F">
      <w:pPr>
        <w:spacing w:line="360" w:lineRule="auto"/>
        <w:jc w:val="both"/>
        <w:rPr>
          <w:rFonts w:ascii="Arial" w:hAnsi="Arial" w:cs="Arial"/>
          <w:sz w:val="26"/>
          <w:szCs w:val="26"/>
        </w:rPr>
      </w:pPr>
      <w:r w:rsidRPr="00552A9E">
        <w:rPr>
          <w:rFonts w:ascii="Arial" w:hAnsi="Arial" w:cs="Arial"/>
          <w:sz w:val="26"/>
          <w:szCs w:val="26"/>
        </w:rPr>
        <w:lastRenderedPageBreak/>
        <w:t xml:space="preserve">En el caso, el Congreso de la Ciudad de México formuló una causa de improcedencia consistente en que en las acciones de inconstitucionalidad ambas </w:t>
      </w:r>
      <w:r w:rsidR="00B87149">
        <w:rPr>
          <w:rFonts w:ascii="Arial" w:hAnsi="Arial" w:cs="Arial"/>
          <w:sz w:val="26"/>
          <w:szCs w:val="26"/>
        </w:rPr>
        <w:t>c</w:t>
      </w:r>
      <w:r w:rsidRPr="00552A9E">
        <w:rPr>
          <w:rFonts w:ascii="Arial" w:hAnsi="Arial" w:cs="Arial"/>
          <w:sz w:val="26"/>
          <w:szCs w:val="26"/>
        </w:rPr>
        <w:t>omisiones accionantes hicieron valer conflictos competenciales propios de una controversia constitucional, sin que sea posible que impugnen normas o violaciones que escapen a la materia de derechos humanos.</w:t>
      </w:r>
    </w:p>
    <w:p w14:paraId="2DE0C45F" w14:textId="77777777" w:rsidR="005D52DA" w:rsidRPr="00552A9E" w:rsidRDefault="005D52DA" w:rsidP="00270D8F">
      <w:pPr>
        <w:spacing w:line="360" w:lineRule="auto"/>
        <w:jc w:val="both"/>
        <w:rPr>
          <w:rFonts w:ascii="Arial" w:hAnsi="Arial" w:cs="Arial"/>
          <w:sz w:val="26"/>
          <w:szCs w:val="26"/>
        </w:rPr>
      </w:pPr>
    </w:p>
    <w:p w14:paraId="1F543D3B" w14:textId="4723CFFE" w:rsidR="00270D8F" w:rsidRPr="00552A9E" w:rsidRDefault="005D52DA" w:rsidP="005C39B7">
      <w:pPr>
        <w:spacing w:line="360" w:lineRule="auto"/>
        <w:jc w:val="both"/>
        <w:rPr>
          <w:rFonts w:ascii="Arial" w:hAnsi="Arial" w:cs="Arial"/>
          <w:sz w:val="26"/>
          <w:szCs w:val="26"/>
        </w:rPr>
      </w:pPr>
      <w:r w:rsidRPr="00552A9E">
        <w:rPr>
          <w:rFonts w:ascii="Arial" w:hAnsi="Arial" w:cs="Arial"/>
          <w:sz w:val="26"/>
          <w:szCs w:val="26"/>
        </w:rPr>
        <w:t xml:space="preserve">En la sentencia se determinó </w:t>
      </w:r>
      <w:r w:rsidR="005C39B7" w:rsidRPr="00552A9E">
        <w:rPr>
          <w:rFonts w:ascii="Arial" w:hAnsi="Arial" w:cs="Arial"/>
          <w:sz w:val="26"/>
          <w:szCs w:val="26"/>
        </w:rPr>
        <w:t>declarar infundada la causa de improcedencia, debido a que en los conceptos de invalidez se plantearon violaciones directas a la Constitución General, habida cuenta que al tratarse de un medio de control de la regularidad de carácter abstracto que busca preservar la supremacía constitucional, es posible que este Alto Tribunal funde la declaratoria de invalidez en la violación a cualquier precepto de la Ley Fundamental.</w:t>
      </w:r>
    </w:p>
    <w:p w14:paraId="43EF28A7" w14:textId="48F75F4A" w:rsidR="00287EAB" w:rsidRPr="00552A9E" w:rsidRDefault="00287EAB" w:rsidP="005C39B7">
      <w:pPr>
        <w:spacing w:line="360" w:lineRule="auto"/>
        <w:jc w:val="both"/>
        <w:rPr>
          <w:rFonts w:ascii="Arial" w:hAnsi="Arial" w:cs="Arial"/>
          <w:sz w:val="26"/>
          <w:szCs w:val="26"/>
        </w:rPr>
      </w:pPr>
    </w:p>
    <w:p w14:paraId="73FE91D2" w14:textId="7039869B" w:rsidR="00C04C52" w:rsidRPr="00552A9E" w:rsidRDefault="00287EAB" w:rsidP="00C9111A">
      <w:pPr>
        <w:spacing w:line="360" w:lineRule="auto"/>
        <w:jc w:val="both"/>
        <w:rPr>
          <w:rFonts w:ascii="Arial" w:hAnsi="Arial" w:cs="Arial"/>
          <w:sz w:val="26"/>
          <w:szCs w:val="26"/>
        </w:rPr>
      </w:pPr>
      <w:r w:rsidRPr="00552A9E">
        <w:rPr>
          <w:rFonts w:ascii="Arial" w:hAnsi="Arial" w:cs="Arial"/>
          <w:sz w:val="26"/>
          <w:szCs w:val="26"/>
        </w:rPr>
        <w:t>En este sentido, vot</w:t>
      </w:r>
      <w:r w:rsidR="00B87149">
        <w:rPr>
          <w:rFonts w:ascii="Arial" w:hAnsi="Arial" w:cs="Arial"/>
          <w:sz w:val="26"/>
          <w:szCs w:val="26"/>
        </w:rPr>
        <w:t>é</w:t>
      </w:r>
      <w:r w:rsidRPr="00552A9E">
        <w:rPr>
          <w:rFonts w:ascii="Arial" w:hAnsi="Arial" w:cs="Arial"/>
          <w:sz w:val="26"/>
          <w:szCs w:val="26"/>
        </w:rPr>
        <w:t xml:space="preserve"> a favor en el sentido de que no se actualizaba la causa de improcedencia p</w:t>
      </w:r>
      <w:r w:rsidR="00A372E3" w:rsidRPr="00552A9E">
        <w:rPr>
          <w:rFonts w:ascii="Arial" w:hAnsi="Arial" w:cs="Arial"/>
          <w:sz w:val="26"/>
          <w:szCs w:val="26"/>
        </w:rPr>
        <w:t>or</w:t>
      </w:r>
      <w:r w:rsidRPr="00552A9E">
        <w:rPr>
          <w:rFonts w:ascii="Arial" w:hAnsi="Arial" w:cs="Arial"/>
          <w:sz w:val="26"/>
          <w:szCs w:val="26"/>
        </w:rPr>
        <w:t xml:space="preserve"> las razones que se expone</w:t>
      </w:r>
      <w:r w:rsidR="00A372E3" w:rsidRPr="00552A9E">
        <w:rPr>
          <w:rFonts w:ascii="Arial" w:hAnsi="Arial" w:cs="Arial"/>
          <w:sz w:val="26"/>
          <w:szCs w:val="26"/>
        </w:rPr>
        <w:t>n</w:t>
      </w:r>
      <w:r w:rsidRPr="00552A9E">
        <w:rPr>
          <w:rFonts w:ascii="Arial" w:hAnsi="Arial" w:cs="Arial"/>
          <w:sz w:val="26"/>
          <w:szCs w:val="26"/>
        </w:rPr>
        <w:t xml:space="preserve"> en la sentencia</w:t>
      </w:r>
      <w:r w:rsidR="00B87149">
        <w:rPr>
          <w:rFonts w:ascii="Arial" w:hAnsi="Arial" w:cs="Arial"/>
          <w:sz w:val="26"/>
          <w:szCs w:val="26"/>
        </w:rPr>
        <w:t>.</w:t>
      </w:r>
      <w:r w:rsidRPr="00552A9E">
        <w:rPr>
          <w:rFonts w:ascii="Arial" w:hAnsi="Arial" w:cs="Arial"/>
          <w:sz w:val="26"/>
          <w:szCs w:val="26"/>
        </w:rPr>
        <w:t xml:space="preserve"> </w:t>
      </w:r>
      <w:r w:rsidR="00B87149" w:rsidRPr="00552A9E">
        <w:rPr>
          <w:rFonts w:ascii="Arial" w:hAnsi="Arial" w:cs="Arial"/>
          <w:sz w:val="26"/>
          <w:szCs w:val="26"/>
        </w:rPr>
        <w:t>S</w:t>
      </w:r>
      <w:r w:rsidRPr="00552A9E">
        <w:rPr>
          <w:rFonts w:ascii="Arial" w:hAnsi="Arial" w:cs="Arial"/>
          <w:sz w:val="26"/>
          <w:szCs w:val="26"/>
        </w:rPr>
        <w:t>in</w:t>
      </w:r>
      <w:r w:rsidR="00B87149">
        <w:rPr>
          <w:rFonts w:ascii="Arial" w:hAnsi="Arial" w:cs="Arial"/>
          <w:sz w:val="26"/>
          <w:szCs w:val="26"/>
        </w:rPr>
        <w:t xml:space="preserve"> </w:t>
      </w:r>
      <w:r w:rsidR="00A372E3" w:rsidRPr="00552A9E">
        <w:rPr>
          <w:rFonts w:ascii="Arial" w:hAnsi="Arial" w:cs="Arial"/>
          <w:sz w:val="26"/>
          <w:szCs w:val="26"/>
        </w:rPr>
        <w:t>embargo, considero pertinente aclarar que</w:t>
      </w:r>
      <w:r w:rsidR="00B87149">
        <w:rPr>
          <w:rFonts w:ascii="Arial" w:hAnsi="Arial" w:cs="Arial"/>
          <w:sz w:val="26"/>
          <w:szCs w:val="26"/>
        </w:rPr>
        <w:t>,</w:t>
      </w:r>
      <w:r w:rsidR="00A372E3" w:rsidRPr="00552A9E">
        <w:rPr>
          <w:rFonts w:ascii="Arial" w:hAnsi="Arial" w:cs="Arial"/>
          <w:sz w:val="26"/>
          <w:szCs w:val="26"/>
        </w:rPr>
        <w:t xml:space="preserve"> si bien conforme</w:t>
      </w:r>
      <w:r w:rsidR="00BC7D19" w:rsidRPr="00552A9E">
        <w:rPr>
          <w:rFonts w:ascii="Arial" w:hAnsi="Arial" w:cs="Arial"/>
          <w:sz w:val="26"/>
          <w:szCs w:val="26"/>
        </w:rPr>
        <w:t xml:space="preserve"> al marco normativo vigente en que fue promovida la acción de inconstitucionalidad la Comisión de Derechos Humanos de la Ciudad de México</w:t>
      </w:r>
      <w:r w:rsidR="00C9111A" w:rsidRPr="00552A9E">
        <w:rPr>
          <w:rFonts w:ascii="Arial" w:hAnsi="Arial" w:cs="Arial"/>
          <w:sz w:val="26"/>
          <w:szCs w:val="26"/>
        </w:rPr>
        <w:t xml:space="preserve"> </w:t>
      </w:r>
      <w:r w:rsidR="00BC7D19" w:rsidRPr="00552A9E">
        <w:rPr>
          <w:rFonts w:ascii="Arial" w:hAnsi="Arial" w:cs="Arial"/>
          <w:sz w:val="26"/>
          <w:szCs w:val="26"/>
        </w:rPr>
        <w:t xml:space="preserve">no se </w:t>
      </w:r>
      <w:r w:rsidR="00BC7D19" w:rsidRPr="00552A9E">
        <w:rPr>
          <w:rFonts w:ascii="Arial" w:hAnsi="Arial" w:cs="Arial"/>
          <w:sz w:val="26"/>
          <w:szCs w:val="26"/>
          <w:lang w:val="es-MX"/>
        </w:rPr>
        <w:t>encontraba</w:t>
      </w:r>
      <w:r w:rsidR="00C9111A" w:rsidRPr="00552A9E">
        <w:rPr>
          <w:rFonts w:ascii="Arial" w:hAnsi="Arial" w:cs="Arial"/>
          <w:sz w:val="26"/>
          <w:szCs w:val="26"/>
          <w:lang w:val="es-MX"/>
        </w:rPr>
        <w:t xml:space="preserve"> legitimada para promover controversia constitucional,</w:t>
      </w:r>
      <w:r w:rsidR="00FA20A6" w:rsidRPr="00552A9E">
        <w:rPr>
          <w:rFonts w:ascii="Arial" w:hAnsi="Arial" w:cs="Arial"/>
          <w:sz w:val="26"/>
          <w:szCs w:val="26"/>
        </w:rPr>
        <w:t xml:space="preserve"> </w:t>
      </w:r>
      <w:r w:rsidR="00C9111A" w:rsidRPr="00552A9E">
        <w:rPr>
          <w:rFonts w:ascii="Arial" w:hAnsi="Arial" w:cs="Arial"/>
          <w:sz w:val="26"/>
          <w:szCs w:val="26"/>
          <w:lang w:val="es-MX"/>
        </w:rPr>
        <w:t>toda vez que no e</w:t>
      </w:r>
      <w:r w:rsidR="00BC7D19" w:rsidRPr="00552A9E">
        <w:rPr>
          <w:rFonts w:ascii="Arial" w:hAnsi="Arial" w:cs="Arial"/>
          <w:sz w:val="26"/>
          <w:szCs w:val="26"/>
          <w:lang w:val="es-MX"/>
        </w:rPr>
        <w:t>ra</w:t>
      </w:r>
      <w:r w:rsidR="00C9111A" w:rsidRPr="00552A9E">
        <w:rPr>
          <w:rFonts w:ascii="Arial" w:hAnsi="Arial" w:cs="Arial"/>
          <w:sz w:val="26"/>
          <w:szCs w:val="26"/>
          <w:lang w:val="es-MX"/>
        </w:rPr>
        <w:t xml:space="preserve"> un órgano contemplado en </w:t>
      </w:r>
      <w:r w:rsidR="00B87149">
        <w:rPr>
          <w:rFonts w:ascii="Arial" w:hAnsi="Arial" w:cs="Arial"/>
          <w:sz w:val="26"/>
          <w:szCs w:val="26"/>
          <w:lang w:val="es-MX"/>
        </w:rPr>
        <w:t>al</w:t>
      </w:r>
      <w:r w:rsidR="00B87149" w:rsidRPr="00552A9E">
        <w:rPr>
          <w:rFonts w:ascii="Arial" w:hAnsi="Arial" w:cs="Arial"/>
          <w:sz w:val="26"/>
          <w:szCs w:val="26"/>
          <w:lang w:val="es-MX"/>
        </w:rPr>
        <w:t xml:space="preserve">guna </w:t>
      </w:r>
      <w:r w:rsidR="00C9111A" w:rsidRPr="00552A9E">
        <w:rPr>
          <w:rFonts w:ascii="Arial" w:hAnsi="Arial" w:cs="Arial"/>
          <w:sz w:val="26"/>
          <w:szCs w:val="26"/>
          <w:lang w:val="es-MX"/>
        </w:rPr>
        <w:t xml:space="preserve">de las hipótesis que </w:t>
      </w:r>
      <w:r w:rsidR="00BC7D19" w:rsidRPr="00552A9E">
        <w:rPr>
          <w:rFonts w:ascii="Arial" w:hAnsi="Arial" w:cs="Arial"/>
          <w:sz w:val="26"/>
          <w:szCs w:val="26"/>
          <w:lang w:val="es-MX"/>
        </w:rPr>
        <w:t>establecía</w:t>
      </w:r>
      <w:r w:rsidR="00C9111A" w:rsidRPr="00552A9E">
        <w:rPr>
          <w:rFonts w:ascii="Arial" w:hAnsi="Arial" w:cs="Arial"/>
          <w:sz w:val="26"/>
          <w:szCs w:val="26"/>
          <w:lang w:val="es-MX"/>
        </w:rPr>
        <w:t xml:space="preserve"> </w:t>
      </w:r>
      <w:r w:rsidR="00B87149">
        <w:rPr>
          <w:rFonts w:ascii="Arial" w:hAnsi="Arial" w:cs="Arial"/>
          <w:sz w:val="26"/>
          <w:szCs w:val="26"/>
          <w:lang w:val="es-MX"/>
        </w:rPr>
        <w:t>la fracción I del</w:t>
      </w:r>
      <w:r w:rsidR="00C9111A" w:rsidRPr="00552A9E">
        <w:rPr>
          <w:rFonts w:ascii="Arial" w:hAnsi="Arial" w:cs="Arial"/>
          <w:sz w:val="26"/>
          <w:szCs w:val="26"/>
          <w:lang w:val="es-MX"/>
        </w:rPr>
        <w:t xml:space="preserve"> artículo 105 constitucional, lo cierto es que </w:t>
      </w:r>
      <w:r w:rsidR="00C04C52" w:rsidRPr="00552A9E">
        <w:rPr>
          <w:rFonts w:ascii="Arial" w:hAnsi="Arial" w:cs="Arial"/>
          <w:sz w:val="26"/>
          <w:szCs w:val="26"/>
        </w:rPr>
        <w:t xml:space="preserve">está facultada para promover acción de inconstitucionalidad </w:t>
      </w:r>
      <w:bookmarkStart w:id="2" w:name="_Hlk101808970"/>
      <w:r w:rsidR="00C04C52" w:rsidRPr="00552A9E">
        <w:rPr>
          <w:rFonts w:ascii="Arial" w:hAnsi="Arial" w:cs="Arial"/>
          <w:sz w:val="26"/>
          <w:szCs w:val="26"/>
        </w:rPr>
        <w:t>cuando impugne normas generales —emitidas por el Congreso local de su respectivo Estado— que estime contravengan derechos humanos reconocidos en la Constitución Federal o en tratados internacionales, conforme al inciso g), fracción II, del artículo 105 de la Constitución Federal</w:t>
      </w:r>
      <w:r w:rsidR="00C04C52" w:rsidRPr="00552A9E">
        <w:rPr>
          <w:rStyle w:val="Refdenotaalpie"/>
          <w:rFonts w:ascii="Arial" w:hAnsi="Arial" w:cs="Arial"/>
          <w:sz w:val="26"/>
          <w:szCs w:val="26"/>
        </w:rPr>
        <w:footnoteReference w:id="5"/>
      </w:r>
      <w:r w:rsidR="00C04C52" w:rsidRPr="00552A9E">
        <w:rPr>
          <w:rFonts w:ascii="Arial" w:hAnsi="Arial" w:cs="Arial"/>
          <w:sz w:val="26"/>
          <w:szCs w:val="26"/>
        </w:rPr>
        <w:t>.</w:t>
      </w:r>
    </w:p>
    <w:bookmarkEnd w:id="2"/>
    <w:p w14:paraId="0DE2191A" w14:textId="5DE0EB9B" w:rsidR="00A372E3" w:rsidRPr="00552A9E" w:rsidRDefault="00A372E3" w:rsidP="00C9111A">
      <w:pPr>
        <w:spacing w:line="360" w:lineRule="auto"/>
        <w:jc w:val="both"/>
        <w:rPr>
          <w:rFonts w:ascii="Arial" w:hAnsi="Arial" w:cs="Arial"/>
          <w:sz w:val="24"/>
        </w:rPr>
      </w:pPr>
    </w:p>
    <w:p w14:paraId="1DD0AB5F" w14:textId="7EEDBE2B" w:rsidR="00E3440B" w:rsidRPr="005E6905" w:rsidRDefault="00E3440B" w:rsidP="00E3440B">
      <w:pPr>
        <w:spacing w:line="360" w:lineRule="auto"/>
        <w:jc w:val="both"/>
        <w:rPr>
          <w:rFonts w:ascii="Arial" w:hAnsi="Arial" w:cs="Arial"/>
          <w:b/>
          <w:sz w:val="26"/>
          <w:szCs w:val="26"/>
          <w:lang w:val="es-ES_tradnl"/>
        </w:rPr>
      </w:pPr>
      <w:r w:rsidRPr="00552A9E">
        <w:rPr>
          <w:rFonts w:ascii="Arial" w:hAnsi="Arial" w:cs="Arial"/>
          <w:b/>
          <w:sz w:val="26"/>
          <w:szCs w:val="26"/>
          <w:lang w:val="es-ES_tradnl"/>
        </w:rPr>
        <w:t>Voto concurrente</w:t>
      </w:r>
      <w:r w:rsidR="0049705D">
        <w:rPr>
          <w:rFonts w:ascii="Arial" w:hAnsi="Arial" w:cs="Arial"/>
          <w:b/>
          <w:sz w:val="26"/>
          <w:szCs w:val="26"/>
          <w:lang w:val="es-ES_tradnl"/>
        </w:rPr>
        <w:t>.</w:t>
      </w:r>
    </w:p>
    <w:p w14:paraId="4D4CFE9D" w14:textId="77777777" w:rsidR="00E3440B" w:rsidRDefault="00E3440B" w:rsidP="00E3440B">
      <w:pPr>
        <w:pStyle w:val="Prrafodelista"/>
        <w:spacing w:line="360" w:lineRule="auto"/>
        <w:ind w:left="284"/>
        <w:jc w:val="both"/>
        <w:rPr>
          <w:rFonts w:ascii="Arial" w:hAnsi="Arial" w:cs="Arial"/>
          <w:b/>
          <w:sz w:val="26"/>
          <w:szCs w:val="26"/>
          <w:lang w:val="es-ES_tradnl"/>
        </w:rPr>
      </w:pPr>
    </w:p>
    <w:p w14:paraId="00146981" w14:textId="28828D18" w:rsidR="00E76A0A" w:rsidRPr="00E3440B" w:rsidRDefault="00E76A0A" w:rsidP="00E3440B">
      <w:pPr>
        <w:pStyle w:val="Prrafodelista"/>
        <w:numPr>
          <w:ilvl w:val="0"/>
          <w:numId w:val="8"/>
        </w:numPr>
        <w:spacing w:line="360" w:lineRule="auto"/>
        <w:ind w:left="426"/>
        <w:jc w:val="both"/>
        <w:rPr>
          <w:rFonts w:ascii="Arial" w:hAnsi="Arial" w:cs="Arial"/>
          <w:b/>
          <w:sz w:val="26"/>
          <w:szCs w:val="26"/>
          <w:lang w:val="es-ES_tradnl"/>
        </w:rPr>
      </w:pPr>
      <w:r w:rsidRPr="00E3440B">
        <w:rPr>
          <w:rFonts w:ascii="Arial" w:eastAsia="Arial" w:hAnsi="Arial" w:cs="Arial"/>
          <w:b/>
          <w:sz w:val="26"/>
          <w:szCs w:val="26"/>
        </w:rPr>
        <w:t>DÉCIMO. Tema 5. Reconocimiento de validez del artículo 42, fracción XI, de la Ley del Sistema de Seguridad Ciudadana de la Ciudad de México.</w:t>
      </w:r>
    </w:p>
    <w:p w14:paraId="497EE4D5" w14:textId="77777777" w:rsidR="00344B3A" w:rsidRPr="00EA3FBA" w:rsidRDefault="00344B3A" w:rsidP="00A67EEC">
      <w:pPr>
        <w:spacing w:line="360" w:lineRule="auto"/>
        <w:jc w:val="center"/>
        <w:rPr>
          <w:rFonts w:ascii="Arial" w:hAnsi="Arial" w:cs="Arial"/>
          <w:sz w:val="26"/>
          <w:szCs w:val="26"/>
        </w:rPr>
      </w:pPr>
    </w:p>
    <w:p w14:paraId="1A2AC9D7" w14:textId="15CD5E61" w:rsidR="00897BCA" w:rsidRDefault="00282CB6" w:rsidP="00EA3FBA">
      <w:pPr>
        <w:spacing w:line="360" w:lineRule="auto"/>
        <w:jc w:val="both"/>
        <w:rPr>
          <w:rFonts w:ascii="Arial" w:hAnsi="Arial" w:cs="Arial"/>
          <w:sz w:val="26"/>
          <w:szCs w:val="26"/>
          <w:lang w:val="es-ES_tradnl"/>
        </w:rPr>
      </w:pPr>
      <w:r w:rsidRPr="00EA3FBA">
        <w:rPr>
          <w:rFonts w:ascii="Arial" w:hAnsi="Arial" w:cs="Arial"/>
          <w:sz w:val="26"/>
          <w:szCs w:val="26"/>
        </w:rPr>
        <w:t xml:space="preserve">En </w:t>
      </w:r>
      <w:r w:rsidR="000E2F95">
        <w:rPr>
          <w:rFonts w:ascii="Arial" w:hAnsi="Arial" w:cs="Arial"/>
          <w:sz w:val="26"/>
          <w:szCs w:val="26"/>
        </w:rPr>
        <w:t>el fallo se</w:t>
      </w:r>
      <w:r w:rsidR="00E76A0A" w:rsidRPr="00EA3FBA">
        <w:rPr>
          <w:rFonts w:ascii="Arial" w:hAnsi="Arial" w:cs="Arial"/>
          <w:sz w:val="26"/>
          <w:szCs w:val="26"/>
        </w:rPr>
        <w:t xml:space="preserve"> determinó reconocer la validez</w:t>
      </w:r>
      <w:r w:rsidR="00E76A0A" w:rsidRPr="008E49F2">
        <w:rPr>
          <w:rFonts w:ascii="Arial" w:hAnsi="Arial" w:cs="Arial"/>
          <w:bCs/>
          <w:sz w:val="26"/>
          <w:szCs w:val="26"/>
        </w:rPr>
        <w:t xml:space="preserve"> </w:t>
      </w:r>
      <w:r w:rsidR="00E76A0A" w:rsidRPr="008E49F2">
        <w:rPr>
          <w:rFonts w:ascii="Arial" w:eastAsia="Arial" w:hAnsi="Arial" w:cs="Arial"/>
          <w:bCs/>
          <w:sz w:val="26"/>
          <w:szCs w:val="26"/>
        </w:rPr>
        <w:t>del</w:t>
      </w:r>
      <w:r w:rsidR="00E76A0A" w:rsidRPr="00EA3FBA">
        <w:rPr>
          <w:rFonts w:ascii="Arial" w:eastAsia="Arial" w:hAnsi="Arial" w:cs="Arial"/>
          <w:b/>
          <w:sz w:val="26"/>
          <w:szCs w:val="26"/>
        </w:rPr>
        <w:t xml:space="preserve"> artículo 42, fracción XI,</w:t>
      </w:r>
      <w:r w:rsidR="00897BCA" w:rsidRPr="00EA3FBA">
        <w:rPr>
          <w:rFonts w:ascii="Arial" w:eastAsia="Arial" w:hAnsi="Arial" w:cs="Arial"/>
          <w:b/>
          <w:sz w:val="26"/>
          <w:szCs w:val="26"/>
        </w:rPr>
        <w:t xml:space="preserve"> de la ley impugnada. </w:t>
      </w:r>
      <w:r w:rsidR="00897BCA" w:rsidRPr="00EA3FBA">
        <w:rPr>
          <w:rFonts w:ascii="Arial" w:eastAsia="Arial" w:hAnsi="Arial" w:cs="Arial"/>
          <w:sz w:val="26"/>
          <w:szCs w:val="26"/>
        </w:rPr>
        <w:t>La Comisión de Derechos Humanos de la Ciudad de México sostenía que</w:t>
      </w:r>
      <w:r w:rsidR="00897BCA" w:rsidRPr="00EA3FBA">
        <w:rPr>
          <w:rFonts w:ascii="Arial" w:hAnsi="Arial" w:cs="Arial"/>
          <w:sz w:val="26"/>
          <w:szCs w:val="26"/>
          <w:lang w:val="es-ES_tradnl"/>
        </w:rPr>
        <w:t xml:space="preserve"> la </w:t>
      </w:r>
      <w:r w:rsidR="009A54CC">
        <w:rPr>
          <w:rFonts w:ascii="Arial" w:hAnsi="Arial" w:cs="Arial"/>
          <w:sz w:val="26"/>
          <w:szCs w:val="26"/>
          <w:lang w:val="es-ES_tradnl"/>
        </w:rPr>
        <w:t>l</w:t>
      </w:r>
      <w:r w:rsidR="00897BCA" w:rsidRPr="00EA3FBA">
        <w:rPr>
          <w:rFonts w:ascii="Arial" w:hAnsi="Arial" w:cs="Arial"/>
          <w:sz w:val="26"/>
          <w:szCs w:val="26"/>
          <w:lang w:val="es-ES_tradnl"/>
        </w:rPr>
        <w:t>ey impugnada otorgaba al Consejo Ciudadano para la Seguridad Ciudadana y Procuración de Justicia atribuciones que no son acorde</w:t>
      </w:r>
      <w:r w:rsidR="009A54CC">
        <w:rPr>
          <w:rFonts w:ascii="Arial" w:hAnsi="Arial" w:cs="Arial"/>
          <w:sz w:val="26"/>
          <w:szCs w:val="26"/>
          <w:lang w:val="es-ES_tradnl"/>
        </w:rPr>
        <w:t>s</w:t>
      </w:r>
      <w:r w:rsidR="00897BCA" w:rsidRPr="00EA3FBA">
        <w:rPr>
          <w:rFonts w:ascii="Arial" w:hAnsi="Arial" w:cs="Arial"/>
          <w:sz w:val="26"/>
          <w:szCs w:val="26"/>
          <w:lang w:val="es-ES_tradnl"/>
        </w:rPr>
        <w:t xml:space="preserve"> a su naturaleza jurídica y que por mandato constitucional son competencia exclusiva de los organismos </w:t>
      </w:r>
      <w:r w:rsidR="001F14C3" w:rsidRPr="00EA3FBA">
        <w:rPr>
          <w:rFonts w:ascii="Arial" w:hAnsi="Arial" w:cs="Arial"/>
          <w:sz w:val="26"/>
          <w:szCs w:val="26"/>
          <w:lang w:val="es-ES_tradnl"/>
        </w:rPr>
        <w:t>p</w:t>
      </w:r>
      <w:r w:rsidR="00897BCA" w:rsidRPr="00EA3FBA">
        <w:rPr>
          <w:rFonts w:ascii="Arial" w:hAnsi="Arial" w:cs="Arial"/>
          <w:sz w:val="26"/>
          <w:szCs w:val="26"/>
          <w:lang w:val="es-ES_tradnl"/>
        </w:rPr>
        <w:t>rotectores de derechos humanos.</w:t>
      </w:r>
    </w:p>
    <w:p w14:paraId="4B22935D" w14:textId="77777777" w:rsidR="00E0049B" w:rsidRPr="00EA3FBA" w:rsidRDefault="00E0049B" w:rsidP="00EA3FBA">
      <w:pPr>
        <w:spacing w:line="360" w:lineRule="auto"/>
        <w:jc w:val="both"/>
        <w:rPr>
          <w:rFonts w:ascii="Arial" w:hAnsi="Arial" w:cs="Arial"/>
          <w:sz w:val="26"/>
          <w:szCs w:val="26"/>
          <w:lang w:val="es-ES_tradnl"/>
        </w:rPr>
      </w:pPr>
    </w:p>
    <w:p w14:paraId="2DB6229B" w14:textId="45D24258" w:rsidR="00897BCA" w:rsidRDefault="006B418B" w:rsidP="00EA3FBA">
      <w:pPr>
        <w:spacing w:line="360" w:lineRule="auto"/>
        <w:jc w:val="both"/>
        <w:rPr>
          <w:rFonts w:ascii="Arial" w:hAnsi="Arial" w:cs="Arial"/>
          <w:sz w:val="26"/>
          <w:szCs w:val="26"/>
        </w:rPr>
      </w:pPr>
      <w:r w:rsidRPr="00EA3FBA">
        <w:rPr>
          <w:rFonts w:ascii="Arial" w:hAnsi="Arial" w:cs="Arial"/>
          <w:sz w:val="26"/>
          <w:szCs w:val="26"/>
          <w:lang w:val="es-ES_tradnl"/>
        </w:rPr>
        <w:t xml:space="preserve">Al respecto, </w:t>
      </w:r>
      <w:r w:rsidR="009A54CC">
        <w:rPr>
          <w:rFonts w:ascii="Arial" w:hAnsi="Arial" w:cs="Arial"/>
          <w:sz w:val="26"/>
          <w:szCs w:val="26"/>
          <w:lang w:val="es-ES_tradnl"/>
        </w:rPr>
        <w:t xml:space="preserve">se indicó que </w:t>
      </w:r>
      <w:r w:rsidRPr="00EA3FBA">
        <w:rPr>
          <w:rFonts w:ascii="Arial" w:hAnsi="Arial" w:cs="Arial"/>
          <w:sz w:val="26"/>
          <w:szCs w:val="26"/>
          <w:lang w:val="es-ES_tradnl"/>
        </w:rPr>
        <w:t xml:space="preserve">el precepto impugnado </w:t>
      </w:r>
      <w:r w:rsidRPr="00EA3FBA">
        <w:rPr>
          <w:rFonts w:ascii="Arial" w:hAnsi="Arial" w:cs="Arial"/>
          <w:sz w:val="26"/>
          <w:szCs w:val="26"/>
        </w:rPr>
        <w:t>faculta</w:t>
      </w:r>
      <w:r w:rsidR="005513F6">
        <w:rPr>
          <w:rFonts w:ascii="Arial" w:hAnsi="Arial" w:cs="Arial"/>
          <w:sz w:val="26"/>
          <w:szCs w:val="26"/>
        </w:rPr>
        <w:t>ba al</w:t>
      </w:r>
      <w:r w:rsidRPr="00EA3FBA">
        <w:rPr>
          <w:rFonts w:ascii="Arial" w:hAnsi="Arial" w:cs="Arial"/>
          <w:sz w:val="26"/>
          <w:szCs w:val="26"/>
        </w:rPr>
        <w:t xml:space="preserve"> </w:t>
      </w:r>
      <w:r w:rsidR="00897BCA" w:rsidRPr="00EA3FBA">
        <w:rPr>
          <w:rFonts w:ascii="Arial" w:hAnsi="Arial" w:cs="Arial"/>
          <w:sz w:val="26"/>
          <w:szCs w:val="26"/>
        </w:rPr>
        <w:t xml:space="preserve">Consejo Ciudadano </w:t>
      </w:r>
      <w:r w:rsidRPr="00EA3FBA">
        <w:rPr>
          <w:rFonts w:ascii="Arial" w:hAnsi="Arial" w:cs="Arial"/>
          <w:sz w:val="26"/>
          <w:szCs w:val="26"/>
        </w:rPr>
        <w:t xml:space="preserve">a </w:t>
      </w:r>
      <w:r w:rsidR="00673822" w:rsidRPr="00EA3FBA">
        <w:rPr>
          <w:rFonts w:ascii="Arial" w:hAnsi="Arial" w:cs="Arial"/>
          <w:sz w:val="26"/>
          <w:szCs w:val="26"/>
        </w:rPr>
        <w:t>r</w:t>
      </w:r>
      <w:r w:rsidR="00897BCA" w:rsidRPr="00EA3FBA">
        <w:rPr>
          <w:rFonts w:ascii="Arial" w:hAnsi="Arial" w:cs="Arial"/>
          <w:sz w:val="26"/>
          <w:szCs w:val="26"/>
        </w:rPr>
        <w:t>ecibir, evaluar, canalizar y formular denuncias por violaciones a derechos humanos cometidas por instituciones o servidores en materia de cultura cívica, seguridad ciudadana y procuración de justicia</w:t>
      </w:r>
      <w:r w:rsidR="00673822" w:rsidRPr="00EA3FBA">
        <w:rPr>
          <w:rStyle w:val="Refdenotaalpie"/>
          <w:rFonts w:ascii="Arial" w:hAnsi="Arial" w:cs="Arial"/>
          <w:sz w:val="26"/>
          <w:szCs w:val="26"/>
        </w:rPr>
        <w:footnoteReference w:id="6"/>
      </w:r>
      <w:r w:rsidRPr="00EA3FBA">
        <w:rPr>
          <w:rFonts w:ascii="Arial" w:hAnsi="Arial" w:cs="Arial"/>
          <w:sz w:val="26"/>
          <w:szCs w:val="26"/>
        </w:rPr>
        <w:t>.</w:t>
      </w:r>
    </w:p>
    <w:p w14:paraId="0AAADD87" w14:textId="77777777" w:rsidR="005513F6" w:rsidRPr="00EA3FBA" w:rsidRDefault="005513F6" w:rsidP="00EA3FBA">
      <w:pPr>
        <w:spacing w:line="360" w:lineRule="auto"/>
        <w:jc w:val="both"/>
        <w:rPr>
          <w:rFonts w:ascii="Arial" w:hAnsi="Arial" w:cs="Arial"/>
          <w:sz w:val="26"/>
          <w:szCs w:val="26"/>
        </w:rPr>
      </w:pPr>
    </w:p>
    <w:p w14:paraId="1C4331C3" w14:textId="7A03DA90" w:rsidR="009B2A80" w:rsidRPr="00BB310A" w:rsidRDefault="006B418B" w:rsidP="00EA3FBA">
      <w:pPr>
        <w:spacing w:line="360" w:lineRule="auto"/>
        <w:jc w:val="both"/>
        <w:rPr>
          <w:rFonts w:ascii="Arial" w:hAnsi="Arial" w:cs="Arial"/>
          <w:sz w:val="26"/>
          <w:szCs w:val="26"/>
          <w:lang w:val="es-ES_tradnl"/>
        </w:rPr>
      </w:pPr>
      <w:r w:rsidRPr="00BB310A">
        <w:rPr>
          <w:rFonts w:ascii="Arial" w:hAnsi="Arial" w:cs="Arial"/>
          <w:sz w:val="26"/>
          <w:szCs w:val="26"/>
        </w:rPr>
        <w:t>En la sentencia se establece</w:t>
      </w:r>
      <w:r w:rsidR="00673822" w:rsidRPr="00BB310A">
        <w:rPr>
          <w:rFonts w:ascii="Arial" w:hAnsi="Arial" w:cs="Arial"/>
          <w:sz w:val="26"/>
          <w:szCs w:val="26"/>
        </w:rPr>
        <w:t xml:space="preserve"> </w:t>
      </w:r>
      <w:r w:rsidR="001F14C3" w:rsidRPr="00BB310A">
        <w:rPr>
          <w:rFonts w:ascii="Arial" w:hAnsi="Arial" w:cs="Arial"/>
          <w:sz w:val="26"/>
          <w:szCs w:val="26"/>
        </w:rPr>
        <w:t xml:space="preserve">que </w:t>
      </w:r>
      <w:r w:rsidR="00673822" w:rsidRPr="00BB310A">
        <w:rPr>
          <w:rFonts w:ascii="Arial" w:hAnsi="Arial" w:cs="Arial"/>
          <w:sz w:val="26"/>
          <w:szCs w:val="26"/>
        </w:rPr>
        <w:t>la facultad antes precisada</w:t>
      </w:r>
      <w:r w:rsidR="00673822" w:rsidRPr="00BB310A">
        <w:rPr>
          <w:rFonts w:ascii="Arial" w:hAnsi="Arial" w:cs="Arial"/>
          <w:sz w:val="26"/>
          <w:szCs w:val="26"/>
          <w:lang w:val="es-ES_tradnl"/>
        </w:rPr>
        <w:t xml:space="preserve"> debe interpretarse circunscrita a la naturaleza, integración y demás funciones propias de un órgano consultivo, que en ningún momento interfiere con la actividad material de la Comisión de Derechos Humanos de la Ciudad de México, ni ejerce poder soberano sobre dicho órgano protector autónomo.</w:t>
      </w:r>
    </w:p>
    <w:p w14:paraId="51D12375" w14:textId="77777777" w:rsidR="003F262F" w:rsidRPr="00EA3FBA" w:rsidRDefault="003F262F" w:rsidP="00EA3FBA">
      <w:pPr>
        <w:spacing w:line="360" w:lineRule="auto"/>
        <w:jc w:val="both"/>
        <w:rPr>
          <w:rFonts w:ascii="Arial" w:hAnsi="Arial" w:cs="Arial"/>
          <w:sz w:val="26"/>
          <w:szCs w:val="26"/>
          <w:lang w:val="es-ES_tradnl"/>
        </w:rPr>
      </w:pPr>
    </w:p>
    <w:p w14:paraId="0C9601A2" w14:textId="51F96816" w:rsidR="009A54CC" w:rsidRDefault="009A54CC" w:rsidP="00EA3FBA">
      <w:pPr>
        <w:spacing w:line="360" w:lineRule="auto"/>
        <w:jc w:val="both"/>
        <w:rPr>
          <w:rFonts w:ascii="Arial" w:eastAsia="Calibri" w:hAnsi="Arial" w:cs="Arial"/>
          <w:sz w:val="26"/>
          <w:szCs w:val="26"/>
          <w:lang w:eastAsia="en-US"/>
        </w:rPr>
      </w:pPr>
      <w:r>
        <w:rPr>
          <w:rFonts w:ascii="Arial" w:eastAsia="Calibri" w:hAnsi="Arial" w:cs="Arial"/>
          <w:sz w:val="26"/>
          <w:szCs w:val="26"/>
          <w:lang w:eastAsia="en-US"/>
        </w:rPr>
        <w:t>Asimismo, se precisó que l</w:t>
      </w:r>
      <w:r w:rsidR="003F262F" w:rsidRPr="00EA3FBA">
        <w:rPr>
          <w:rFonts w:ascii="Arial" w:eastAsia="Calibri" w:hAnsi="Arial" w:cs="Arial"/>
          <w:sz w:val="26"/>
          <w:szCs w:val="26"/>
          <w:lang w:eastAsia="en-US"/>
        </w:rPr>
        <w:t>a investigación de los casos que lleva</w:t>
      </w:r>
      <w:r w:rsidR="005513F6">
        <w:rPr>
          <w:rFonts w:ascii="Arial" w:eastAsia="Calibri" w:hAnsi="Arial" w:cs="Arial"/>
          <w:sz w:val="26"/>
          <w:szCs w:val="26"/>
          <w:lang w:eastAsia="en-US"/>
        </w:rPr>
        <w:t>n</w:t>
      </w:r>
      <w:r w:rsidR="003F262F" w:rsidRPr="00EA3FBA">
        <w:rPr>
          <w:rFonts w:ascii="Arial" w:eastAsia="Calibri" w:hAnsi="Arial" w:cs="Arial"/>
          <w:sz w:val="26"/>
          <w:szCs w:val="26"/>
          <w:lang w:eastAsia="en-US"/>
        </w:rPr>
        <w:t xml:space="preserve"> tanto la Comisión Nacional de los Derechos Humanos como los órganos protectores de derechos humano</w:t>
      </w:r>
      <w:r>
        <w:rPr>
          <w:rFonts w:ascii="Arial" w:eastAsia="Calibri" w:hAnsi="Arial" w:cs="Arial"/>
          <w:sz w:val="26"/>
          <w:szCs w:val="26"/>
          <w:lang w:eastAsia="en-US"/>
        </w:rPr>
        <w:t xml:space="preserve">s </w:t>
      </w:r>
      <w:r w:rsidR="003F262F" w:rsidRPr="00EA3FBA">
        <w:rPr>
          <w:rFonts w:ascii="Arial" w:eastAsia="Calibri" w:hAnsi="Arial" w:cs="Arial"/>
          <w:sz w:val="26"/>
          <w:szCs w:val="26"/>
          <w:lang w:eastAsia="en-US"/>
        </w:rPr>
        <w:t xml:space="preserve">locales son </w:t>
      </w:r>
      <w:r>
        <w:rPr>
          <w:rFonts w:ascii="Arial" w:eastAsia="Calibri" w:hAnsi="Arial" w:cs="Arial"/>
          <w:sz w:val="26"/>
          <w:szCs w:val="26"/>
          <w:lang w:eastAsia="en-US"/>
        </w:rPr>
        <w:t>de</w:t>
      </w:r>
      <w:r w:rsidR="003F262F" w:rsidRPr="00EA3FBA">
        <w:rPr>
          <w:rFonts w:ascii="Arial" w:eastAsia="Calibri" w:hAnsi="Arial" w:cs="Arial"/>
          <w:sz w:val="26"/>
          <w:szCs w:val="26"/>
          <w:lang w:eastAsia="en-US"/>
        </w:rPr>
        <w:t xml:space="preserve"> nivel constitucional y transversales, por lo que la existencia de otras unidades que </w:t>
      </w:r>
      <w:r>
        <w:rPr>
          <w:rFonts w:ascii="Arial" w:eastAsia="Calibri" w:hAnsi="Arial" w:cs="Arial"/>
          <w:sz w:val="26"/>
          <w:szCs w:val="26"/>
          <w:lang w:eastAsia="en-US"/>
        </w:rPr>
        <w:t xml:space="preserve">canalicen </w:t>
      </w:r>
      <w:r w:rsidR="003F262F" w:rsidRPr="00EA3FBA">
        <w:rPr>
          <w:rFonts w:ascii="Arial" w:eastAsia="Calibri" w:hAnsi="Arial" w:cs="Arial"/>
          <w:sz w:val="26"/>
          <w:szCs w:val="26"/>
          <w:lang w:eastAsia="en-US"/>
        </w:rPr>
        <w:t>y recib</w:t>
      </w:r>
      <w:r>
        <w:rPr>
          <w:rFonts w:ascii="Arial" w:eastAsia="Calibri" w:hAnsi="Arial" w:cs="Arial"/>
          <w:sz w:val="26"/>
          <w:szCs w:val="26"/>
          <w:lang w:eastAsia="en-US"/>
        </w:rPr>
        <w:t>an</w:t>
      </w:r>
      <w:r w:rsidR="003F262F" w:rsidRPr="00EA3FBA">
        <w:rPr>
          <w:rFonts w:ascii="Arial" w:eastAsia="Calibri" w:hAnsi="Arial" w:cs="Arial"/>
          <w:sz w:val="26"/>
          <w:szCs w:val="26"/>
          <w:lang w:eastAsia="en-US"/>
        </w:rPr>
        <w:t xml:space="preserve"> denuncias por </w:t>
      </w:r>
      <w:r w:rsidR="003F262F" w:rsidRPr="00EA3FBA">
        <w:rPr>
          <w:rFonts w:ascii="Arial" w:eastAsia="Calibri" w:hAnsi="Arial" w:cs="Arial"/>
          <w:sz w:val="26"/>
          <w:szCs w:val="26"/>
          <w:lang w:eastAsia="en-US"/>
        </w:rPr>
        <w:lastRenderedPageBreak/>
        <w:t>violación a derechos humanos</w:t>
      </w:r>
      <w:r w:rsidR="003F262F" w:rsidRPr="00BB310A">
        <w:rPr>
          <w:rFonts w:ascii="Arial" w:eastAsia="Calibri" w:hAnsi="Arial" w:cs="Arial"/>
          <w:sz w:val="26"/>
          <w:szCs w:val="26"/>
          <w:lang w:eastAsia="en-US"/>
        </w:rPr>
        <w:t xml:space="preserve"> no impacta en la competencia de</w:t>
      </w:r>
      <w:r>
        <w:rPr>
          <w:rFonts w:ascii="Arial" w:eastAsia="Calibri" w:hAnsi="Arial" w:cs="Arial"/>
          <w:sz w:val="26"/>
          <w:szCs w:val="26"/>
          <w:lang w:eastAsia="en-US"/>
        </w:rPr>
        <w:t xml:space="preserve"> aquellas comisiones.</w:t>
      </w:r>
    </w:p>
    <w:p w14:paraId="2EDBE395" w14:textId="77777777" w:rsidR="00825EAC" w:rsidRPr="00EA3FBA" w:rsidRDefault="00825EAC" w:rsidP="00EA3FBA">
      <w:pPr>
        <w:spacing w:line="360" w:lineRule="auto"/>
        <w:jc w:val="both"/>
        <w:rPr>
          <w:rFonts w:ascii="Arial" w:hAnsi="Arial" w:cs="Arial"/>
          <w:sz w:val="26"/>
          <w:szCs w:val="26"/>
          <w:lang w:val="es-ES_tradnl"/>
        </w:rPr>
      </w:pPr>
    </w:p>
    <w:p w14:paraId="36F19B25" w14:textId="0591D128" w:rsidR="003F262F" w:rsidRDefault="009A54CC" w:rsidP="00193C29">
      <w:pPr>
        <w:pStyle w:val="Prrafodelista"/>
        <w:numPr>
          <w:ilvl w:val="0"/>
          <w:numId w:val="5"/>
        </w:numPr>
        <w:spacing w:line="360" w:lineRule="auto"/>
        <w:ind w:left="426"/>
        <w:jc w:val="both"/>
        <w:rPr>
          <w:rFonts w:ascii="Arial" w:hAnsi="Arial" w:cs="Arial"/>
          <w:b/>
          <w:bCs/>
          <w:sz w:val="26"/>
          <w:szCs w:val="26"/>
        </w:rPr>
      </w:pPr>
      <w:r>
        <w:rPr>
          <w:rFonts w:ascii="Arial" w:hAnsi="Arial" w:cs="Arial"/>
          <w:b/>
          <w:bCs/>
          <w:sz w:val="26"/>
          <w:szCs w:val="26"/>
        </w:rPr>
        <w:t>Separación d</w:t>
      </w:r>
      <w:r w:rsidR="003F262F" w:rsidRPr="00EA3FBA">
        <w:rPr>
          <w:rFonts w:ascii="Arial" w:hAnsi="Arial" w:cs="Arial"/>
          <w:b/>
          <w:bCs/>
          <w:sz w:val="26"/>
          <w:szCs w:val="26"/>
        </w:rPr>
        <w:t>e consideraciones</w:t>
      </w:r>
      <w:r w:rsidR="003C038A">
        <w:rPr>
          <w:rFonts w:ascii="Arial" w:hAnsi="Arial" w:cs="Arial"/>
          <w:b/>
          <w:bCs/>
          <w:sz w:val="26"/>
          <w:szCs w:val="26"/>
        </w:rPr>
        <w:t>.</w:t>
      </w:r>
    </w:p>
    <w:p w14:paraId="4611B137" w14:textId="77777777" w:rsidR="000478CF" w:rsidRPr="00EA3FBA" w:rsidRDefault="000478CF" w:rsidP="000478CF">
      <w:pPr>
        <w:pStyle w:val="Prrafodelista"/>
        <w:spacing w:line="360" w:lineRule="auto"/>
        <w:ind w:left="426"/>
        <w:jc w:val="both"/>
        <w:rPr>
          <w:rFonts w:ascii="Arial" w:hAnsi="Arial" w:cs="Arial"/>
          <w:b/>
          <w:bCs/>
          <w:sz w:val="26"/>
          <w:szCs w:val="26"/>
        </w:rPr>
      </w:pPr>
    </w:p>
    <w:p w14:paraId="1B713B73" w14:textId="698DB049" w:rsidR="009F6833" w:rsidRPr="00EA3FBA" w:rsidRDefault="00CC3333" w:rsidP="00EA3FBA">
      <w:pPr>
        <w:spacing w:line="360" w:lineRule="auto"/>
        <w:jc w:val="both"/>
        <w:rPr>
          <w:rFonts w:ascii="Arial" w:hAnsi="Arial" w:cs="Arial"/>
          <w:sz w:val="26"/>
          <w:szCs w:val="26"/>
          <w:lang w:val="es-ES_tradnl"/>
        </w:rPr>
      </w:pPr>
      <w:r>
        <w:rPr>
          <w:rFonts w:ascii="Arial" w:hAnsi="Arial" w:cs="Arial"/>
          <w:sz w:val="26"/>
          <w:szCs w:val="26"/>
        </w:rPr>
        <w:t>En el caso, si</w:t>
      </w:r>
      <w:r w:rsidR="00825EAC" w:rsidRPr="00EA3FBA">
        <w:rPr>
          <w:rFonts w:ascii="Arial" w:hAnsi="Arial" w:cs="Arial"/>
          <w:sz w:val="26"/>
          <w:szCs w:val="26"/>
        </w:rPr>
        <w:t xml:space="preserve"> bien coincido con el reconocimiento de validez </w:t>
      </w:r>
      <w:r w:rsidR="00825EAC" w:rsidRPr="00EA3FBA">
        <w:rPr>
          <w:rFonts w:ascii="Arial" w:eastAsia="Arial" w:hAnsi="Arial" w:cs="Arial"/>
          <w:sz w:val="26"/>
          <w:szCs w:val="26"/>
        </w:rPr>
        <w:t>del artículo 42, fracción XI, de la ley impugnada, me separo de la consideración establecida en la página 72, primer párrafo</w:t>
      </w:r>
      <w:r w:rsidR="00825EAC" w:rsidRPr="00EA3FBA">
        <w:rPr>
          <w:rStyle w:val="Refdenotaalpie"/>
          <w:rFonts w:ascii="Arial" w:eastAsia="Arial" w:hAnsi="Arial" w:cs="Arial"/>
          <w:sz w:val="26"/>
          <w:szCs w:val="26"/>
        </w:rPr>
        <w:footnoteReference w:id="7"/>
      </w:r>
      <w:r w:rsidR="00825EAC" w:rsidRPr="00EA3FBA">
        <w:rPr>
          <w:rFonts w:ascii="Arial" w:eastAsia="Arial" w:hAnsi="Arial" w:cs="Arial"/>
          <w:sz w:val="26"/>
          <w:szCs w:val="26"/>
        </w:rPr>
        <w:t xml:space="preserve">, </w:t>
      </w:r>
      <w:r w:rsidR="005F3337" w:rsidRPr="00EA3FBA">
        <w:rPr>
          <w:rFonts w:ascii="Arial" w:eastAsia="Arial" w:hAnsi="Arial" w:cs="Arial"/>
          <w:sz w:val="26"/>
          <w:szCs w:val="26"/>
        </w:rPr>
        <w:t xml:space="preserve">pues supone que cuando </w:t>
      </w:r>
      <w:r w:rsidR="002221BA" w:rsidRPr="00EA3FBA">
        <w:rPr>
          <w:rFonts w:ascii="Arial" w:hAnsi="Arial" w:cs="Arial"/>
          <w:sz w:val="26"/>
          <w:szCs w:val="26"/>
          <w:lang w:val="es-ES_tradnl"/>
        </w:rPr>
        <w:t xml:space="preserve">el Consejo </w:t>
      </w:r>
      <w:r w:rsidR="00C1343B">
        <w:rPr>
          <w:rFonts w:ascii="Arial" w:hAnsi="Arial" w:cs="Arial"/>
          <w:sz w:val="26"/>
          <w:szCs w:val="26"/>
          <w:lang w:val="es-ES_tradnl"/>
        </w:rPr>
        <w:t>C</w:t>
      </w:r>
      <w:r w:rsidR="002221BA" w:rsidRPr="00EA3FBA">
        <w:rPr>
          <w:rFonts w:ascii="Arial" w:hAnsi="Arial" w:cs="Arial"/>
          <w:sz w:val="26"/>
          <w:szCs w:val="26"/>
          <w:lang w:val="es-ES_tradnl"/>
        </w:rPr>
        <w:t>iudadano</w:t>
      </w:r>
      <w:r w:rsidR="009F6833" w:rsidRPr="00EA3FBA">
        <w:rPr>
          <w:rFonts w:ascii="Arial" w:hAnsi="Arial" w:cs="Arial"/>
          <w:sz w:val="26"/>
          <w:szCs w:val="26"/>
          <w:lang w:val="es-ES_tradnl"/>
        </w:rPr>
        <w:t xml:space="preserve"> advierta algún hecho o presunta violación a algún derecho humano </w:t>
      </w:r>
      <w:r w:rsidR="00CB7E55" w:rsidRPr="00CB7E55">
        <w:rPr>
          <w:rFonts w:ascii="Arial" w:hAnsi="Arial" w:cs="Arial"/>
          <w:i/>
          <w:iCs/>
          <w:sz w:val="26"/>
          <w:szCs w:val="26"/>
          <w:u w:val="single"/>
          <w:lang w:val="es-ES_tradnl"/>
        </w:rPr>
        <w:t>instará</w:t>
      </w:r>
      <w:r w:rsidR="009F6833" w:rsidRPr="00EA3FBA">
        <w:rPr>
          <w:rFonts w:ascii="Arial" w:hAnsi="Arial" w:cs="Arial"/>
          <w:sz w:val="26"/>
          <w:szCs w:val="26"/>
          <w:lang w:val="es-ES_tradnl"/>
        </w:rPr>
        <w:t xml:space="preserve"> </w:t>
      </w:r>
      <w:r w:rsidR="002221BA" w:rsidRPr="00EA3FBA">
        <w:rPr>
          <w:rFonts w:ascii="Arial" w:hAnsi="Arial" w:cs="Arial"/>
          <w:sz w:val="26"/>
          <w:szCs w:val="26"/>
          <w:lang w:val="es-ES_tradnl"/>
        </w:rPr>
        <w:t>a la Comisión de Derechos Humanos</w:t>
      </w:r>
      <w:r w:rsidR="00E80198">
        <w:rPr>
          <w:rFonts w:ascii="Arial" w:hAnsi="Arial" w:cs="Arial"/>
          <w:sz w:val="26"/>
          <w:szCs w:val="26"/>
          <w:lang w:val="es-ES_tradnl"/>
        </w:rPr>
        <w:t xml:space="preserve"> de la Ciudad de México</w:t>
      </w:r>
      <w:r w:rsidR="002221BA" w:rsidRPr="00EA3FBA">
        <w:rPr>
          <w:rFonts w:ascii="Arial" w:hAnsi="Arial" w:cs="Arial"/>
          <w:sz w:val="26"/>
          <w:szCs w:val="26"/>
          <w:lang w:val="es-ES_tradnl"/>
        </w:rPr>
        <w:t xml:space="preserve"> para que ésta</w:t>
      </w:r>
      <w:r w:rsidR="00C1343B">
        <w:rPr>
          <w:rFonts w:ascii="Arial" w:hAnsi="Arial" w:cs="Arial"/>
          <w:sz w:val="26"/>
          <w:szCs w:val="26"/>
          <w:lang w:val="es-ES_tradnl"/>
        </w:rPr>
        <w:t>,</w:t>
      </w:r>
      <w:r w:rsidR="002221BA" w:rsidRPr="00EA3FBA">
        <w:rPr>
          <w:rFonts w:ascii="Arial" w:hAnsi="Arial" w:cs="Arial"/>
          <w:sz w:val="26"/>
          <w:szCs w:val="26"/>
          <w:lang w:val="es-ES_tradnl"/>
        </w:rPr>
        <w:t xml:space="preserve"> en el uso de sus atribuciones</w:t>
      </w:r>
      <w:r w:rsidR="00C1343B">
        <w:rPr>
          <w:rFonts w:ascii="Arial" w:hAnsi="Arial" w:cs="Arial"/>
          <w:sz w:val="26"/>
          <w:szCs w:val="26"/>
          <w:lang w:val="es-ES_tradnl"/>
        </w:rPr>
        <w:t>,</w:t>
      </w:r>
      <w:r w:rsidR="002221BA" w:rsidRPr="00EA3FBA">
        <w:rPr>
          <w:rFonts w:ascii="Arial" w:hAnsi="Arial" w:cs="Arial"/>
          <w:sz w:val="26"/>
          <w:szCs w:val="26"/>
          <w:lang w:val="es-ES_tradnl"/>
        </w:rPr>
        <w:t xml:space="preserve"> proceda a iniciar la investigación correspondiente y, en su caso, emita la recomendación que estime conducente</w:t>
      </w:r>
      <w:r w:rsidR="00E80198">
        <w:rPr>
          <w:rFonts w:ascii="Arial" w:hAnsi="Arial" w:cs="Arial"/>
          <w:sz w:val="26"/>
          <w:szCs w:val="26"/>
          <w:lang w:val="es-ES_tradnl"/>
        </w:rPr>
        <w:t>.</w:t>
      </w:r>
    </w:p>
    <w:p w14:paraId="2B526F33" w14:textId="496C8553" w:rsidR="002221BA" w:rsidRPr="00EA3FBA" w:rsidRDefault="002221BA" w:rsidP="00EA3FBA">
      <w:pPr>
        <w:spacing w:line="360" w:lineRule="auto"/>
        <w:jc w:val="both"/>
        <w:rPr>
          <w:rFonts w:ascii="Arial" w:hAnsi="Arial" w:cs="Arial"/>
          <w:sz w:val="26"/>
          <w:szCs w:val="26"/>
          <w:lang w:val="es-ES_tradnl"/>
        </w:rPr>
      </w:pPr>
    </w:p>
    <w:p w14:paraId="31D64976" w14:textId="0A0F9B08" w:rsidR="00E80198" w:rsidRDefault="006937DC" w:rsidP="00113A09">
      <w:pPr>
        <w:autoSpaceDE w:val="0"/>
        <w:autoSpaceDN w:val="0"/>
        <w:adjustRightInd w:val="0"/>
        <w:spacing w:line="360" w:lineRule="auto"/>
        <w:jc w:val="both"/>
        <w:rPr>
          <w:rFonts w:ascii="Arial" w:eastAsiaTheme="minorHAnsi" w:hAnsi="Arial" w:cs="Arial"/>
          <w:sz w:val="26"/>
          <w:szCs w:val="26"/>
          <w:lang w:val="es-MX" w:eastAsia="en-US"/>
        </w:rPr>
      </w:pPr>
      <w:r>
        <w:rPr>
          <w:rFonts w:ascii="Arial" w:hAnsi="Arial" w:cs="Arial"/>
          <w:sz w:val="26"/>
          <w:szCs w:val="26"/>
          <w:lang w:val="es-ES_tradnl"/>
        </w:rPr>
        <w:t xml:space="preserve">Pienso </w:t>
      </w:r>
      <w:r w:rsidR="00BD6209">
        <w:rPr>
          <w:rFonts w:ascii="Arial" w:hAnsi="Arial" w:cs="Arial"/>
          <w:sz w:val="26"/>
          <w:szCs w:val="26"/>
          <w:lang w:val="es-ES_tradnl"/>
        </w:rPr>
        <w:t>que la</w:t>
      </w:r>
      <w:r w:rsidR="00CB7E55">
        <w:rPr>
          <w:rFonts w:ascii="Arial" w:hAnsi="Arial" w:cs="Arial"/>
          <w:sz w:val="26"/>
          <w:szCs w:val="26"/>
          <w:lang w:val="es-ES_tradnl"/>
        </w:rPr>
        <w:t xml:space="preserve"> palabra </w:t>
      </w:r>
      <w:r w:rsidR="00CB7E55" w:rsidRPr="00113A09">
        <w:rPr>
          <w:rFonts w:ascii="Arial" w:hAnsi="Arial" w:cs="Arial"/>
          <w:i/>
          <w:iCs/>
          <w:sz w:val="26"/>
          <w:szCs w:val="26"/>
          <w:u w:val="single"/>
          <w:lang w:val="es-ES_tradnl"/>
        </w:rPr>
        <w:t>instará</w:t>
      </w:r>
      <w:r w:rsidR="00CB7E55" w:rsidRPr="00E47921">
        <w:rPr>
          <w:rFonts w:ascii="Arial" w:hAnsi="Arial" w:cs="Arial"/>
          <w:sz w:val="26"/>
          <w:szCs w:val="26"/>
          <w:lang w:val="es-ES_tradnl"/>
        </w:rPr>
        <w:t xml:space="preserve"> </w:t>
      </w:r>
      <w:r w:rsidR="00CB7E55">
        <w:rPr>
          <w:rFonts w:ascii="Arial" w:hAnsi="Arial" w:cs="Arial"/>
          <w:sz w:val="26"/>
          <w:szCs w:val="26"/>
          <w:lang w:val="es-ES_tradnl"/>
        </w:rPr>
        <w:t xml:space="preserve">puede entenderse </w:t>
      </w:r>
      <w:r w:rsidR="005F3337" w:rsidRPr="00EA3FBA">
        <w:rPr>
          <w:rFonts w:ascii="Arial" w:hAnsi="Arial" w:cs="Arial"/>
          <w:sz w:val="26"/>
          <w:szCs w:val="26"/>
          <w:lang w:val="es-ES_tradnl"/>
        </w:rPr>
        <w:t>como</w:t>
      </w:r>
      <w:r w:rsidR="00CB7E55">
        <w:rPr>
          <w:rFonts w:ascii="Arial" w:hAnsi="Arial" w:cs="Arial"/>
          <w:sz w:val="26"/>
          <w:szCs w:val="26"/>
          <w:lang w:val="es-ES_tradnl"/>
        </w:rPr>
        <w:t xml:space="preserve"> un deber</w:t>
      </w:r>
      <w:r w:rsidR="00113A09">
        <w:rPr>
          <w:rFonts w:ascii="Arial" w:hAnsi="Arial" w:cs="Arial"/>
          <w:sz w:val="26"/>
          <w:szCs w:val="26"/>
          <w:lang w:val="es-ES_tradnl"/>
        </w:rPr>
        <w:t xml:space="preserve"> de que el </w:t>
      </w:r>
      <w:r w:rsidR="00BD6209">
        <w:rPr>
          <w:rFonts w:ascii="Arial" w:hAnsi="Arial" w:cs="Arial"/>
          <w:sz w:val="26"/>
          <w:szCs w:val="26"/>
          <w:lang w:val="es-ES_tradnl"/>
        </w:rPr>
        <w:t>citado</w:t>
      </w:r>
      <w:r w:rsidR="00113A09">
        <w:rPr>
          <w:rFonts w:ascii="Arial" w:hAnsi="Arial" w:cs="Arial"/>
          <w:sz w:val="26"/>
          <w:szCs w:val="26"/>
          <w:lang w:val="es-ES_tradnl"/>
        </w:rPr>
        <w:t xml:space="preserve"> Consejo Consultivo </w:t>
      </w:r>
      <w:r w:rsidR="00113A09">
        <w:rPr>
          <w:rFonts w:ascii="Arial" w:eastAsia="Calibri" w:hAnsi="Arial" w:cs="Arial"/>
          <w:sz w:val="26"/>
          <w:szCs w:val="26"/>
          <w:lang w:eastAsia="en-US"/>
        </w:rPr>
        <w:t>sea coadyuvante obligatorio</w:t>
      </w:r>
      <w:r>
        <w:rPr>
          <w:rFonts w:ascii="Arial" w:eastAsia="Calibri" w:hAnsi="Arial" w:cs="Arial"/>
          <w:sz w:val="26"/>
          <w:szCs w:val="26"/>
          <w:lang w:eastAsia="en-US"/>
        </w:rPr>
        <w:t xml:space="preserve"> de las comisiones de derechos humanos</w:t>
      </w:r>
      <w:r w:rsidR="00113A09">
        <w:rPr>
          <w:rFonts w:ascii="Arial" w:eastAsia="Calibri" w:hAnsi="Arial" w:cs="Arial"/>
          <w:sz w:val="26"/>
          <w:szCs w:val="26"/>
          <w:lang w:eastAsia="en-US"/>
        </w:rPr>
        <w:t xml:space="preserve">. </w:t>
      </w:r>
      <w:r>
        <w:rPr>
          <w:rFonts w:ascii="Arial" w:eastAsia="Calibri" w:hAnsi="Arial" w:cs="Arial"/>
          <w:sz w:val="26"/>
          <w:szCs w:val="26"/>
          <w:lang w:eastAsia="en-US"/>
        </w:rPr>
        <w:t xml:space="preserve">Sin embargo, </w:t>
      </w:r>
      <w:r w:rsidR="009F6833" w:rsidRPr="00EA3FBA">
        <w:rPr>
          <w:rFonts w:ascii="Arial" w:eastAsiaTheme="minorHAnsi" w:hAnsi="Arial" w:cs="Arial"/>
          <w:sz w:val="26"/>
          <w:szCs w:val="26"/>
          <w:lang w:val="es-MX" w:eastAsia="en-US"/>
        </w:rPr>
        <w:t xml:space="preserve">el Consejo Ciudadano </w:t>
      </w:r>
      <w:r w:rsidR="00CF315F" w:rsidRPr="00EA3FBA">
        <w:rPr>
          <w:rFonts w:ascii="Arial" w:eastAsiaTheme="minorHAnsi" w:hAnsi="Arial" w:cs="Arial"/>
          <w:sz w:val="26"/>
          <w:szCs w:val="26"/>
          <w:lang w:val="es-MX" w:eastAsia="en-US"/>
        </w:rPr>
        <w:t xml:space="preserve">no es necesariamente </w:t>
      </w:r>
      <w:r w:rsidR="00CF315F" w:rsidRPr="00EA3FBA">
        <w:rPr>
          <w:rFonts w:ascii="Arial" w:eastAsiaTheme="minorHAnsi" w:hAnsi="Arial" w:cs="Arial"/>
          <w:sz w:val="26"/>
          <w:szCs w:val="26"/>
          <w:u w:val="single"/>
          <w:lang w:val="es-MX" w:eastAsia="en-US"/>
        </w:rPr>
        <w:t>coadyuvante</w:t>
      </w:r>
      <w:r w:rsidR="00CF315F" w:rsidRPr="00EA3FBA">
        <w:rPr>
          <w:rFonts w:ascii="Arial" w:eastAsiaTheme="minorHAnsi" w:hAnsi="Arial" w:cs="Arial"/>
          <w:sz w:val="26"/>
          <w:szCs w:val="26"/>
          <w:lang w:val="es-MX" w:eastAsia="en-US"/>
        </w:rPr>
        <w:t xml:space="preserve"> </w:t>
      </w:r>
      <w:r w:rsidR="005321DD" w:rsidRPr="00EA3FBA">
        <w:rPr>
          <w:rFonts w:ascii="Arial" w:eastAsiaTheme="minorHAnsi" w:hAnsi="Arial" w:cs="Arial"/>
          <w:sz w:val="26"/>
          <w:szCs w:val="26"/>
          <w:lang w:val="es-MX" w:eastAsia="en-US"/>
        </w:rPr>
        <w:t xml:space="preserve">de la Comisión Nacional de </w:t>
      </w:r>
      <w:r w:rsidR="003C038A">
        <w:rPr>
          <w:rFonts w:ascii="Arial" w:eastAsiaTheme="minorHAnsi" w:hAnsi="Arial" w:cs="Arial"/>
          <w:sz w:val="26"/>
          <w:szCs w:val="26"/>
          <w:lang w:val="es-MX" w:eastAsia="en-US"/>
        </w:rPr>
        <w:t xml:space="preserve">los </w:t>
      </w:r>
      <w:r w:rsidR="005321DD" w:rsidRPr="00EA3FBA">
        <w:rPr>
          <w:rFonts w:ascii="Arial" w:eastAsiaTheme="minorHAnsi" w:hAnsi="Arial" w:cs="Arial"/>
          <w:sz w:val="26"/>
          <w:szCs w:val="26"/>
          <w:lang w:val="es-MX" w:eastAsia="en-US"/>
        </w:rPr>
        <w:t xml:space="preserve">Derechos Humanos o de los </w:t>
      </w:r>
      <w:r w:rsidR="000E19B1" w:rsidRPr="00EA3FBA">
        <w:rPr>
          <w:rFonts w:ascii="Arial" w:eastAsiaTheme="minorHAnsi" w:hAnsi="Arial" w:cs="Arial"/>
          <w:sz w:val="26"/>
          <w:szCs w:val="26"/>
          <w:lang w:val="es-MX" w:eastAsia="en-US"/>
        </w:rPr>
        <w:t>ó</w:t>
      </w:r>
      <w:r w:rsidR="005321DD" w:rsidRPr="00EA3FBA">
        <w:rPr>
          <w:rFonts w:ascii="Arial" w:eastAsiaTheme="minorHAnsi" w:hAnsi="Arial" w:cs="Arial"/>
          <w:sz w:val="26"/>
          <w:szCs w:val="26"/>
          <w:lang w:val="es-MX" w:eastAsia="en-US"/>
        </w:rPr>
        <w:t xml:space="preserve">rganos </w:t>
      </w:r>
      <w:r w:rsidR="000E19B1" w:rsidRPr="00EA3FBA">
        <w:rPr>
          <w:rFonts w:ascii="Arial" w:eastAsiaTheme="minorHAnsi" w:hAnsi="Arial" w:cs="Arial"/>
          <w:sz w:val="26"/>
          <w:szCs w:val="26"/>
          <w:lang w:val="es-MX" w:eastAsia="en-US"/>
        </w:rPr>
        <w:t>p</w:t>
      </w:r>
      <w:r w:rsidR="005321DD" w:rsidRPr="00EA3FBA">
        <w:rPr>
          <w:rFonts w:ascii="Arial" w:eastAsiaTheme="minorHAnsi" w:hAnsi="Arial" w:cs="Arial"/>
          <w:sz w:val="26"/>
          <w:szCs w:val="26"/>
          <w:lang w:val="es-MX" w:eastAsia="en-US"/>
        </w:rPr>
        <w:t xml:space="preserve">rotectores de los </w:t>
      </w:r>
      <w:r w:rsidR="000E19B1" w:rsidRPr="00EA3FBA">
        <w:rPr>
          <w:rFonts w:ascii="Arial" w:eastAsiaTheme="minorHAnsi" w:hAnsi="Arial" w:cs="Arial"/>
          <w:sz w:val="26"/>
          <w:szCs w:val="26"/>
          <w:lang w:val="es-MX" w:eastAsia="en-US"/>
        </w:rPr>
        <w:t>d</w:t>
      </w:r>
      <w:r w:rsidR="005321DD" w:rsidRPr="00EA3FBA">
        <w:rPr>
          <w:rFonts w:ascii="Arial" w:eastAsiaTheme="minorHAnsi" w:hAnsi="Arial" w:cs="Arial"/>
          <w:sz w:val="26"/>
          <w:szCs w:val="26"/>
          <w:lang w:val="es-MX" w:eastAsia="en-US"/>
        </w:rPr>
        <w:t xml:space="preserve">erechos </w:t>
      </w:r>
      <w:r w:rsidR="000E19B1" w:rsidRPr="00EA3FBA">
        <w:rPr>
          <w:rFonts w:ascii="Arial" w:eastAsiaTheme="minorHAnsi" w:hAnsi="Arial" w:cs="Arial"/>
          <w:sz w:val="26"/>
          <w:szCs w:val="26"/>
          <w:lang w:val="es-MX" w:eastAsia="en-US"/>
        </w:rPr>
        <w:t>h</w:t>
      </w:r>
      <w:r w:rsidR="005321DD" w:rsidRPr="00EA3FBA">
        <w:rPr>
          <w:rFonts w:ascii="Arial" w:eastAsiaTheme="minorHAnsi" w:hAnsi="Arial" w:cs="Arial"/>
          <w:sz w:val="26"/>
          <w:szCs w:val="26"/>
          <w:lang w:val="es-MX" w:eastAsia="en-US"/>
        </w:rPr>
        <w:t xml:space="preserve">umanos </w:t>
      </w:r>
      <w:r w:rsidR="000E19B1" w:rsidRPr="00EA3FBA">
        <w:rPr>
          <w:rFonts w:ascii="Arial" w:eastAsiaTheme="minorHAnsi" w:hAnsi="Arial" w:cs="Arial"/>
          <w:sz w:val="26"/>
          <w:szCs w:val="26"/>
          <w:lang w:val="es-MX" w:eastAsia="en-US"/>
        </w:rPr>
        <w:t>l</w:t>
      </w:r>
      <w:r w:rsidR="005321DD" w:rsidRPr="00EA3FBA">
        <w:rPr>
          <w:rFonts w:ascii="Arial" w:eastAsiaTheme="minorHAnsi" w:hAnsi="Arial" w:cs="Arial"/>
          <w:sz w:val="26"/>
          <w:szCs w:val="26"/>
          <w:lang w:val="es-MX" w:eastAsia="en-US"/>
        </w:rPr>
        <w:t xml:space="preserve">ocales, pues </w:t>
      </w:r>
      <w:r w:rsidR="00607928" w:rsidRPr="00EA3FBA">
        <w:rPr>
          <w:rFonts w:ascii="Arial" w:eastAsiaTheme="minorHAnsi" w:hAnsi="Arial" w:cs="Arial"/>
          <w:sz w:val="26"/>
          <w:szCs w:val="26"/>
          <w:lang w:val="es-MX" w:eastAsia="en-US"/>
        </w:rPr>
        <w:t>tal como se establece en la sentencia</w:t>
      </w:r>
      <w:r w:rsidR="005513F6">
        <w:rPr>
          <w:rFonts w:ascii="Arial" w:eastAsiaTheme="minorHAnsi" w:hAnsi="Arial" w:cs="Arial"/>
          <w:sz w:val="26"/>
          <w:szCs w:val="26"/>
          <w:lang w:val="es-MX" w:eastAsia="en-US"/>
        </w:rPr>
        <w:t>,</w:t>
      </w:r>
      <w:r w:rsidR="00607928" w:rsidRPr="00EA3FBA">
        <w:rPr>
          <w:rFonts w:ascii="Arial" w:eastAsiaTheme="minorHAnsi" w:hAnsi="Arial" w:cs="Arial"/>
          <w:sz w:val="26"/>
          <w:szCs w:val="26"/>
          <w:lang w:val="es-MX" w:eastAsia="en-US"/>
        </w:rPr>
        <w:t xml:space="preserve"> </w:t>
      </w:r>
      <w:r w:rsidR="00E80198">
        <w:rPr>
          <w:rFonts w:ascii="Arial" w:eastAsiaTheme="minorHAnsi" w:hAnsi="Arial" w:cs="Arial"/>
          <w:sz w:val="26"/>
          <w:szCs w:val="26"/>
          <w:lang w:val="es-MX" w:eastAsia="en-US"/>
        </w:rPr>
        <w:t xml:space="preserve">esos organismos </w:t>
      </w:r>
      <w:r w:rsidR="005321DD" w:rsidRPr="00EA3FBA">
        <w:rPr>
          <w:rFonts w:ascii="Arial" w:eastAsiaTheme="minorHAnsi" w:hAnsi="Arial" w:cs="Arial"/>
          <w:sz w:val="26"/>
          <w:szCs w:val="26"/>
          <w:lang w:val="es-MX" w:eastAsia="en-US"/>
        </w:rPr>
        <w:t>están establecidos en la Constitución Federal y son transversales</w:t>
      </w:r>
      <w:r w:rsidR="005513F6">
        <w:rPr>
          <w:rFonts w:ascii="Arial" w:eastAsiaTheme="minorHAnsi" w:hAnsi="Arial" w:cs="Arial"/>
          <w:sz w:val="26"/>
          <w:szCs w:val="26"/>
          <w:lang w:val="es-MX" w:eastAsia="en-US"/>
        </w:rPr>
        <w:t>.</w:t>
      </w:r>
      <w:r w:rsidR="003A0741">
        <w:rPr>
          <w:rFonts w:ascii="Arial" w:eastAsiaTheme="minorHAnsi" w:hAnsi="Arial" w:cs="Arial"/>
          <w:sz w:val="26"/>
          <w:szCs w:val="26"/>
          <w:lang w:val="es-MX" w:eastAsia="en-US"/>
        </w:rPr>
        <w:t xml:space="preserve"> </w:t>
      </w:r>
      <w:r w:rsidR="005513F6">
        <w:rPr>
          <w:rFonts w:ascii="Arial" w:eastAsiaTheme="minorHAnsi" w:hAnsi="Arial" w:cs="Arial"/>
          <w:sz w:val="26"/>
          <w:szCs w:val="26"/>
          <w:lang w:val="es-MX" w:eastAsia="en-US"/>
        </w:rPr>
        <w:t>T</w:t>
      </w:r>
      <w:r w:rsidR="003A0741">
        <w:rPr>
          <w:rFonts w:ascii="Arial" w:eastAsiaTheme="minorHAnsi" w:hAnsi="Arial" w:cs="Arial"/>
          <w:sz w:val="26"/>
          <w:szCs w:val="26"/>
          <w:lang w:val="es-MX" w:eastAsia="en-US"/>
        </w:rPr>
        <w:t xml:space="preserve">ienen atribuciones propias </w:t>
      </w:r>
      <w:r w:rsidR="005513F6">
        <w:rPr>
          <w:rFonts w:ascii="Arial" w:eastAsiaTheme="minorHAnsi" w:hAnsi="Arial" w:cs="Arial"/>
          <w:sz w:val="26"/>
          <w:szCs w:val="26"/>
          <w:lang w:val="es-MX" w:eastAsia="en-US"/>
        </w:rPr>
        <w:t xml:space="preserve">que son </w:t>
      </w:r>
      <w:r w:rsidR="003A0741">
        <w:rPr>
          <w:rFonts w:ascii="Arial" w:eastAsiaTheme="minorHAnsi" w:hAnsi="Arial" w:cs="Arial"/>
          <w:sz w:val="26"/>
          <w:szCs w:val="26"/>
          <w:lang w:val="es-MX" w:eastAsia="en-US"/>
        </w:rPr>
        <w:t>independientes de otros entes públicos.</w:t>
      </w:r>
    </w:p>
    <w:p w14:paraId="47DBDE36" w14:textId="77777777" w:rsidR="00E80198" w:rsidRDefault="00E80198" w:rsidP="00113A09">
      <w:pPr>
        <w:autoSpaceDE w:val="0"/>
        <w:autoSpaceDN w:val="0"/>
        <w:adjustRightInd w:val="0"/>
        <w:spacing w:line="360" w:lineRule="auto"/>
        <w:jc w:val="both"/>
        <w:rPr>
          <w:rFonts w:ascii="Arial" w:eastAsiaTheme="minorHAnsi" w:hAnsi="Arial" w:cs="Arial"/>
          <w:sz w:val="26"/>
          <w:szCs w:val="26"/>
          <w:lang w:val="es-MX" w:eastAsia="en-US"/>
        </w:rPr>
      </w:pPr>
    </w:p>
    <w:p w14:paraId="6F67C3E6" w14:textId="0B16FE34" w:rsidR="00912AC8" w:rsidRDefault="00E80198" w:rsidP="00113A09">
      <w:pPr>
        <w:autoSpaceDE w:val="0"/>
        <w:autoSpaceDN w:val="0"/>
        <w:adjustRightInd w:val="0"/>
        <w:spacing w:line="360" w:lineRule="auto"/>
        <w:jc w:val="both"/>
        <w:rPr>
          <w:rFonts w:ascii="Arial" w:eastAsia="Calibri" w:hAnsi="Arial" w:cs="Arial"/>
          <w:sz w:val="26"/>
          <w:szCs w:val="26"/>
          <w:lang w:eastAsia="en-US"/>
        </w:rPr>
      </w:pPr>
      <w:r>
        <w:rPr>
          <w:rFonts w:ascii="Arial" w:eastAsiaTheme="minorHAnsi" w:hAnsi="Arial" w:cs="Arial"/>
          <w:sz w:val="26"/>
          <w:szCs w:val="26"/>
          <w:lang w:val="es-MX" w:eastAsia="en-US"/>
        </w:rPr>
        <w:t>Aclar</w:t>
      </w:r>
      <w:r w:rsidR="005513F6">
        <w:rPr>
          <w:rFonts w:ascii="Arial" w:eastAsiaTheme="minorHAnsi" w:hAnsi="Arial" w:cs="Arial"/>
          <w:sz w:val="26"/>
          <w:szCs w:val="26"/>
          <w:lang w:val="es-MX" w:eastAsia="en-US"/>
        </w:rPr>
        <w:t>o</w:t>
      </w:r>
      <w:r w:rsidR="006937DC">
        <w:rPr>
          <w:rFonts w:ascii="Arial" w:eastAsiaTheme="minorHAnsi" w:hAnsi="Arial" w:cs="Arial"/>
          <w:sz w:val="26"/>
          <w:szCs w:val="26"/>
          <w:lang w:val="es-MX" w:eastAsia="en-US"/>
        </w:rPr>
        <w:t xml:space="preserve"> que mi postura </w:t>
      </w:r>
      <w:r>
        <w:rPr>
          <w:rFonts w:ascii="Arial" w:eastAsiaTheme="minorHAnsi" w:hAnsi="Arial" w:cs="Arial"/>
          <w:sz w:val="26"/>
          <w:szCs w:val="26"/>
          <w:lang w:val="es-MX" w:eastAsia="en-US"/>
        </w:rPr>
        <w:t xml:space="preserve">no significa que </w:t>
      </w:r>
      <w:r w:rsidR="000E19B1" w:rsidRPr="00EA3FBA">
        <w:rPr>
          <w:rFonts w:ascii="Arial" w:eastAsia="Calibri" w:hAnsi="Arial" w:cs="Arial"/>
          <w:sz w:val="26"/>
          <w:szCs w:val="26"/>
          <w:lang w:eastAsia="en-US"/>
        </w:rPr>
        <w:t>ninguna otra dependencia, entidad</w:t>
      </w:r>
      <w:r w:rsidR="00725ADE">
        <w:rPr>
          <w:rFonts w:ascii="Arial" w:eastAsia="Calibri" w:hAnsi="Arial" w:cs="Arial"/>
          <w:sz w:val="26"/>
          <w:szCs w:val="26"/>
          <w:lang w:eastAsia="en-US"/>
        </w:rPr>
        <w:t xml:space="preserve"> u</w:t>
      </w:r>
      <w:r w:rsidR="000E19B1" w:rsidRPr="00EA3FBA">
        <w:rPr>
          <w:rFonts w:ascii="Arial" w:eastAsia="Calibri" w:hAnsi="Arial" w:cs="Arial"/>
          <w:sz w:val="26"/>
          <w:szCs w:val="26"/>
          <w:lang w:eastAsia="en-US"/>
        </w:rPr>
        <w:t xml:space="preserve"> órgano, </w:t>
      </w:r>
      <w:r w:rsidR="003C038A">
        <w:rPr>
          <w:rFonts w:ascii="Arial" w:eastAsia="Calibri" w:hAnsi="Arial" w:cs="Arial"/>
          <w:sz w:val="26"/>
          <w:szCs w:val="26"/>
          <w:lang w:eastAsia="en-US"/>
        </w:rPr>
        <w:t xml:space="preserve">y/o </w:t>
      </w:r>
      <w:r w:rsidR="000E19B1" w:rsidRPr="00EA3FBA">
        <w:rPr>
          <w:rFonts w:ascii="Arial" w:eastAsia="Calibri" w:hAnsi="Arial" w:cs="Arial"/>
          <w:sz w:val="26"/>
          <w:szCs w:val="26"/>
          <w:lang w:eastAsia="en-US"/>
        </w:rPr>
        <w:t xml:space="preserve">autoridad en el </w:t>
      </w:r>
      <w:r w:rsidR="000E19B1" w:rsidRPr="00E47921">
        <w:rPr>
          <w:rFonts w:ascii="Arial" w:eastAsia="Calibri" w:hAnsi="Arial" w:cs="Arial"/>
          <w:sz w:val="26"/>
          <w:szCs w:val="26"/>
          <w:lang w:eastAsia="en-US"/>
        </w:rPr>
        <w:t>país</w:t>
      </w:r>
      <w:r>
        <w:rPr>
          <w:rFonts w:ascii="Arial" w:eastAsia="Calibri" w:hAnsi="Arial" w:cs="Arial"/>
          <w:sz w:val="26"/>
          <w:szCs w:val="26"/>
          <w:lang w:eastAsia="en-US"/>
        </w:rPr>
        <w:t xml:space="preserve"> </w:t>
      </w:r>
      <w:r w:rsidR="000E19B1" w:rsidRPr="00E47921">
        <w:rPr>
          <w:rFonts w:ascii="Arial" w:eastAsia="Calibri" w:hAnsi="Arial" w:cs="Arial"/>
          <w:sz w:val="26"/>
          <w:szCs w:val="26"/>
          <w:lang w:eastAsia="en-US"/>
        </w:rPr>
        <w:t xml:space="preserve">pueda crear unidades que atiendan, canalicen y formulen denuncias tratándose de violaciones a derechos </w:t>
      </w:r>
      <w:r w:rsidR="000E19B1" w:rsidRPr="00E47921">
        <w:rPr>
          <w:rFonts w:ascii="Arial" w:eastAsia="Calibri" w:hAnsi="Arial" w:cs="Arial"/>
          <w:sz w:val="26"/>
          <w:szCs w:val="26"/>
          <w:lang w:eastAsia="en-US"/>
        </w:rPr>
        <w:lastRenderedPageBreak/>
        <w:t>humanos,</w:t>
      </w:r>
      <w:r w:rsidR="00912AC8">
        <w:rPr>
          <w:rFonts w:ascii="Arial" w:eastAsia="Calibri" w:hAnsi="Arial" w:cs="Arial"/>
          <w:sz w:val="26"/>
          <w:szCs w:val="26"/>
          <w:lang w:eastAsia="en-US"/>
        </w:rPr>
        <w:t xml:space="preserve"> pero esa creación no implica que los </w:t>
      </w:r>
      <w:r w:rsidR="00B27AD6" w:rsidRPr="00EA3FBA">
        <w:rPr>
          <w:rFonts w:ascii="Arial" w:eastAsia="Calibri" w:hAnsi="Arial" w:cs="Arial"/>
          <w:sz w:val="26"/>
          <w:szCs w:val="26"/>
          <w:lang w:eastAsia="en-US"/>
        </w:rPr>
        <w:t>órganos protectores de derechos humanos</w:t>
      </w:r>
      <w:r w:rsidR="00912AC8">
        <w:rPr>
          <w:rFonts w:ascii="Arial" w:eastAsia="Calibri" w:hAnsi="Arial" w:cs="Arial"/>
          <w:sz w:val="26"/>
          <w:szCs w:val="26"/>
          <w:lang w:eastAsia="en-US"/>
        </w:rPr>
        <w:t xml:space="preserve"> previstos en la Constitución Federal</w:t>
      </w:r>
      <w:r w:rsidR="00B27AD6" w:rsidRPr="00EA3FBA">
        <w:rPr>
          <w:rFonts w:ascii="Arial" w:eastAsia="Calibri" w:hAnsi="Arial" w:cs="Arial"/>
          <w:sz w:val="26"/>
          <w:szCs w:val="26"/>
          <w:lang w:eastAsia="en-US"/>
        </w:rPr>
        <w:t xml:space="preserve"> </w:t>
      </w:r>
      <w:r w:rsidR="00912AC8">
        <w:rPr>
          <w:rFonts w:ascii="Arial" w:eastAsia="Calibri" w:hAnsi="Arial" w:cs="Arial"/>
          <w:sz w:val="26"/>
          <w:szCs w:val="26"/>
          <w:lang w:eastAsia="en-US"/>
        </w:rPr>
        <w:t xml:space="preserve">tengan como </w:t>
      </w:r>
      <w:r w:rsidR="00B27AD6" w:rsidRPr="00EA3FBA">
        <w:rPr>
          <w:rFonts w:ascii="Arial" w:eastAsia="Calibri" w:hAnsi="Arial" w:cs="Arial"/>
          <w:sz w:val="26"/>
          <w:szCs w:val="26"/>
          <w:lang w:eastAsia="en-US"/>
        </w:rPr>
        <w:t xml:space="preserve">coadyuvantes obligatorios </w:t>
      </w:r>
      <w:r w:rsidR="00912AC8">
        <w:rPr>
          <w:rFonts w:ascii="Arial" w:eastAsia="Calibri" w:hAnsi="Arial" w:cs="Arial"/>
          <w:sz w:val="26"/>
          <w:szCs w:val="26"/>
          <w:lang w:eastAsia="en-US"/>
        </w:rPr>
        <w:t>a las instituciones como el Consejo Consultivo</w:t>
      </w:r>
      <w:r w:rsidR="006937DC">
        <w:rPr>
          <w:rFonts w:ascii="Arial" w:eastAsia="Calibri" w:hAnsi="Arial" w:cs="Arial"/>
          <w:sz w:val="26"/>
          <w:szCs w:val="26"/>
          <w:lang w:eastAsia="en-US"/>
        </w:rPr>
        <w:t xml:space="preserve"> a que se refiere la norma impugnada.</w:t>
      </w:r>
    </w:p>
    <w:p w14:paraId="00F69F52" w14:textId="69DEE012" w:rsidR="00EF273F" w:rsidRPr="00EA3FBA" w:rsidRDefault="00EF273F" w:rsidP="00725ADE">
      <w:pPr>
        <w:tabs>
          <w:tab w:val="left" w:pos="5069"/>
        </w:tabs>
        <w:spacing w:line="360" w:lineRule="auto"/>
        <w:rPr>
          <w:rFonts w:ascii="Arial" w:hAnsi="Arial" w:cs="Arial"/>
          <w:sz w:val="26"/>
          <w:szCs w:val="26"/>
        </w:rPr>
      </w:pPr>
    </w:p>
    <w:p w14:paraId="68A8570E" w14:textId="57887057" w:rsidR="00607928" w:rsidRPr="00EA3FBA" w:rsidRDefault="00E3440B" w:rsidP="003C3910">
      <w:pPr>
        <w:spacing w:line="360" w:lineRule="auto"/>
        <w:ind w:left="284" w:hanging="284"/>
        <w:jc w:val="both"/>
        <w:rPr>
          <w:rFonts w:ascii="Arial" w:hAnsi="Arial" w:cs="Arial"/>
          <w:b/>
          <w:sz w:val="26"/>
          <w:szCs w:val="26"/>
          <w:lang w:val="es-ES_tradnl"/>
        </w:rPr>
      </w:pPr>
      <w:r>
        <w:rPr>
          <w:rFonts w:ascii="Arial" w:hAnsi="Arial" w:cs="Arial"/>
          <w:b/>
          <w:sz w:val="26"/>
          <w:szCs w:val="26"/>
          <w:lang w:val="es-ES_tradnl"/>
        </w:rPr>
        <w:t>2</w:t>
      </w:r>
      <w:r w:rsidR="00607928" w:rsidRPr="00F7570C">
        <w:rPr>
          <w:rFonts w:ascii="Arial" w:hAnsi="Arial" w:cs="Arial"/>
          <w:b/>
          <w:sz w:val="26"/>
          <w:szCs w:val="26"/>
          <w:lang w:val="es-ES_tradnl"/>
        </w:rPr>
        <w:t xml:space="preserve">. </w:t>
      </w:r>
      <w:r w:rsidR="00607928" w:rsidRPr="00EA3FBA">
        <w:rPr>
          <w:rFonts w:ascii="Arial" w:hAnsi="Arial" w:cs="Arial"/>
          <w:b/>
          <w:sz w:val="26"/>
          <w:szCs w:val="26"/>
          <w:lang w:val="es-ES_tradnl"/>
        </w:rPr>
        <w:t xml:space="preserve">DÉCIMO PRIMERO. Tema 6. </w:t>
      </w:r>
      <w:r w:rsidR="00EA1E89" w:rsidRPr="00EA3FBA">
        <w:rPr>
          <w:rFonts w:ascii="Arial" w:hAnsi="Arial" w:cs="Arial"/>
          <w:b/>
          <w:sz w:val="26"/>
          <w:szCs w:val="26"/>
          <w:lang w:val="es-ES_tradnl"/>
        </w:rPr>
        <w:t>Reconocimiento de validez del</w:t>
      </w:r>
      <w:r w:rsidR="00607928" w:rsidRPr="00EA3FBA">
        <w:rPr>
          <w:rFonts w:ascii="Arial" w:hAnsi="Arial" w:cs="Arial"/>
          <w:b/>
          <w:sz w:val="26"/>
          <w:szCs w:val="26"/>
          <w:lang w:val="es-ES_tradnl"/>
        </w:rPr>
        <w:t xml:space="preserve"> artículo 8 de la Ley del Sistema de Seguridad Ciudadana de la Ciudad de México</w:t>
      </w:r>
      <w:r w:rsidR="00EA1E89" w:rsidRPr="00EA3FBA">
        <w:rPr>
          <w:rFonts w:ascii="Arial" w:hAnsi="Arial" w:cs="Arial"/>
          <w:b/>
          <w:sz w:val="26"/>
          <w:szCs w:val="26"/>
          <w:lang w:val="es-ES_tradnl"/>
        </w:rPr>
        <w:t>.</w:t>
      </w:r>
    </w:p>
    <w:p w14:paraId="4760BC8A" w14:textId="77777777" w:rsidR="00EA1513" w:rsidRDefault="00EA1513" w:rsidP="00EA3FBA">
      <w:pPr>
        <w:spacing w:line="360" w:lineRule="auto"/>
        <w:jc w:val="both"/>
        <w:rPr>
          <w:rFonts w:ascii="Arial" w:hAnsi="Arial" w:cs="Arial"/>
          <w:sz w:val="26"/>
          <w:szCs w:val="26"/>
        </w:rPr>
      </w:pPr>
    </w:p>
    <w:p w14:paraId="3C74D56C" w14:textId="31A94FA2" w:rsidR="00EA1E89" w:rsidRPr="00EA3FBA" w:rsidRDefault="00EA1E89" w:rsidP="00EA3FBA">
      <w:pPr>
        <w:spacing w:line="360" w:lineRule="auto"/>
        <w:jc w:val="both"/>
        <w:rPr>
          <w:rFonts w:ascii="Arial" w:hAnsi="Arial" w:cs="Arial"/>
          <w:b/>
          <w:sz w:val="26"/>
          <w:szCs w:val="26"/>
          <w:lang w:val="es-ES_tradnl"/>
        </w:rPr>
      </w:pPr>
      <w:r w:rsidRPr="00EA3FBA">
        <w:rPr>
          <w:rFonts w:ascii="Arial" w:hAnsi="Arial" w:cs="Arial"/>
          <w:sz w:val="26"/>
          <w:szCs w:val="26"/>
        </w:rPr>
        <w:t>En este tema se determinó reconocer la validez</w:t>
      </w:r>
      <w:r w:rsidRPr="00EF273F">
        <w:rPr>
          <w:rFonts w:ascii="Arial" w:hAnsi="Arial" w:cs="Arial"/>
          <w:bCs/>
          <w:sz w:val="26"/>
          <w:szCs w:val="26"/>
        </w:rPr>
        <w:t xml:space="preserve"> </w:t>
      </w:r>
      <w:r w:rsidRPr="00EF273F">
        <w:rPr>
          <w:rFonts w:ascii="Arial" w:eastAsia="Arial" w:hAnsi="Arial" w:cs="Arial"/>
          <w:bCs/>
          <w:sz w:val="26"/>
          <w:szCs w:val="26"/>
        </w:rPr>
        <w:t>del</w:t>
      </w:r>
      <w:r w:rsidRPr="00EA3FBA">
        <w:rPr>
          <w:rFonts w:ascii="Arial" w:eastAsia="Arial" w:hAnsi="Arial" w:cs="Arial"/>
          <w:b/>
          <w:sz w:val="26"/>
          <w:szCs w:val="26"/>
        </w:rPr>
        <w:t xml:space="preserve"> artículo </w:t>
      </w:r>
      <w:r w:rsidRPr="00EA3FBA">
        <w:rPr>
          <w:rFonts w:ascii="Arial" w:hAnsi="Arial" w:cs="Arial"/>
          <w:b/>
          <w:sz w:val="26"/>
          <w:szCs w:val="26"/>
          <w:lang w:val="es-ES_tradnl"/>
        </w:rPr>
        <w:t>8 de la Ley del Sistema de Seguridad Ciudadana de la Ciudad de México</w:t>
      </w:r>
      <w:r w:rsidR="00D14744">
        <w:rPr>
          <w:rStyle w:val="Refdenotaalpie"/>
          <w:rFonts w:ascii="Arial" w:hAnsi="Arial" w:cs="Arial"/>
          <w:b/>
          <w:sz w:val="26"/>
          <w:szCs w:val="26"/>
          <w:lang w:val="es-ES_tradnl"/>
        </w:rPr>
        <w:footnoteReference w:id="8"/>
      </w:r>
      <w:r w:rsidRPr="00EA3FBA">
        <w:rPr>
          <w:rFonts w:ascii="Arial" w:hAnsi="Arial" w:cs="Arial"/>
          <w:b/>
          <w:sz w:val="26"/>
          <w:szCs w:val="26"/>
          <w:lang w:val="es-ES_tradnl"/>
        </w:rPr>
        <w:t>.</w:t>
      </w:r>
    </w:p>
    <w:p w14:paraId="385D8C53" w14:textId="77777777" w:rsidR="007B4B4F" w:rsidRPr="00EA3FBA" w:rsidRDefault="007B4B4F" w:rsidP="00EA3FBA">
      <w:pPr>
        <w:spacing w:line="360" w:lineRule="auto"/>
        <w:jc w:val="both"/>
        <w:rPr>
          <w:rFonts w:ascii="Arial" w:hAnsi="Arial" w:cs="Arial"/>
          <w:b/>
          <w:sz w:val="26"/>
          <w:szCs w:val="26"/>
          <w:lang w:val="es-ES_tradnl"/>
        </w:rPr>
      </w:pPr>
    </w:p>
    <w:p w14:paraId="384FB985" w14:textId="71760B44" w:rsidR="007B4B4F" w:rsidRPr="00EA3FBA" w:rsidRDefault="00DF0D6A" w:rsidP="00EA3FBA">
      <w:pPr>
        <w:spacing w:line="360" w:lineRule="auto"/>
        <w:jc w:val="both"/>
        <w:rPr>
          <w:rFonts w:ascii="Arial" w:hAnsi="Arial" w:cs="Arial"/>
          <w:sz w:val="26"/>
          <w:szCs w:val="26"/>
          <w:lang w:val="es-ES_tradnl"/>
        </w:rPr>
      </w:pPr>
      <w:r>
        <w:rPr>
          <w:rFonts w:ascii="Arial" w:hAnsi="Arial" w:cs="Arial"/>
          <w:sz w:val="26"/>
          <w:szCs w:val="26"/>
        </w:rPr>
        <w:t>L</w:t>
      </w:r>
      <w:r w:rsidR="007B4B4F" w:rsidRPr="00EA3FBA">
        <w:rPr>
          <w:rFonts w:ascii="Arial" w:hAnsi="Arial" w:cs="Arial"/>
          <w:sz w:val="26"/>
          <w:szCs w:val="26"/>
        </w:rPr>
        <w:t xml:space="preserve">a sentencia establece que la </w:t>
      </w:r>
      <w:r w:rsidR="007B4B4F" w:rsidRPr="00EA3FBA">
        <w:rPr>
          <w:rFonts w:ascii="Arial" w:hAnsi="Arial" w:cs="Arial"/>
          <w:sz w:val="26"/>
          <w:szCs w:val="26"/>
          <w:lang w:val="es-ES_tradnl"/>
        </w:rPr>
        <w:t>Comisión de Derechos Humanos de la Ciudad de México cuestionó que el precepto impugnado restringía el ejercicio de los derecho</w:t>
      </w:r>
      <w:r>
        <w:rPr>
          <w:rFonts w:ascii="Arial" w:hAnsi="Arial" w:cs="Arial"/>
          <w:sz w:val="26"/>
          <w:szCs w:val="26"/>
          <w:lang w:val="es-ES_tradnl"/>
        </w:rPr>
        <w:t xml:space="preserve">s, </w:t>
      </w:r>
      <w:r w:rsidR="007B4B4F" w:rsidRPr="00EA3FBA">
        <w:rPr>
          <w:rFonts w:ascii="Arial" w:hAnsi="Arial" w:cs="Arial"/>
          <w:sz w:val="26"/>
          <w:szCs w:val="26"/>
          <w:lang w:val="es-ES_tradnl"/>
        </w:rPr>
        <w:t xml:space="preserve">limitaba la obligación del Gobierno de la Ciudad de México de garantizar los derechos humanos, y que </w:t>
      </w:r>
      <w:r w:rsidR="007B4B4F" w:rsidRPr="00EA3FBA">
        <w:rPr>
          <w:rFonts w:ascii="Arial" w:eastAsiaTheme="minorHAnsi" w:hAnsi="Arial" w:cs="Arial"/>
          <w:sz w:val="26"/>
          <w:szCs w:val="26"/>
          <w:lang w:val="es-MX" w:eastAsia="en-US"/>
        </w:rPr>
        <w:t>el precepto impugnado garantizaba los</w:t>
      </w:r>
      <w:r w:rsidR="007B4B4F" w:rsidRPr="00EA3FBA">
        <w:rPr>
          <w:rFonts w:ascii="Arial" w:hAnsi="Arial" w:cs="Arial"/>
          <w:bCs/>
          <w:sz w:val="26"/>
          <w:szCs w:val="26"/>
          <w:lang w:val="es-ES_tradnl"/>
        </w:rPr>
        <w:t xml:space="preserve"> </w:t>
      </w:r>
      <w:r w:rsidR="007B4B4F" w:rsidRPr="00EA3FBA">
        <w:rPr>
          <w:rFonts w:ascii="Arial" w:eastAsiaTheme="minorHAnsi" w:hAnsi="Arial" w:cs="Arial"/>
          <w:sz w:val="26"/>
          <w:szCs w:val="26"/>
          <w:lang w:val="es-MX" w:eastAsia="en-US"/>
        </w:rPr>
        <w:t xml:space="preserve">derechos listados a </w:t>
      </w:r>
      <w:r w:rsidR="007B4B4F" w:rsidRPr="00B41ABB">
        <w:rPr>
          <w:rFonts w:ascii="Arial" w:eastAsiaTheme="minorHAnsi" w:hAnsi="Arial" w:cs="Arial"/>
          <w:sz w:val="26"/>
          <w:szCs w:val="26"/>
          <w:lang w:val="es-MX" w:eastAsia="en-US"/>
        </w:rPr>
        <w:t>los habitantes de</w:t>
      </w:r>
      <w:r w:rsidR="007B4B4F" w:rsidRPr="00EA3FBA">
        <w:rPr>
          <w:rFonts w:ascii="Arial" w:eastAsiaTheme="minorHAnsi" w:hAnsi="Arial" w:cs="Arial"/>
          <w:sz w:val="26"/>
          <w:szCs w:val="26"/>
          <w:lang w:val="es-MX" w:eastAsia="en-US"/>
        </w:rPr>
        <w:t xml:space="preserve"> la Ciudad de México</w:t>
      </w:r>
      <w:r w:rsidR="007B4B4F" w:rsidRPr="00EA3FBA">
        <w:rPr>
          <w:rFonts w:ascii="Arial" w:hAnsi="Arial" w:cs="Arial"/>
          <w:sz w:val="26"/>
          <w:szCs w:val="26"/>
          <w:lang w:val="es-ES_tradnl"/>
        </w:rPr>
        <w:t>, sin incluir a las personas transeúntes.</w:t>
      </w:r>
    </w:p>
    <w:p w14:paraId="658CFD74" w14:textId="77777777" w:rsidR="007B4B4F" w:rsidRPr="00EA3FBA" w:rsidRDefault="007B4B4F" w:rsidP="00EA3FBA">
      <w:pPr>
        <w:spacing w:line="360" w:lineRule="auto"/>
        <w:jc w:val="both"/>
        <w:rPr>
          <w:rFonts w:ascii="Arial" w:hAnsi="Arial" w:cs="Arial"/>
          <w:sz w:val="26"/>
          <w:szCs w:val="26"/>
          <w:lang w:val="es-ES_tradnl"/>
        </w:rPr>
      </w:pPr>
    </w:p>
    <w:p w14:paraId="6CE438AF" w14:textId="6F0E35E4" w:rsidR="007B4B4F" w:rsidRPr="00EA3FBA" w:rsidRDefault="007B4B4F" w:rsidP="00EA3FBA">
      <w:pPr>
        <w:spacing w:line="360" w:lineRule="auto"/>
        <w:jc w:val="both"/>
        <w:rPr>
          <w:rFonts w:ascii="Arial" w:hAnsi="Arial" w:cs="Arial"/>
          <w:sz w:val="26"/>
          <w:szCs w:val="26"/>
          <w:lang w:val="es-ES_tradnl"/>
        </w:rPr>
      </w:pPr>
      <w:r w:rsidRPr="00EA3FBA">
        <w:rPr>
          <w:rFonts w:ascii="Arial" w:hAnsi="Arial" w:cs="Arial"/>
          <w:sz w:val="26"/>
          <w:szCs w:val="26"/>
          <w:lang w:val="es-ES_tradnl"/>
        </w:rPr>
        <w:t xml:space="preserve">En este sentido, </w:t>
      </w:r>
      <w:r w:rsidR="00DF0D6A">
        <w:rPr>
          <w:rFonts w:ascii="Arial" w:hAnsi="Arial" w:cs="Arial"/>
          <w:sz w:val="26"/>
          <w:szCs w:val="26"/>
          <w:lang w:val="es-ES_tradnl"/>
        </w:rPr>
        <w:t xml:space="preserve">en </w:t>
      </w:r>
      <w:r w:rsidRPr="00EA3FBA">
        <w:rPr>
          <w:rFonts w:ascii="Arial" w:hAnsi="Arial" w:cs="Arial"/>
          <w:sz w:val="26"/>
          <w:szCs w:val="26"/>
          <w:lang w:val="es-ES_tradnl"/>
        </w:rPr>
        <w:t xml:space="preserve">la sentencia </w:t>
      </w:r>
      <w:r w:rsidR="00DF0D6A">
        <w:rPr>
          <w:rFonts w:ascii="Arial" w:hAnsi="Arial" w:cs="Arial"/>
          <w:sz w:val="26"/>
          <w:szCs w:val="26"/>
          <w:lang w:val="es-ES_tradnl"/>
        </w:rPr>
        <w:t xml:space="preserve">se </w:t>
      </w:r>
      <w:r w:rsidRPr="00EA3FBA">
        <w:rPr>
          <w:rFonts w:ascii="Arial" w:hAnsi="Arial" w:cs="Arial"/>
          <w:sz w:val="26"/>
          <w:szCs w:val="26"/>
          <w:lang w:val="es-ES_tradnl"/>
        </w:rPr>
        <w:t>advierte que la citada Comisión argumentó que el hecho de que</w:t>
      </w:r>
      <w:r w:rsidR="008A632B">
        <w:rPr>
          <w:rFonts w:ascii="Arial" w:hAnsi="Arial" w:cs="Arial"/>
          <w:sz w:val="26"/>
          <w:szCs w:val="26"/>
          <w:lang w:val="es-ES_tradnl"/>
        </w:rPr>
        <w:t xml:space="preserve"> en </w:t>
      </w:r>
      <w:r w:rsidRPr="00EA3FBA">
        <w:rPr>
          <w:rFonts w:ascii="Arial" w:hAnsi="Arial" w:cs="Arial"/>
          <w:sz w:val="26"/>
          <w:szCs w:val="26"/>
          <w:lang w:val="es-ES_tradnl"/>
        </w:rPr>
        <w:t>el artículo 8</w:t>
      </w:r>
      <w:r w:rsidR="00D509D2" w:rsidRPr="00D509D2">
        <w:rPr>
          <w:rFonts w:ascii="Arial" w:hAnsi="Arial" w:cs="Arial"/>
          <w:b/>
          <w:sz w:val="26"/>
          <w:szCs w:val="26"/>
          <w:lang w:val="es-ES_tradnl"/>
        </w:rPr>
        <w:t xml:space="preserve"> </w:t>
      </w:r>
      <w:r w:rsidR="00D509D2" w:rsidRPr="00D509D2">
        <w:rPr>
          <w:rFonts w:ascii="Arial" w:hAnsi="Arial" w:cs="Arial"/>
          <w:bCs/>
          <w:sz w:val="26"/>
          <w:szCs w:val="26"/>
          <w:lang w:val="es-ES_tradnl"/>
        </w:rPr>
        <w:t>de la Ley del Sistema de Seguridad Ciudadana de la Ciudad de México</w:t>
      </w:r>
      <w:r w:rsidRPr="00EA3FBA">
        <w:rPr>
          <w:rFonts w:ascii="Arial" w:hAnsi="Arial" w:cs="Arial"/>
          <w:sz w:val="26"/>
          <w:szCs w:val="26"/>
          <w:lang w:val="es-ES_tradnl"/>
        </w:rPr>
        <w:t xml:space="preserve"> únicamente </w:t>
      </w:r>
      <w:r w:rsidR="008A632B">
        <w:rPr>
          <w:rFonts w:ascii="Arial" w:hAnsi="Arial" w:cs="Arial"/>
          <w:sz w:val="26"/>
          <w:szCs w:val="26"/>
          <w:lang w:val="es-ES_tradnl"/>
        </w:rPr>
        <w:t xml:space="preserve">se </w:t>
      </w:r>
      <w:r w:rsidRPr="00EA3FBA">
        <w:rPr>
          <w:rFonts w:ascii="Arial" w:hAnsi="Arial" w:cs="Arial"/>
          <w:sz w:val="26"/>
          <w:szCs w:val="26"/>
          <w:lang w:val="es-ES_tradnl"/>
        </w:rPr>
        <w:t>enumer</w:t>
      </w:r>
      <w:r w:rsidR="00D44CD9">
        <w:rPr>
          <w:rFonts w:ascii="Arial" w:hAnsi="Arial" w:cs="Arial"/>
          <w:sz w:val="26"/>
          <w:szCs w:val="26"/>
          <w:lang w:val="es-ES_tradnl"/>
        </w:rPr>
        <w:t>ara un</w:t>
      </w:r>
      <w:r w:rsidRPr="00EA3FBA">
        <w:rPr>
          <w:rFonts w:ascii="Arial" w:hAnsi="Arial" w:cs="Arial"/>
          <w:sz w:val="26"/>
          <w:szCs w:val="26"/>
          <w:lang w:val="es-ES_tradnl"/>
        </w:rPr>
        <w:t xml:space="preserve"> cúmulo de derechos, con independencia que sean en materia de seguridad ciudadana, </w:t>
      </w:r>
      <w:r w:rsidRPr="00EA3FBA">
        <w:rPr>
          <w:rFonts w:ascii="Arial" w:hAnsi="Arial" w:cs="Arial"/>
          <w:sz w:val="26"/>
          <w:szCs w:val="26"/>
          <w:lang w:val="es-ES_tradnl"/>
        </w:rPr>
        <w:lastRenderedPageBreak/>
        <w:t>trastoca</w:t>
      </w:r>
      <w:r w:rsidR="00D44CD9">
        <w:rPr>
          <w:rFonts w:ascii="Arial" w:hAnsi="Arial" w:cs="Arial"/>
          <w:sz w:val="26"/>
          <w:szCs w:val="26"/>
          <w:lang w:val="es-ES_tradnl"/>
        </w:rPr>
        <w:t>ba</w:t>
      </w:r>
      <w:r w:rsidRPr="00EA3FBA">
        <w:rPr>
          <w:rFonts w:ascii="Arial" w:hAnsi="Arial" w:cs="Arial"/>
          <w:sz w:val="26"/>
          <w:szCs w:val="26"/>
          <w:lang w:val="es-ES_tradnl"/>
        </w:rPr>
        <w:t xml:space="preserve"> el parámetro de regularidad constitucional previsto en la Constitución General de la República, particularmente lo dispuesto en su numeral 1, de ahí que no sea posible que el legislador de la Ciudad de México </w:t>
      </w:r>
      <w:r w:rsidR="00D44CD9" w:rsidRPr="00B41ABB">
        <w:rPr>
          <w:rFonts w:ascii="Arial" w:hAnsi="Arial" w:cs="Arial"/>
          <w:sz w:val="26"/>
          <w:szCs w:val="26"/>
          <w:u w:val="single"/>
          <w:lang w:val="es-ES_tradnl"/>
        </w:rPr>
        <w:t>ampl</w:t>
      </w:r>
      <w:r w:rsidR="00D44CD9">
        <w:rPr>
          <w:rFonts w:ascii="Arial" w:hAnsi="Arial" w:cs="Arial"/>
          <w:sz w:val="26"/>
          <w:szCs w:val="26"/>
          <w:u w:val="single"/>
          <w:lang w:val="es-ES_tradnl"/>
        </w:rPr>
        <w:t>iara</w:t>
      </w:r>
      <w:r w:rsidR="00D44CD9" w:rsidRPr="00EA3FBA">
        <w:rPr>
          <w:rFonts w:ascii="Arial" w:hAnsi="Arial" w:cs="Arial"/>
          <w:sz w:val="26"/>
          <w:szCs w:val="26"/>
          <w:lang w:val="es-ES_tradnl"/>
        </w:rPr>
        <w:t xml:space="preserve"> </w:t>
      </w:r>
      <w:r w:rsidRPr="00EA3FBA">
        <w:rPr>
          <w:rFonts w:ascii="Arial" w:hAnsi="Arial" w:cs="Arial"/>
          <w:sz w:val="26"/>
          <w:szCs w:val="26"/>
          <w:lang w:val="es-ES_tradnl"/>
        </w:rPr>
        <w:t>indebidamente dicho parámetro y excluy</w:t>
      </w:r>
      <w:r w:rsidR="00D44CD9">
        <w:rPr>
          <w:rFonts w:ascii="Arial" w:hAnsi="Arial" w:cs="Arial"/>
          <w:sz w:val="26"/>
          <w:szCs w:val="26"/>
          <w:lang w:val="es-ES_tradnl"/>
        </w:rPr>
        <w:t>er</w:t>
      </w:r>
      <w:r w:rsidRPr="00EA3FBA">
        <w:rPr>
          <w:rFonts w:ascii="Arial" w:hAnsi="Arial" w:cs="Arial"/>
          <w:sz w:val="26"/>
          <w:szCs w:val="26"/>
          <w:lang w:val="es-ES_tradnl"/>
        </w:rPr>
        <w:t>a de su protección el resto de los derechos humanos que sí ampara</w:t>
      </w:r>
      <w:r w:rsidR="00D44CD9">
        <w:rPr>
          <w:rFonts w:ascii="Arial" w:hAnsi="Arial" w:cs="Arial"/>
          <w:sz w:val="26"/>
          <w:szCs w:val="26"/>
          <w:lang w:val="es-ES_tradnl"/>
        </w:rPr>
        <w:t>ba</w:t>
      </w:r>
      <w:r w:rsidRPr="00EA3FBA">
        <w:rPr>
          <w:rFonts w:ascii="Arial" w:hAnsi="Arial" w:cs="Arial"/>
          <w:sz w:val="26"/>
          <w:szCs w:val="26"/>
          <w:lang w:val="es-ES_tradnl"/>
        </w:rPr>
        <w:t xml:space="preserve"> el texto de la Ley Fundamental.</w:t>
      </w:r>
    </w:p>
    <w:p w14:paraId="1F963700" w14:textId="77777777" w:rsidR="00DF0D6A" w:rsidRDefault="00DF0D6A" w:rsidP="00EA3FBA">
      <w:pPr>
        <w:spacing w:line="360" w:lineRule="auto"/>
        <w:jc w:val="both"/>
        <w:rPr>
          <w:rFonts w:ascii="Arial" w:hAnsi="Arial" w:cs="Arial"/>
          <w:sz w:val="26"/>
          <w:szCs w:val="26"/>
          <w:lang w:val="es-ES_tradnl"/>
        </w:rPr>
      </w:pPr>
    </w:p>
    <w:p w14:paraId="0CDEAE45" w14:textId="3F37EFCD" w:rsidR="007B4B4F" w:rsidRPr="00EA3FBA" w:rsidRDefault="00DF0D6A" w:rsidP="00EA3FBA">
      <w:pPr>
        <w:spacing w:line="360" w:lineRule="auto"/>
        <w:jc w:val="both"/>
        <w:rPr>
          <w:rFonts w:ascii="Arial" w:hAnsi="Arial" w:cs="Arial"/>
          <w:sz w:val="26"/>
          <w:szCs w:val="26"/>
          <w:lang w:val="es-ES_tradnl"/>
        </w:rPr>
      </w:pPr>
      <w:r>
        <w:rPr>
          <w:rFonts w:ascii="Arial" w:hAnsi="Arial" w:cs="Arial"/>
          <w:sz w:val="26"/>
          <w:szCs w:val="26"/>
          <w:lang w:val="es-ES_tradnl"/>
        </w:rPr>
        <w:t xml:space="preserve">En la sentencia se citan </w:t>
      </w:r>
      <w:r>
        <w:rPr>
          <w:rFonts w:ascii="Arial" w:eastAsiaTheme="minorHAnsi" w:hAnsi="Arial" w:cs="Arial"/>
          <w:sz w:val="26"/>
          <w:szCs w:val="26"/>
          <w:lang w:val="es-MX" w:eastAsia="en-US"/>
        </w:rPr>
        <w:t>las</w:t>
      </w:r>
      <w:r w:rsidR="007B4B4F" w:rsidRPr="00EA3FBA">
        <w:rPr>
          <w:rFonts w:ascii="Arial" w:eastAsiaTheme="minorHAnsi" w:hAnsi="Arial" w:cs="Arial"/>
          <w:sz w:val="26"/>
          <w:szCs w:val="26"/>
          <w:lang w:val="es-MX" w:eastAsia="en-US"/>
        </w:rPr>
        <w:t xml:space="preserve"> consideraciones </w:t>
      </w:r>
      <w:r>
        <w:rPr>
          <w:rFonts w:ascii="Arial" w:eastAsiaTheme="minorHAnsi" w:hAnsi="Arial" w:cs="Arial"/>
          <w:sz w:val="26"/>
          <w:szCs w:val="26"/>
          <w:lang w:val="es-MX" w:eastAsia="en-US"/>
        </w:rPr>
        <w:t xml:space="preserve">del Pleno </w:t>
      </w:r>
      <w:r w:rsidR="007B4B4F" w:rsidRPr="00EA3FBA">
        <w:rPr>
          <w:rFonts w:ascii="Arial" w:eastAsiaTheme="minorHAnsi" w:hAnsi="Arial" w:cs="Arial"/>
          <w:sz w:val="26"/>
          <w:szCs w:val="26"/>
          <w:lang w:val="es-MX" w:eastAsia="en-US"/>
        </w:rPr>
        <w:t xml:space="preserve">en la acción de inconstitucionalidad 15/2017 y sus acumuladas 16/2017, 18/2017 y 19/2017, </w:t>
      </w:r>
      <w:r w:rsidR="007B4B4F" w:rsidRPr="00EA3FBA">
        <w:rPr>
          <w:rFonts w:ascii="Arial" w:hAnsi="Arial" w:cs="Arial"/>
          <w:sz w:val="26"/>
          <w:szCs w:val="26"/>
          <w:lang w:val="es-ES_tradnl"/>
        </w:rPr>
        <w:t>en cuanto a la fijación de un parámetro de regularidad constitucional local</w:t>
      </w:r>
      <w:r w:rsidR="008A632B">
        <w:rPr>
          <w:rFonts w:ascii="Arial" w:hAnsi="Arial" w:cs="Arial"/>
          <w:sz w:val="26"/>
          <w:szCs w:val="26"/>
          <w:lang w:val="es-ES_tradnl"/>
        </w:rPr>
        <w:t>,</w:t>
      </w:r>
      <w:r w:rsidR="007B4B4F" w:rsidRPr="00EA3FBA">
        <w:rPr>
          <w:rFonts w:ascii="Arial" w:hAnsi="Arial" w:cs="Arial"/>
          <w:sz w:val="26"/>
          <w:szCs w:val="26"/>
          <w:lang w:val="es-ES_tradnl"/>
        </w:rPr>
        <w:t xml:space="preserve"> </w:t>
      </w:r>
      <w:r w:rsidR="004620CC">
        <w:rPr>
          <w:rFonts w:ascii="Arial" w:hAnsi="Arial" w:cs="Arial"/>
          <w:sz w:val="26"/>
          <w:szCs w:val="26"/>
          <w:lang w:val="es-ES_tradnl"/>
        </w:rPr>
        <w:t>se indica que</w:t>
      </w:r>
      <w:r w:rsidR="007B4B4F" w:rsidRPr="00EA3FBA">
        <w:rPr>
          <w:rFonts w:ascii="Arial" w:hAnsi="Arial" w:cs="Arial"/>
          <w:sz w:val="26"/>
          <w:szCs w:val="26"/>
          <w:lang w:val="es-ES_tradnl"/>
        </w:rPr>
        <w:t xml:space="preserve"> </w:t>
      </w:r>
      <w:r w:rsidR="004620CC">
        <w:rPr>
          <w:rFonts w:ascii="Arial" w:hAnsi="Arial" w:cs="Arial"/>
          <w:sz w:val="26"/>
          <w:szCs w:val="26"/>
          <w:lang w:val="es-ES_tradnl"/>
        </w:rPr>
        <w:t>la C</w:t>
      </w:r>
      <w:r w:rsidR="007B4B4F" w:rsidRPr="00EA3FBA">
        <w:rPr>
          <w:rFonts w:ascii="Arial" w:hAnsi="Arial" w:cs="Arial"/>
          <w:sz w:val="26"/>
          <w:szCs w:val="26"/>
          <w:lang w:val="es-ES_tradnl"/>
        </w:rPr>
        <w:t xml:space="preserve">iudad de México </w:t>
      </w:r>
      <w:r w:rsidR="004620CC">
        <w:rPr>
          <w:rFonts w:ascii="Arial" w:hAnsi="Arial" w:cs="Arial"/>
          <w:sz w:val="26"/>
          <w:szCs w:val="26"/>
          <w:lang w:val="es-ES_tradnl"/>
        </w:rPr>
        <w:t xml:space="preserve">sí puede </w:t>
      </w:r>
      <w:r w:rsidR="007B4B4F" w:rsidRPr="00EA3FBA">
        <w:rPr>
          <w:rFonts w:ascii="Arial" w:hAnsi="Arial" w:cs="Arial"/>
          <w:sz w:val="26"/>
          <w:szCs w:val="26"/>
          <w:lang w:val="es-ES_tradnl"/>
        </w:rPr>
        <w:t xml:space="preserve">incluir </w:t>
      </w:r>
      <w:r w:rsidR="00771A6C">
        <w:rPr>
          <w:rFonts w:ascii="Arial" w:hAnsi="Arial" w:cs="Arial"/>
          <w:sz w:val="26"/>
          <w:szCs w:val="26"/>
          <w:lang w:val="es-ES_tradnl"/>
        </w:rPr>
        <w:t>en sus normas derech</w:t>
      </w:r>
      <w:r w:rsidR="007B4B4F" w:rsidRPr="00EA3FBA">
        <w:rPr>
          <w:rFonts w:ascii="Arial" w:hAnsi="Arial" w:cs="Arial"/>
          <w:sz w:val="26"/>
          <w:szCs w:val="26"/>
          <w:lang w:val="es-ES_tradnl"/>
        </w:rPr>
        <w:t xml:space="preserve">os humanos reconocidos en la Constitución General de la República y los instrumentos internacionales, </w:t>
      </w:r>
      <w:r w:rsidR="00771A6C">
        <w:rPr>
          <w:rFonts w:ascii="Arial" w:hAnsi="Arial" w:cs="Arial"/>
          <w:sz w:val="26"/>
          <w:szCs w:val="26"/>
          <w:lang w:val="es-ES_tradnl"/>
        </w:rPr>
        <w:t xml:space="preserve">así como </w:t>
      </w:r>
      <w:r w:rsidR="007B4B4F" w:rsidRPr="00EA3FBA">
        <w:rPr>
          <w:rFonts w:ascii="Arial" w:hAnsi="Arial" w:cs="Arial"/>
          <w:sz w:val="26"/>
          <w:szCs w:val="26"/>
          <w:lang w:val="es-ES_tradnl"/>
        </w:rPr>
        <w:t>añadir otros más reconocidos en la Constitución de la Ciudad de México.</w:t>
      </w:r>
    </w:p>
    <w:p w14:paraId="55D051B3" w14:textId="77777777" w:rsidR="007B4B4F" w:rsidRPr="00EA3FBA" w:rsidRDefault="007B4B4F" w:rsidP="00EA3FBA">
      <w:pPr>
        <w:spacing w:line="360" w:lineRule="auto"/>
        <w:jc w:val="both"/>
        <w:rPr>
          <w:rFonts w:ascii="Arial" w:hAnsi="Arial" w:cs="Arial"/>
          <w:sz w:val="26"/>
          <w:szCs w:val="26"/>
          <w:lang w:val="es-ES_tradnl"/>
        </w:rPr>
      </w:pPr>
    </w:p>
    <w:p w14:paraId="33DB288E" w14:textId="4B16FF33" w:rsidR="007B4B4F" w:rsidRPr="00EA3FBA" w:rsidRDefault="007B4B4F" w:rsidP="00EA3FBA">
      <w:pPr>
        <w:spacing w:line="360" w:lineRule="auto"/>
        <w:jc w:val="both"/>
        <w:rPr>
          <w:rFonts w:ascii="Arial" w:hAnsi="Arial" w:cs="Arial"/>
          <w:sz w:val="26"/>
          <w:szCs w:val="26"/>
          <w:lang w:val="es-ES_tradnl"/>
        </w:rPr>
      </w:pPr>
      <w:r w:rsidRPr="00EA3FBA">
        <w:rPr>
          <w:rFonts w:ascii="Arial" w:hAnsi="Arial" w:cs="Arial"/>
          <w:sz w:val="26"/>
          <w:szCs w:val="26"/>
          <w:lang w:val="es-ES_tradnl"/>
        </w:rPr>
        <w:t xml:space="preserve">Por consiguiente, </w:t>
      </w:r>
      <w:r w:rsidR="008F3E3B">
        <w:rPr>
          <w:rFonts w:ascii="Arial" w:hAnsi="Arial" w:cs="Arial"/>
          <w:sz w:val="26"/>
          <w:szCs w:val="26"/>
          <w:lang w:val="es-ES_tradnl"/>
        </w:rPr>
        <w:t xml:space="preserve">en la sentencia, retomando el precedente, </w:t>
      </w:r>
      <w:r w:rsidRPr="00EA3FBA">
        <w:rPr>
          <w:rFonts w:ascii="Arial" w:hAnsi="Arial" w:cs="Arial"/>
          <w:sz w:val="26"/>
          <w:szCs w:val="26"/>
          <w:lang w:val="es-ES_tradnl"/>
        </w:rPr>
        <w:t xml:space="preserve">se establece que </w:t>
      </w:r>
      <w:r w:rsidRPr="00EA3FBA">
        <w:rPr>
          <w:rFonts w:ascii="Arial" w:eastAsiaTheme="minorHAnsi" w:hAnsi="Arial" w:cs="Arial"/>
          <w:sz w:val="26"/>
          <w:szCs w:val="26"/>
          <w:lang w:val="es-MX" w:eastAsia="en-US"/>
        </w:rPr>
        <w:t xml:space="preserve">los derechos </w:t>
      </w:r>
      <w:r w:rsidRPr="00EA3FBA">
        <w:rPr>
          <w:rFonts w:ascii="Arial" w:hAnsi="Arial" w:cs="Arial"/>
          <w:sz w:val="26"/>
          <w:szCs w:val="26"/>
          <w:lang w:val="es-ES_tradnl"/>
        </w:rPr>
        <w:t xml:space="preserve">correspondientes a la materia de seguridad enumerados en el precepto impugnado de </w:t>
      </w:r>
      <w:r w:rsidR="00D44CD9">
        <w:rPr>
          <w:rFonts w:ascii="Arial" w:hAnsi="Arial" w:cs="Arial"/>
          <w:sz w:val="26"/>
          <w:szCs w:val="26"/>
          <w:lang w:val="es-ES_tradnl"/>
        </w:rPr>
        <w:t xml:space="preserve">ninguna </w:t>
      </w:r>
      <w:r w:rsidRPr="00EA3FBA">
        <w:rPr>
          <w:rFonts w:ascii="Arial" w:hAnsi="Arial" w:cs="Arial"/>
          <w:sz w:val="26"/>
          <w:szCs w:val="26"/>
          <w:lang w:val="es-ES_tradnl"/>
        </w:rPr>
        <w:t>manera excluye</w:t>
      </w:r>
      <w:r w:rsidR="00725ADE">
        <w:rPr>
          <w:rFonts w:ascii="Arial" w:hAnsi="Arial" w:cs="Arial"/>
          <w:sz w:val="26"/>
          <w:szCs w:val="26"/>
          <w:lang w:val="es-ES_tradnl"/>
        </w:rPr>
        <w:t>n</w:t>
      </w:r>
      <w:r w:rsidRPr="00EA3FBA">
        <w:rPr>
          <w:rFonts w:ascii="Arial" w:hAnsi="Arial" w:cs="Arial"/>
          <w:sz w:val="26"/>
          <w:szCs w:val="26"/>
          <w:lang w:val="es-ES_tradnl"/>
        </w:rPr>
        <w:t xml:space="preserve"> al resto de los derechos humanos previstos en la Constitución General de la República, incluidos los instrumentos internacionales fundamentales en la materia, debido a que trata del reconocimiento, conceptualización, matiz, </w:t>
      </w:r>
      <w:r w:rsidRPr="00EA3FBA">
        <w:rPr>
          <w:rFonts w:ascii="Arial" w:hAnsi="Arial" w:cs="Arial"/>
          <w:sz w:val="26"/>
          <w:szCs w:val="26"/>
          <w:u w:val="single"/>
          <w:lang w:val="es-ES_tradnl"/>
        </w:rPr>
        <w:t>ampliación</w:t>
      </w:r>
      <w:r w:rsidRPr="00EA3FBA">
        <w:rPr>
          <w:rFonts w:ascii="Arial" w:hAnsi="Arial" w:cs="Arial"/>
          <w:sz w:val="26"/>
          <w:szCs w:val="26"/>
          <w:lang w:val="es-ES_tradnl"/>
        </w:rPr>
        <w:t xml:space="preserve"> o desarrollo por parte del Congreso de la Ciudad de México respecto de los derechos humanos ya previstos en la Constitución General o en los diversos instrumentos internacionales en la materia, que en nada alteran su núcleo o contenido esencial.</w:t>
      </w:r>
    </w:p>
    <w:p w14:paraId="79AF91F8" w14:textId="748F1967" w:rsidR="007B4B4F" w:rsidRPr="00EA3FBA" w:rsidRDefault="007B4B4F" w:rsidP="00EA3FBA">
      <w:pPr>
        <w:spacing w:line="360" w:lineRule="auto"/>
        <w:jc w:val="both"/>
        <w:rPr>
          <w:rFonts w:ascii="Arial" w:hAnsi="Arial" w:cs="Arial"/>
          <w:sz w:val="26"/>
          <w:szCs w:val="26"/>
          <w:lang w:val="es-ES_tradnl"/>
        </w:rPr>
      </w:pPr>
    </w:p>
    <w:p w14:paraId="5F7FD4BF" w14:textId="77777777" w:rsidR="007B4B4F" w:rsidRPr="00EA3FBA" w:rsidRDefault="007B4B4F" w:rsidP="00EA3FBA">
      <w:pPr>
        <w:spacing w:line="360" w:lineRule="auto"/>
        <w:jc w:val="both"/>
        <w:rPr>
          <w:rFonts w:ascii="Arial" w:hAnsi="Arial" w:cs="Arial"/>
          <w:sz w:val="26"/>
          <w:szCs w:val="26"/>
          <w:lang w:val="es-ES_tradnl"/>
        </w:rPr>
      </w:pPr>
      <w:r w:rsidRPr="00EA3FBA">
        <w:rPr>
          <w:rFonts w:ascii="Arial" w:hAnsi="Arial" w:cs="Arial"/>
          <w:sz w:val="26"/>
          <w:szCs w:val="26"/>
          <w:lang w:val="es-ES_tradnl"/>
        </w:rPr>
        <w:t>Así, se establece que no representa en sí una alteración del parámetro de regularidad constitucional, sino una materialización del principio de progresividad.</w:t>
      </w:r>
    </w:p>
    <w:p w14:paraId="461194C1" w14:textId="77777777" w:rsidR="007B4B4F" w:rsidRPr="00EA3FBA" w:rsidRDefault="007B4B4F" w:rsidP="00EA3FBA">
      <w:pPr>
        <w:spacing w:line="360" w:lineRule="auto"/>
        <w:jc w:val="both"/>
        <w:rPr>
          <w:rFonts w:ascii="Arial" w:hAnsi="Arial" w:cs="Arial"/>
          <w:sz w:val="26"/>
          <w:szCs w:val="26"/>
          <w:lang w:val="es-ES_tradnl"/>
        </w:rPr>
      </w:pPr>
    </w:p>
    <w:p w14:paraId="2B848323" w14:textId="12802EC6" w:rsidR="007B4B4F" w:rsidRPr="00EA3FBA" w:rsidRDefault="007B4B4F" w:rsidP="00EA3FBA">
      <w:pPr>
        <w:autoSpaceDE w:val="0"/>
        <w:autoSpaceDN w:val="0"/>
        <w:adjustRightInd w:val="0"/>
        <w:spacing w:line="360" w:lineRule="auto"/>
        <w:jc w:val="both"/>
        <w:rPr>
          <w:rFonts w:ascii="Arial" w:hAnsi="Arial" w:cs="Arial"/>
          <w:sz w:val="26"/>
          <w:szCs w:val="26"/>
          <w:lang w:val="es-ES_tradnl"/>
        </w:rPr>
      </w:pPr>
      <w:r w:rsidRPr="00EA3FBA">
        <w:rPr>
          <w:rFonts w:ascii="Arial" w:eastAsiaTheme="minorHAnsi" w:hAnsi="Arial" w:cs="Arial"/>
          <w:sz w:val="26"/>
          <w:szCs w:val="26"/>
          <w:lang w:val="es-MX" w:eastAsia="en-US"/>
        </w:rPr>
        <w:t xml:space="preserve">Finalmente, se </w:t>
      </w:r>
      <w:r w:rsidR="00C6101C">
        <w:rPr>
          <w:rFonts w:ascii="Arial" w:eastAsiaTheme="minorHAnsi" w:hAnsi="Arial" w:cs="Arial"/>
          <w:sz w:val="26"/>
          <w:szCs w:val="26"/>
          <w:lang w:val="es-MX" w:eastAsia="en-US"/>
        </w:rPr>
        <w:t>precisa</w:t>
      </w:r>
      <w:r w:rsidRPr="00EA3FBA">
        <w:rPr>
          <w:rFonts w:ascii="Arial" w:eastAsiaTheme="minorHAnsi" w:hAnsi="Arial" w:cs="Arial"/>
          <w:sz w:val="26"/>
          <w:szCs w:val="26"/>
          <w:lang w:val="es-MX" w:eastAsia="en-US"/>
        </w:rPr>
        <w:t xml:space="preserve"> que el </w:t>
      </w:r>
      <w:r w:rsidRPr="00EA3FBA">
        <w:rPr>
          <w:rFonts w:ascii="Arial" w:hAnsi="Arial" w:cs="Arial"/>
          <w:sz w:val="26"/>
          <w:szCs w:val="26"/>
          <w:lang w:val="es-ES_tradnl"/>
        </w:rPr>
        <w:t xml:space="preserve">mismo razonamiento debe regir en cuanto al argumento de que el Congreso de la Unión excluyó del parámetro de regularidad constitucional a los transeúntes, ya que únicamente hace referencia a los habitantes de la Ciudad de México, debido a que la </w:t>
      </w:r>
      <w:r w:rsidRPr="00EA3FBA">
        <w:rPr>
          <w:rFonts w:ascii="Arial" w:hAnsi="Arial" w:cs="Arial"/>
          <w:sz w:val="26"/>
          <w:szCs w:val="26"/>
          <w:lang w:val="es-ES_tradnl"/>
        </w:rPr>
        <w:lastRenderedPageBreak/>
        <w:t>enunciación y modulación contenida en la norma impugnada, en nada afecta el parámetro de regularidad constitucional prevista en el artículo 1° de la Constitución Federal.</w:t>
      </w:r>
    </w:p>
    <w:p w14:paraId="15A79316" w14:textId="77777777" w:rsidR="007B4B4F" w:rsidRPr="00EA3FBA" w:rsidRDefault="007B4B4F" w:rsidP="00EA3FBA">
      <w:pPr>
        <w:autoSpaceDE w:val="0"/>
        <w:autoSpaceDN w:val="0"/>
        <w:adjustRightInd w:val="0"/>
        <w:spacing w:line="360" w:lineRule="auto"/>
        <w:jc w:val="both"/>
        <w:rPr>
          <w:rFonts w:ascii="Arial" w:hAnsi="Arial" w:cs="Arial"/>
          <w:sz w:val="26"/>
          <w:szCs w:val="26"/>
          <w:lang w:val="es-ES_tradnl"/>
        </w:rPr>
      </w:pPr>
    </w:p>
    <w:p w14:paraId="58C25D67" w14:textId="77777777" w:rsidR="007B4B4F" w:rsidRPr="00EA3FBA" w:rsidRDefault="007B4B4F" w:rsidP="00EA3FBA">
      <w:pPr>
        <w:autoSpaceDE w:val="0"/>
        <w:autoSpaceDN w:val="0"/>
        <w:adjustRightInd w:val="0"/>
        <w:spacing w:line="360" w:lineRule="auto"/>
        <w:jc w:val="both"/>
        <w:rPr>
          <w:rFonts w:ascii="Arial" w:hAnsi="Arial" w:cs="Arial"/>
          <w:sz w:val="26"/>
          <w:szCs w:val="26"/>
          <w:lang w:val="es-ES_tradnl"/>
        </w:rPr>
      </w:pPr>
      <w:r w:rsidRPr="00EA3FBA">
        <w:rPr>
          <w:rFonts w:ascii="Arial" w:hAnsi="Arial" w:cs="Arial"/>
          <w:sz w:val="26"/>
          <w:szCs w:val="26"/>
          <w:lang w:val="es-ES_tradnl"/>
        </w:rPr>
        <w:t xml:space="preserve">Es decir, el hecho de que el legislador de la Ciudad de México haya reconocido, reproducido, </w:t>
      </w:r>
      <w:r w:rsidRPr="00EA3FBA">
        <w:rPr>
          <w:rFonts w:ascii="Arial" w:hAnsi="Arial" w:cs="Arial"/>
          <w:sz w:val="26"/>
          <w:szCs w:val="26"/>
          <w:u w:val="single"/>
          <w:lang w:val="es-ES_tradnl"/>
        </w:rPr>
        <w:t>ampliado</w:t>
      </w:r>
      <w:r w:rsidRPr="00EA3FBA">
        <w:rPr>
          <w:rFonts w:ascii="Arial" w:hAnsi="Arial" w:cs="Arial"/>
          <w:sz w:val="26"/>
          <w:szCs w:val="26"/>
          <w:lang w:val="es-ES_tradnl"/>
        </w:rPr>
        <w:t xml:space="preserve"> o matizado, los derechos humanos previstos en la Constitución General y en los tratados internacionales aplicables, no significa que el cúmulo de derechos sean de aplicación y tutela exclusiva a los habitantes de la Ciudad de México.</w:t>
      </w:r>
    </w:p>
    <w:p w14:paraId="45125ECD" w14:textId="77777777" w:rsidR="00A03E1D" w:rsidRPr="00EA3FBA" w:rsidRDefault="00A03E1D" w:rsidP="00EA3FBA">
      <w:pPr>
        <w:spacing w:line="360" w:lineRule="auto"/>
        <w:jc w:val="both"/>
        <w:rPr>
          <w:rFonts w:ascii="Arial" w:hAnsi="Arial" w:cs="Arial"/>
          <w:sz w:val="26"/>
          <w:szCs w:val="26"/>
        </w:rPr>
      </w:pPr>
    </w:p>
    <w:p w14:paraId="67C1E131" w14:textId="28359FA2" w:rsidR="00B447D4" w:rsidRDefault="00094E9E" w:rsidP="00FD2631">
      <w:pPr>
        <w:pStyle w:val="Prrafodelista"/>
        <w:numPr>
          <w:ilvl w:val="0"/>
          <w:numId w:val="6"/>
        </w:numPr>
        <w:spacing w:line="360" w:lineRule="auto"/>
        <w:ind w:left="284"/>
        <w:jc w:val="both"/>
        <w:rPr>
          <w:rFonts w:ascii="Arial" w:hAnsi="Arial" w:cs="Arial"/>
          <w:b/>
          <w:bCs/>
          <w:sz w:val="26"/>
          <w:szCs w:val="26"/>
        </w:rPr>
      </w:pPr>
      <w:r>
        <w:rPr>
          <w:rFonts w:ascii="Arial" w:hAnsi="Arial" w:cs="Arial"/>
          <w:b/>
          <w:bCs/>
          <w:sz w:val="26"/>
          <w:szCs w:val="26"/>
        </w:rPr>
        <w:t>Se</w:t>
      </w:r>
      <w:r w:rsidR="00F9543C" w:rsidRPr="00EA3FBA">
        <w:rPr>
          <w:rFonts w:ascii="Arial" w:hAnsi="Arial" w:cs="Arial"/>
          <w:b/>
          <w:bCs/>
          <w:sz w:val="26"/>
          <w:szCs w:val="26"/>
        </w:rPr>
        <w:t>paración de consideraciones</w:t>
      </w:r>
      <w:r w:rsidR="00EA1513">
        <w:rPr>
          <w:rFonts w:ascii="Arial" w:hAnsi="Arial" w:cs="Arial"/>
          <w:b/>
          <w:bCs/>
          <w:sz w:val="26"/>
          <w:szCs w:val="26"/>
        </w:rPr>
        <w:t>.</w:t>
      </w:r>
    </w:p>
    <w:p w14:paraId="2C39D767" w14:textId="77777777" w:rsidR="00EA1513" w:rsidRPr="00EA3FBA" w:rsidRDefault="00EA1513" w:rsidP="00EA1513">
      <w:pPr>
        <w:pStyle w:val="Prrafodelista"/>
        <w:spacing w:line="360" w:lineRule="auto"/>
        <w:ind w:left="284"/>
        <w:jc w:val="both"/>
        <w:rPr>
          <w:rFonts w:ascii="Arial" w:hAnsi="Arial" w:cs="Arial"/>
          <w:b/>
          <w:bCs/>
          <w:sz w:val="26"/>
          <w:szCs w:val="26"/>
        </w:rPr>
      </w:pPr>
    </w:p>
    <w:p w14:paraId="40A0B012" w14:textId="2C25E328" w:rsidR="004F42B3" w:rsidRPr="00EA3FBA" w:rsidRDefault="00A67EEC" w:rsidP="00EA3FBA">
      <w:pPr>
        <w:spacing w:line="360" w:lineRule="auto"/>
        <w:jc w:val="both"/>
        <w:rPr>
          <w:rFonts w:ascii="Arial" w:hAnsi="Arial" w:cs="Arial"/>
          <w:sz w:val="26"/>
          <w:szCs w:val="26"/>
        </w:rPr>
      </w:pPr>
      <w:r>
        <w:rPr>
          <w:rFonts w:ascii="Arial" w:hAnsi="Arial" w:cs="Arial"/>
          <w:sz w:val="26"/>
          <w:szCs w:val="26"/>
        </w:rPr>
        <w:t>C</w:t>
      </w:r>
      <w:r w:rsidR="00AC69C4" w:rsidRPr="00EA3FBA">
        <w:rPr>
          <w:rFonts w:ascii="Arial" w:hAnsi="Arial" w:cs="Arial"/>
          <w:sz w:val="26"/>
          <w:szCs w:val="26"/>
        </w:rPr>
        <w:t xml:space="preserve">oincido con el reconocimiento de validez </w:t>
      </w:r>
      <w:r w:rsidR="00AC69C4" w:rsidRPr="00EA3FBA">
        <w:rPr>
          <w:rFonts w:ascii="Arial" w:eastAsia="Arial" w:hAnsi="Arial" w:cs="Arial"/>
          <w:sz w:val="26"/>
          <w:szCs w:val="26"/>
        </w:rPr>
        <w:t xml:space="preserve">del artículo </w:t>
      </w:r>
      <w:r w:rsidR="00AC69C4" w:rsidRPr="00EA3FBA">
        <w:rPr>
          <w:rFonts w:ascii="Arial" w:hAnsi="Arial" w:cs="Arial"/>
          <w:sz w:val="26"/>
          <w:szCs w:val="26"/>
          <w:lang w:val="es-ES_tradnl"/>
        </w:rPr>
        <w:t>8 de la Ley del Sistema de Seguridad Ciudadana de la Ciudad de México</w:t>
      </w:r>
      <w:r w:rsidR="00237384">
        <w:rPr>
          <w:rFonts w:ascii="Arial" w:eastAsia="Arial" w:hAnsi="Arial" w:cs="Arial"/>
          <w:sz w:val="26"/>
          <w:szCs w:val="26"/>
        </w:rPr>
        <w:t>;</w:t>
      </w:r>
      <w:r w:rsidR="00AC69C4" w:rsidRPr="00EA3FBA">
        <w:rPr>
          <w:rFonts w:ascii="Arial" w:eastAsia="Arial" w:hAnsi="Arial" w:cs="Arial"/>
          <w:sz w:val="26"/>
          <w:szCs w:val="26"/>
        </w:rPr>
        <w:t xml:space="preserve"> </w:t>
      </w:r>
      <w:r w:rsidR="00237384">
        <w:rPr>
          <w:rFonts w:ascii="Arial" w:eastAsia="Arial" w:hAnsi="Arial" w:cs="Arial"/>
          <w:sz w:val="26"/>
          <w:szCs w:val="26"/>
        </w:rPr>
        <w:t>s</w:t>
      </w:r>
      <w:r w:rsidR="00D44CD9">
        <w:rPr>
          <w:rFonts w:ascii="Arial" w:eastAsia="Arial" w:hAnsi="Arial" w:cs="Arial"/>
          <w:sz w:val="26"/>
          <w:szCs w:val="26"/>
        </w:rPr>
        <w:t xml:space="preserve">in embargo, </w:t>
      </w:r>
      <w:r w:rsidR="00AC69C4" w:rsidRPr="00EA3FBA">
        <w:rPr>
          <w:rFonts w:ascii="Arial" w:eastAsia="Arial" w:hAnsi="Arial" w:cs="Arial"/>
          <w:sz w:val="26"/>
          <w:szCs w:val="26"/>
        </w:rPr>
        <w:t>me separo de la</w:t>
      </w:r>
      <w:r w:rsidR="00AE2864">
        <w:rPr>
          <w:rFonts w:ascii="Arial" w:eastAsia="Arial" w:hAnsi="Arial" w:cs="Arial"/>
          <w:sz w:val="26"/>
          <w:szCs w:val="26"/>
        </w:rPr>
        <w:t>s</w:t>
      </w:r>
      <w:r w:rsidR="00AC69C4" w:rsidRPr="00EA3FBA">
        <w:rPr>
          <w:rFonts w:ascii="Arial" w:eastAsia="Arial" w:hAnsi="Arial" w:cs="Arial"/>
          <w:sz w:val="26"/>
          <w:szCs w:val="26"/>
        </w:rPr>
        <w:t xml:space="preserve"> consideraciones</w:t>
      </w:r>
      <w:r w:rsidR="00AC69C4" w:rsidRPr="00EA3FBA">
        <w:rPr>
          <w:rFonts w:ascii="Arial" w:hAnsi="Arial" w:cs="Arial"/>
          <w:sz w:val="26"/>
          <w:szCs w:val="26"/>
        </w:rPr>
        <w:t xml:space="preserve"> </w:t>
      </w:r>
      <w:r w:rsidR="00335554" w:rsidRPr="00EA3FBA">
        <w:rPr>
          <w:rFonts w:ascii="Arial" w:hAnsi="Arial" w:cs="Arial"/>
          <w:sz w:val="26"/>
          <w:szCs w:val="26"/>
        </w:rPr>
        <w:t xml:space="preserve">establecidas en </w:t>
      </w:r>
      <w:r w:rsidR="004F42B3" w:rsidRPr="00EA3FBA">
        <w:rPr>
          <w:rFonts w:ascii="Arial" w:hAnsi="Arial" w:cs="Arial"/>
          <w:sz w:val="26"/>
          <w:szCs w:val="26"/>
        </w:rPr>
        <w:t xml:space="preserve">la sentencia, relativas a la </w:t>
      </w:r>
      <w:r w:rsidR="004F42B3" w:rsidRPr="00EA3FBA">
        <w:rPr>
          <w:rFonts w:ascii="Arial" w:hAnsi="Arial" w:cs="Arial"/>
          <w:sz w:val="26"/>
          <w:szCs w:val="26"/>
          <w:lang w:val="es-ES_tradnl"/>
        </w:rPr>
        <w:t>ampliación de derechos humanos y</w:t>
      </w:r>
      <w:r w:rsidR="00D44CD9">
        <w:rPr>
          <w:rFonts w:ascii="Arial" w:hAnsi="Arial" w:cs="Arial"/>
          <w:sz w:val="26"/>
          <w:szCs w:val="26"/>
          <w:lang w:val="es-ES_tradnl"/>
        </w:rPr>
        <w:t>,</w:t>
      </w:r>
      <w:r w:rsidR="004F42B3" w:rsidRPr="00EA3FBA">
        <w:rPr>
          <w:rFonts w:ascii="Arial" w:hAnsi="Arial" w:cs="Arial"/>
          <w:sz w:val="26"/>
          <w:szCs w:val="26"/>
          <w:lang w:val="es-ES_tradnl"/>
        </w:rPr>
        <w:t xml:space="preserve"> en consecuencia</w:t>
      </w:r>
      <w:r w:rsidR="00D44CD9">
        <w:rPr>
          <w:rFonts w:ascii="Arial" w:hAnsi="Arial" w:cs="Arial"/>
          <w:sz w:val="26"/>
          <w:szCs w:val="26"/>
          <w:lang w:val="es-ES_tradnl"/>
        </w:rPr>
        <w:t>,</w:t>
      </w:r>
      <w:r w:rsidR="004F42B3" w:rsidRPr="00EA3FBA">
        <w:rPr>
          <w:rFonts w:ascii="Arial" w:hAnsi="Arial" w:cs="Arial"/>
          <w:sz w:val="26"/>
          <w:szCs w:val="26"/>
          <w:lang w:val="es-ES_tradnl"/>
        </w:rPr>
        <w:t xml:space="preserve"> </w:t>
      </w:r>
      <w:r w:rsidR="008C057A" w:rsidRPr="00EA3FBA">
        <w:rPr>
          <w:rFonts w:ascii="Arial" w:hAnsi="Arial" w:cs="Arial"/>
          <w:sz w:val="26"/>
          <w:szCs w:val="26"/>
          <w:lang w:val="es-ES_tradnl"/>
        </w:rPr>
        <w:t xml:space="preserve">de </w:t>
      </w:r>
      <w:r w:rsidR="004F42B3" w:rsidRPr="00EA3FBA">
        <w:rPr>
          <w:rFonts w:ascii="Arial" w:hAnsi="Arial" w:cs="Arial"/>
          <w:sz w:val="26"/>
          <w:szCs w:val="26"/>
          <w:lang w:val="es-ES_tradnl"/>
        </w:rPr>
        <w:t xml:space="preserve">la cita del precedente </w:t>
      </w:r>
      <w:r w:rsidR="009A781A" w:rsidRPr="00EA3FBA">
        <w:rPr>
          <w:rFonts w:ascii="Arial" w:hAnsi="Arial" w:cs="Arial"/>
          <w:sz w:val="26"/>
          <w:szCs w:val="26"/>
          <w:lang w:val="es-ES_tradnl"/>
        </w:rPr>
        <w:t>de la</w:t>
      </w:r>
      <w:r w:rsidR="004F42B3" w:rsidRPr="00EA3FBA">
        <w:rPr>
          <w:rFonts w:ascii="Arial" w:hAnsi="Arial" w:cs="Arial"/>
          <w:sz w:val="26"/>
          <w:szCs w:val="26"/>
          <w:lang w:val="es-ES_tradnl"/>
        </w:rPr>
        <w:t xml:space="preserve"> </w:t>
      </w:r>
      <w:r w:rsidR="004F42B3" w:rsidRPr="00EA3FBA">
        <w:rPr>
          <w:rFonts w:ascii="Arial" w:eastAsiaTheme="minorHAnsi" w:hAnsi="Arial" w:cs="Arial"/>
          <w:sz w:val="26"/>
          <w:szCs w:val="26"/>
          <w:lang w:val="es-MX" w:eastAsia="en-US"/>
        </w:rPr>
        <w:t xml:space="preserve">acción de inconstitucionalidad 15/2017 y sus acumuladas 16/2017, 18/2017 y 19/2017, en cuanto a la fijación </w:t>
      </w:r>
      <w:r w:rsidR="004F42B3" w:rsidRPr="00EA3FBA">
        <w:rPr>
          <w:rFonts w:ascii="Arial" w:hAnsi="Arial" w:cs="Arial"/>
          <w:sz w:val="26"/>
          <w:szCs w:val="26"/>
        </w:rPr>
        <w:t>de un parámetro de regularidad constitucional local, así como</w:t>
      </w:r>
      <w:r w:rsidR="00771A6C">
        <w:rPr>
          <w:rFonts w:ascii="Arial" w:hAnsi="Arial" w:cs="Arial"/>
          <w:sz w:val="26"/>
          <w:szCs w:val="26"/>
        </w:rPr>
        <w:t xml:space="preserve"> que la C</w:t>
      </w:r>
      <w:r w:rsidR="004F42B3" w:rsidRPr="00EA3FBA">
        <w:rPr>
          <w:rFonts w:ascii="Arial" w:hAnsi="Arial" w:cs="Arial"/>
          <w:sz w:val="26"/>
          <w:szCs w:val="26"/>
        </w:rPr>
        <w:t xml:space="preserve">iudad de México </w:t>
      </w:r>
      <w:r w:rsidR="00771A6C">
        <w:rPr>
          <w:rFonts w:ascii="Arial" w:hAnsi="Arial" w:cs="Arial"/>
          <w:sz w:val="26"/>
          <w:szCs w:val="26"/>
        </w:rPr>
        <w:t>s</w:t>
      </w:r>
      <w:r w:rsidR="00D44CD9">
        <w:rPr>
          <w:rFonts w:ascii="Arial" w:hAnsi="Arial" w:cs="Arial"/>
          <w:sz w:val="26"/>
          <w:szCs w:val="26"/>
        </w:rPr>
        <w:t>í</w:t>
      </w:r>
      <w:r w:rsidR="00771A6C">
        <w:rPr>
          <w:rFonts w:ascii="Arial" w:hAnsi="Arial" w:cs="Arial"/>
          <w:sz w:val="26"/>
          <w:szCs w:val="26"/>
        </w:rPr>
        <w:t xml:space="preserve"> puede </w:t>
      </w:r>
      <w:r w:rsidR="004F42B3" w:rsidRPr="00EA3FBA">
        <w:rPr>
          <w:rFonts w:ascii="Arial" w:hAnsi="Arial" w:cs="Arial"/>
          <w:sz w:val="26"/>
          <w:szCs w:val="26"/>
        </w:rPr>
        <w:t xml:space="preserve">incluir derechos humanos establecidos en la Constitución Federal y en los tratados internacionales, </w:t>
      </w:r>
      <w:r w:rsidR="00771A6C">
        <w:rPr>
          <w:rFonts w:ascii="Arial" w:hAnsi="Arial" w:cs="Arial"/>
          <w:sz w:val="26"/>
          <w:szCs w:val="26"/>
        </w:rPr>
        <w:t>así como añadir</w:t>
      </w:r>
      <w:r w:rsidR="004F42B3" w:rsidRPr="00EA3FBA">
        <w:rPr>
          <w:rFonts w:ascii="Arial" w:hAnsi="Arial" w:cs="Arial"/>
          <w:sz w:val="26"/>
          <w:szCs w:val="26"/>
        </w:rPr>
        <w:t xml:space="preserve"> otros</w:t>
      </w:r>
      <w:r w:rsidR="008A632B">
        <w:rPr>
          <w:rFonts w:ascii="Arial" w:hAnsi="Arial" w:cs="Arial"/>
          <w:sz w:val="26"/>
          <w:szCs w:val="26"/>
        </w:rPr>
        <w:t>. Mi separación únicamente se debe a que</w:t>
      </w:r>
      <w:r w:rsidR="00D44CD9">
        <w:rPr>
          <w:rFonts w:ascii="Arial" w:hAnsi="Arial" w:cs="Arial"/>
          <w:sz w:val="26"/>
          <w:szCs w:val="26"/>
        </w:rPr>
        <w:t xml:space="preserve"> estimo que</w:t>
      </w:r>
      <w:r w:rsidR="008A632B">
        <w:rPr>
          <w:rFonts w:ascii="Arial" w:hAnsi="Arial" w:cs="Arial"/>
          <w:sz w:val="26"/>
          <w:szCs w:val="26"/>
        </w:rPr>
        <w:t xml:space="preserve"> esas consideraciones </w:t>
      </w:r>
      <w:r w:rsidR="00D44CD9">
        <w:rPr>
          <w:rFonts w:ascii="Arial" w:hAnsi="Arial" w:cs="Arial"/>
          <w:sz w:val="26"/>
          <w:szCs w:val="26"/>
        </w:rPr>
        <w:t xml:space="preserve">son </w:t>
      </w:r>
      <w:r w:rsidR="00620776">
        <w:rPr>
          <w:rFonts w:ascii="Arial" w:hAnsi="Arial" w:cs="Arial"/>
          <w:sz w:val="26"/>
          <w:szCs w:val="26"/>
        </w:rPr>
        <w:t>innecesarias para abordar el cuestionamiento que se planteó</w:t>
      </w:r>
      <w:r w:rsidR="008A632B">
        <w:rPr>
          <w:rFonts w:ascii="Arial" w:hAnsi="Arial" w:cs="Arial"/>
          <w:sz w:val="26"/>
          <w:szCs w:val="26"/>
        </w:rPr>
        <w:t>.</w:t>
      </w:r>
    </w:p>
    <w:p w14:paraId="2AF379E6" w14:textId="77777777" w:rsidR="004F42B3" w:rsidRPr="00EA3FBA" w:rsidRDefault="004F42B3" w:rsidP="00EA3FBA">
      <w:pPr>
        <w:spacing w:line="360" w:lineRule="auto"/>
        <w:jc w:val="both"/>
        <w:rPr>
          <w:rFonts w:ascii="Arial" w:hAnsi="Arial" w:cs="Arial"/>
          <w:sz w:val="26"/>
          <w:szCs w:val="26"/>
        </w:rPr>
      </w:pPr>
    </w:p>
    <w:p w14:paraId="3FBC5E00" w14:textId="69428982" w:rsidR="00C23930" w:rsidRPr="00EA3FBA" w:rsidRDefault="008F3E3B" w:rsidP="00EA3FBA">
      <w:pPr>
        <w:autoSpaceDE w:val="0"/>
        <w:autoSpaceDN w:val="0"/>
        <w:adjustRightInd w:val="0"/>
        <w:spacing w:line="360" w:lineRule="auto"/>
        <w:jc w:val="both"/>
        <w:rPr>
          <w:rFonts w:ascii="Arial" w:hAnsi="Arial" w:cs="Arial"/>
          <w:sz w:val="26"/>
          <w:szCs w:val="26"/>
        </w:rPr>
      </w:pPr>
      <w:r>
        <w:rPr>
          <w:rFonts w:ascii="Arial" w:hAnsi="Arial" w:cs="Arial"/>
          <w:sz w:val="26"/>
          <w:szCs w:val="26"/>
        </w:rPr>
        <w:t>La alegación</w:t>
      </w:r>
      <w:r w:rsidR="00C23930" w:rsidRPr="00EA3FBA">
        <w:rPr>
          <w:rFonts w:ascii="Arial" w:hAnsi="Arial" w:cs="Arial"/>
          <w:sz w:val="26"/>
          <w:szCs w:val="26"/>
        </w:rPr>
        <w:t xml:space="preserve"> de la </w:t>
      </w:r>
      <w:r w:rsidR="00D44CD9">
        <w:rPr>
          <w:rFonts w:ascii="Arial" w:hAnsi="Arial" w:cs="Arial"/>
          <w:sz w:val="26"/>
          <w:szCs w:val="26"/>
        </w:rPr>
        <w:t>c</w:t>
      </w:r>
      <w:r w:rsidR="00C23930" w:rsidRPr="00EA3FBA">
        <w:rPr>
          <w:rFonts w:ascii="Arial" w:hAnsi="Arial" w:cs="Arial"/>
          <w:sz w:val="26"/>
          <w:szCs w:val="26"/>
        </w:rPr>
        <w:t>omisión accionante no está dirigid</w:t>
      </w:r>
      <w:r>
        <w:rPr>
          <w:rFonts w:ascii="Arial" w:hAnsi="Arial" w:cs="Arial"/>
          <w:sz w:val="26"/>
          <w:szCs w:val="26"/>
        </w:rPr>
        <w:t>a</w:t>
      </w:r>
      <w:r w:rsidR="00C23930" w:rsidRPr="00EA3FBA">
        <w:rPr>
          <w:rFonts w:ascii="Arial" w:hAnsi="Arial" w:cs="Arial"/>
          <w:sz w:val="26"/>
          <w:szCs w:val="26"/>
        </w:rPr>
        <w:t xml:space="preserve"> a </w:t>
      </w:r>
      <w:r w:rsidR="00C23930" w:rsidRPr="00FD2631">
        <w:rPr>
          <w:rFonts w:ascii="Arial" w:hAnsi="Arial" w:cs="Arial"/>
          <w:sz w:val="26"/>
          <w:szCs w:val="26"/>
        </w:rPr>
        <w:t>la ampliación de derechos humanos</w:t>
      </w:r>
      <w:r w:rsidR="00AC69C4" w:rsidRPr="00FD2631">
        <w:rPr>
          <w:rFonts w:ascii="Arial" w:hAnsi="Arial" w:cs="Arial"/>
          <w:sz w:val="26"/>
          <w:szCs w:val="26"/>
        </w:rPr>
        <w:t xml:space="preserve"> como se establece en la sentencia</w:t>
      </w:r>
      <w:r w:rsidR="00C23930" w:rsidRPr="00FD2631">
        <w:rPr>
          <w:rFonts w:ascii="Arial" w:hAnsi="Arial" w:cs="Arial"/>
          <w:sz w:val="26"/>
          <w:szCs w:val="26"/>
        </w:rPr>
        <w:t>, sino a que el precepto impugnado restringe el ejercicio de los derechos y limita la obligación del gobierno de la Ciudad de México de garantizar los derechos humanos</w:t>
      </w:r>
      <w:r w:rsidR="00C422B7" w:rsidRPr="00FD2631">
        <w:rPr>
          <w:rFonts w:ascii="Arial" w:hAnsi="Arial" w:cs="Arial"/>
          <w:sz w:val="26"/>
          <w:szCs w:val="26"/>
        </w:rPr>
        <w:t xml:space="preserve">, ya que </w:t>
      </w:r>
      <w:r w:rsidR="00C422B7" w:rsidRPr="00EA3FBA">
        <w:rPr>
          <w:rFonts w:ascii="Arial" w:hAnsi="Arial" w:cs="Arial"/>
          <w:sz w:val="26"/>
          <w:szCs w:val="26"/>
        </w:rPr>
        <w:t xml:space="preserve">solo se reduce a la protección de los que se establecen en ese precepto, lo que permite a las autoridades limitar la garantía de protección de derechos humanos </w:t>
      </w:r>
      <w:r w:rsidR="00845215" w:rsidRPr="00EA3FBA">
        <w:rPr>
          <w:rFonts w:ascii="Arial" w:hAnsi="Arial" w:cs="Arial"/>
          <w:sz w:val="26"/>
          <w:szCs w:val="26"/>
        </w:rPr>
        <w:t>previsto</w:t>
      </w:r>
      <w:r w:rsidR="00E74A99" w:rsidRPr="00EA3FBA">
        <w:rPr>
          <w:rFonts w:ascii="Arial" w:hAnsi="Arial" w:cs="Arial"/>
          <w:sz w:val="26"/>
          <w:szCs w:val="26"/>
        </w:rPr>
        <w:t>s</w:t>
      </w:r>
      <w:r w:rsidR="00C422B7" w:rsidRPr="00EA3FBA">
        <w:rPr>
          <w:rFonts w:ascii="Arial" w:hAnsi="Arial" w:cs="Arial"/>
          <w:sz w:val="26"/>
          <w:szCs w:val="26"/>
        </w:rPr>
        <w:t xml:space="preserve"> en el artículo </w:t>
      </w:r>
      <w:r w:rsidR="00FD2631" w:rsidRPr="00EA3FBA">
        <w:rPr>
          <w:rFonts w:ascii="Arial" w:hAnsi="Arial" w:cs="Arial"/>
          <w:sz w:val="26"/>
          <w:szCs w:val="26"/>
          <w:lang w:val="es-ES_tradnl"/>
        </w:rPr>
        <w:t xml:space="preserve">1° </w:t>
      </w:r>
      <w:r w:rsidR="002B069C" w:rsidRPr="00EA3FBA">
        <w:rPr>
          <w:rFonts w:ascii="Arial" w:hAnsi="Arial" w:cs="Arial"/>
          <w:sz w:val="26"/>
          <w:szCs w:val="26"/>
        </w:rPr>
        <w:t>de la Constitución Federal</w:t>
      </w:r>
      <w:r w:rsidR="00845215" w:rsidRPr="00EA3FBA">
        <w:rPr>
          <w:rFonts w:ascii="Arial" w:hAnsi="Arial" w:cs="Arial"/>
          <w:sz w:val="26"/>
          <w:szCs w:val="26"/>
        </w:rPr>
        <w:t xml:space="preserve"> únicamente a los establecidos en el</w:t>
      </w:r>
      <w:r w:rsidR="00845215" w:rsidRPr="00EA3FBA">
        <w:rPr>
          <w:rFonts w:ascii="Arial" w:hAnsi="Arial" w:cs="Arial"/>
          <w:sz w:val="26"/>
          <w:szCs w:val="26"/>
          <w:lang w:val="es-ES_tradnl"/>
        </w:rPr>
        <w:t xml:space="preserve"> artículo 8 de la Ley impugnada.</w:t>
      </w:r>
      <w:r w:rsidR="00C033E9">
        <w:rPr>
          <w:rFonts w:ascii="Arial" w:hAnsi="Arial" w:cs="Arial"/>
          <w:sz w:val="26"/>
          <w:szCs w:val="26"/>
          <w:lang w:val="es-ES_tradnl"/>
        </w:rPr>
        <w:t xml:space="preserve"> Por esta razón </w:t>
      </w:r>
      <w:r w:rsidR="00C033E9">
        <w:rPr>
          <w:rFonts w:ascii="Arial" w:hAnsi="Arial" w:cs="Arial"/>
          <w:sz w:val="26"/>
          <w:szCs w:val="26"/>
          <w:lang w:val="es-ES_tradnl"/>
        </w:rPr>
        <w:lastRenderedPageBreak/>
        <w:t>considero que las consideraciones de la sentencia que antes expuse no son las necesarias para abordar la temática.</w:t>
      </w:r>
    </w:p>
    <w:p w14:paraId="2C286223" w14:textId="244990FE" w:rsidR="00C23930" w:rsidRPr="00EA3FBA" w:rsidRDefault="00C23930" w:rsidP="00EA3FBA">
      <w:pPr>
        <w:autoSpaceDE w:val="0"/>
        <w:autoSpaceDN w:val="0"/>
        <w:adjustRightInd w:val="0"/>
        <w:spacing w:line="360" w:lineRule="auto"/>
        <w:jc w:val="both"/>
        <w:rPr>
          <w:rFonts w:ascii="Arial" w:hAnsi="Arial" w:cs="Arial"/>
          <w:sz w:val="26"/>
          <w:szCs w:val="26"/>
        </w:rPr>
      </w:pPr>
    </w:p>
    <w:p w14:paraId="1EE81F8C" w14:textId="0A758279" w:rsidR="00F965FB" w:rsidRPr="00EA3FBA" w:rsidRDefault="00C033E9" w:rsidP="0088484B">
      <w:pPr>
        <w:spacing w:line="360" w:lineRule="auto"/>
        <w:jc w:val="both"/>
        <w:rPr>
          <w:rFonts w:ascii="Arial" w:hAnsi="Arial" w:cs="Arial"/>
          <w:sz w:val="26"/>
          <w:szCs w:val="26"/>
          <w:lang w:val="es-ES_tradnl"/>
        </w:rPr>
      </w:pPr>
      <w:r>
        <w:rPr>
          <w:rFonts w:ascii="Arial" w:hAnsi="Arial" w:cs="Arial"/>
          <w:sz w:val="26"/>
          <w:szCs w:val="26"/>
        </w:rPr>
        <w:t>Por consiguiente, desde mi visión, l</w:t>
      </w:r>
      <w:r w:rsidR="00D22C28" w:rsidRPr="00EA3FBA">
        <w:rPr>
          <w:rFonts w:ascii="Arial" w:hAnsi="Arial" w:cs="Arial"/>
          <w:sz w:val="26"/>
          <w:szCs w:val="26"/>
        </w:rPr>
        <w:t xml:space="preserve">os derechos enumerados en el precepto impugnado se limitan a la materia de seguridad sin que se pretenda establecer todos los derechos que el gobierno de la Ciudad de México deba proteger o que se reconozcan a las personas en esa </w:t>
      </w:r>
      <w:r w:rsidR="00845215" w:rsidRPr="00EA3FBA">
        <w:rPr>
          <w:rFonts w:ascii="Arial" w:hAnsi="Arial" w:cs="Arial"/>
          <w:sz w:val="26"/>
          <w:szCs w:val="26"/>
        </w:rPr>
        <w:t>C</w:t>
      </w:r>
      <w:r w:rsidR="00D22C28" w:rsidRPr="00EA3FBA">
        <w:rPr>
          <w:rFonts w:ascii="Arial" w:hAnsi="Arial" w:cs="Arial"/>
          <w:sz w:val="26"/>
          <w:szCs w:val="26"/>
        </w:rPr>
        <w:t>iudad</w:t>
      </w:r>
      <w:r w:rsidR="00EF6F0C" w:rsidRPr="00EA3FBA">
        <w:rPr>
          <w:rFonts w:ascii="Arial" w:hAnsi="Arial" w:cs="Arial"/>
          <w:sz w:val="26"/>
          <w:szCs w:val="26"/>
        </w:rPr>
        <w:t xml:space="preserve">, pues tal como se expresa en la sentencia </w:t>
      </w:r>
      <w:r w:rsidR="00EF6F0C" w:rsidRPr="00F11017">
        <w:rPr>
          <w:rFonts w:ascii="Arial" w:hAnsi="Arial" w:cs="Arial"/>
          <w:i/>
          <w:iCs/>
          <w:sz w:val="26"/>
          <w:szCs w:val="26"/>
          <w:lang w:val="es-ES_tradnl"/>
        </w:rPr>
        <w:t>el gobierno es el principal ente a través del cual se manifiesta el poder público y es el mayor responsable de garantizar todos los derechos.</w:t>
      </w:r>
    </w:p>
    <w:p w14:paraId="7579179A" w14:textId="418B7511" w:rsidR="00D933CC" w:rsidRDefault="00D933CC" w:rsidP="00EA3FBA">
      <w:pPr>
        <w:spacing w:line="360" w:lineRule="auto"/>
        <w:jc w:val="both"/>
        <w:rPr>
          <w:rFonts w:ascii="Arial" w:hAnsi="Arial" w:cs="Arial"/>
          <w:b/>
          <w:bCs/>
          <w:sz w:val="26"/>
          <w:szCs w:val="26"/>
        </w:rPr>
      </w:pPr>
    </w:p>
    <w:p w14:paraId="1E16EC69" w14:textId="70784CD0" w:rsidR="00D933CC" w:rsidRDefault="00D933CC" w:rsidP="00EA3FBA">
      <w:pPr>
        <w:spacing w:line="360" w:lineRule="auto"/>
        <w:jc w:val="both"/>
        <w:rPr>
          <w:rFonts w:ascii="Arial" w:hAnsi="Arial" w:cs="Arial"/>
          <w:b/>
          <w:bCs/>
          <w:sz w:val="26"/>
          <w:szCs w:val="26"/>
        </w:rPr>
      </w:pPr>
    </w:p>
    <w:p w14:paraId="5227AB24" w14:textId="77777777" w:rsidR="00D933CC" w:rsidRPr="00EA3FBA" w:rsidRDefault="00D933CC" w:rsidP="00EA3FBA">
      <w:pPr>
        <w:spacing w:line="360" w:lineRule="auto"/>
        <w:jc w:val="both"/>
        <w:rPr>
          <w:rFonts w:ascii="Arial" w:hAnsi="Arial" w:cs="Arial"/>
          <w:b/>
          <w:bCs/>
          <w:sz w:val="26"/>
          <w:szCs w:val="26"/>
        </w:rPr>
      </w:pPr>
    </w:p>
    <w:p w14:paraId="07B8F768" w14:textId="44884A0D" w:rsidR="00D933CC" w:rsidRDefault="00B420C3" w:rsidP="00502B7F">
      <w:pPr>
        <w:spacing w:line="360" w:lineRule="auto"/>
        <w:jc w:val="center"/>
        <w:rPr>
          <w:rFonts w:ascii="Arial" w:eastAsiaTheme="minorHAnsi" w:hAnsi="Arial" w:cs="Arial"/>
          <w:b/>
          <w:sz w:val="26"/>
          <w:szCs w:val="26"/>
          <w:lang w:val="es-MX" w:eastAsia="en-US"/>
        </w:rPr>
      </w:pPr>
      <w:r w:rsidRPr="00EA3FBA">
        <w:rPr>
          <w:rFonts w:ascii="Arial" w:eastAsiaTheme="minorHAnsi" w:hAnsi="Arial" w:cs="Arial"/>
          <w:b/>
          <w:sz w:val="26"/>
          <w:szCs w:val="26"/>
          <w:lang w:val="es-MX" w:eastAsia="en-US"/>
        </w:rPr>
        <w:t>MINISTRO JAVIER LAYNEZ POTISEK</w:t>
      </w:r>
    </w:p>
    <w:p w14:paraId="3B8DAA5E" w14:textId="44CDA33A" w:rsidR="00237384" w:rsidRDefault="00237384" w:rsidP="00502B7F">
      <w:pPr>
        <w:spacing w:line="360" w:lineRule="auto"/>
        <w:jc w:val="center"/>
        <w:rPr>
          <w:rFonts w:ascii="Arial" w:eastAsiaTheme="minorHAnsi" w:hAnsi="Arial" w:cs="Arial"/>
          <w:b/>
          <w:sz w:val="26"/>
          <w:szCs w:val="26"/>
          <w:lang w:val="es-MX" w:eastAsia="en-US"/>
        </w:rPr>
      </w:pPr>
    </w:p>
    <w:p w14:paraId="1FFBC210" w14:textId="77777777" w:rsidR="00237384" w:rsidRDefault="00237384" w:rsidP="00502B7F">
      <w:pPr>
        <w:spacing w:line="360" w:lineRule="auto"/>
        <w:jc w:val="center"/>
        <w:rPr>
          <w:rFonts w:ascii="Arial" w:eastAsiaTheme="minorHAnsi" w:hAnsi="Arial" w:cs="Arial"/>
          <w:b/>
          <w:sz w:val="26"/>
          <w:szCs w:val="26"/>
          <w:lang w:val="es-MX" w:eastAsia="en-US"/>
        </w:rPr>
      </w:pPr>
    </w:p>
    <w:p w14:paraId="0595C95B" w14:textId="68812B12" w:rsidR="00D4432C" w:rsidRPr="00552A9E" w:rsidRDefault="00B420C3" w:rsidP="00626C23">
      <w:pPr>
        <w:spacing w:line="360" w:lineRule="auto"/>
        <w:jc w:val="right"/>
        <w:rPr>
          <w:rFonts w:ascii="Arial" w:hAnsi="Arial" w:cs="Arial"/>
          <w:bCs/>
        </w:rPr>
      </w:pP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Pr="00EA3FBA">
        <w:rPr>
          <w:rFonts w:ascii="Arial" w:eastAsiaTheme="minorHAnsi" w:hAnsi="Arial" w:cs="Arial"/>
          <w:b/>
          <w:sz w:val="26"/>
          <w:szCs w:val="26"/>
          <w:lang w:val="es-MX" w:eastAsia="en-US"/>
        </w:rPr>
        <w:tab/>
      </w:r>
      <w:r w:rsidR="00502B7F">
        <w:rPr>
          <w:rFonts w:ascii="Arial" w:eastAsiaTheme="minorHAnsi" w:hAnsi="Arial" w:cs="Arial"/>
          <w:bCs/>
          <w:lang w:val="es-MX" w:eastAsia="en-US"/>
        </w:rPr>
        <w:t>EZV</w:t>
      </w:r>
      <w:r w:rsidR="00552A9E" w:rsidRPr="00552A9E">
        <w:rPr>
          <w:rFonts w:ascii="Arial" w:eastAsiaTheme="minorHAnsi" w:hAnsi="Arial" w:cs="Arial"/>
          <w:bCs/>
          <w:lang w:val="es-MX" w:eastAsia="en-US"/>
        </w:rPr>
        <w:t>/</w:t>
      </w:r>
      <w:r w:rsidR="00502B7F">
        <w:rPr>
          <w:rFonts w:ascii="Arial" w:eastAsiaTheme="minorHAnsi" w:hAnsi="Arial" w:cs="Arial"/>
          <w:bCs/>
          <w:lang w:val="es-MX" w:eastAsia="en-US"/>
        </w:rPr>
        <w:t>ANM</w:t>
      </w:r>
    </w:p>
    <w:sectPr w:rsidR="00D4432C" w:rsidRPr="00552A9E" w:rsidSect="00D933CC">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7C87" w14:textId="77777777" w:rsidR="00210AF4" w:rsidRDefault="00210AF4" w:rsidP="00402291">
      <w:r>
        <w:separator/>
      </w:r>
    </w:p>
  </w:endnote>
  <w:endnote w:type="continuationSeparator" w:id="0">
    <w:p w14:paraId="3D46D357" w14:textId="77777777" w:rsidR="00210AF4" w:rsidRDefault="00210AF4" w:rsidP="004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08518"/>
      <w:docPartObj>
        <w:docPartGallery w:val="Page Numbers (Bottom of Page)"/>
        <w:docPartUnique/>
      </w:docPartObj>
    </w:sdtPr>
    <w:sdtContent>
      <w:p w14:paraId="0382273A" w14:textId="0ED7A9C0" w:rsidR="00894930" w:rsidRDefault="00894930">
        <w:pPr>
          <w:pStyle w:val="Piedepgina"/>
          <w:jc w:val="right"/>
        </w:pPr>
        <w:r>
          <w:fldChar w:fldCharType="begin"/>
        </w:r>
        <w:r>
          <w:instrText>PAGE   \* MERGEFORMAT</w:instrText>
        </w:r>
        <w:r>
          <w:fldChar w:fldCharType="separate"/>
        </w:r>
        <w:r>
          <w:t>2</w:t>
        </w:r>
        <w:r>
          <w:fldChar w:fldCharType="end"/>
        </w:r>
      </w:p>
    </w:sdtContent>
  </w:sdt>
  <w:p w14:paraId="1764334B" w14:textId="77777777" w:rsidR="00894930" w:rsidRDefault="008949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444D" w14:textId="77777777" w:rsidR="00210AF4" w:rsidRDefault="00210AF4" w:rsidP="00402291">
      <w:r>
        <w:separator/>
      </w:r>
    </w:p>
  </w:footnote>
  <w:footnote w:type="continuationSeparator" w:id="0">
    <w:p w14:paraId="3C32EA83" w14:textId="77777777" w:rsidR="00210AF4" w:rsidRDefault="00210AF4" w:rsidP="00402291">
      <w:r>
        <w:continuationSeparator/>
      </w:r>
    </w:p>
  </w:footnote>
  <w:footnote w:id="1">
    <w:p w14:paraId="52C96D99" w14:textId="77777777" w:rsidR="00BA6FBA" w:rsidRPr="008D4DD5" w:rsidRDefault="00BA6FBA" w:rsidP="00BA6FBA">
      <w:pPr>
        <w:pStyle w:val="Textonotapie"/>
        <w:jc w:val="both"/>
        <w:rPr>
          <w:rFonts w:ascii="Arial" w:hAnsi="Arial" w:cs="Arial"/>
          <w:sz w:val="18"/>
          <w:szCs w:val="18"/>
        </w:rPr>
      </w:pPr>
      <w:r>
        <w:rPr>
          <w:rStyle w:val="Refdenotaalpie"/>
        </w:rPr>
        <w:footnoteRef/>
      </w:r>
      <w:r w:rsidRPr="008D4DD5">
        <w:rPr>
          <w:rFonts w:ascii="Arial" w:hAnsi="Arial" w:cs="Arial"/>
          <w:sz w:val="18"/>
          <w:szCs w:val="18"/>
        </w:rPr>
        <w:t xml:space="preserve"> </w:t>
      </w:r>
      <w:r w:rsidRPr="008D4DD5">
        <w:rPr>
          <w:rFonts w:ascii="Arial" w:hAnsi="Arial" w:cs="Arial"/>
          <w:b/>
          <w:sz w:val="18"/>
          <w:szCs w:val="18"/>
        </w:rPr>
        <w:t>Artículo 19 de la Ley Reglamentaria</w:t>
      </w:r>
      <w:r w:rsidRPr="008D4DD5">
        <w:rPr>
          <w:rFonts w:ascii="Arial" w:hAnsi="Arial" w:cs="Arial"/>
          <w:sz w:val="18"/>
          <w:szCs w:val="18"/>
        </w:rPr>
        <w:t>. Las controversias constitucionales son improcedentes: (…)</w:t>
      </w:r>
    </w:p>
    <w:p w14:paraId="514B49A0" w14:textId="057CB867" w:rsidR="00BA6FBA" w:rsidRPr="008D4DD5" w:rsidRDefault="00BA6FBA" w:rsidP="00BA6FBA">
      <w:pPr>
        <w:pStyle w:val="Textonotapie"/>
        <w:jc w:val="both"/>
        <w:rPr>
          <w:rFonts w:ascii="Arial" w:hAnsi="Arial" w:cs="Arial"/>
          <w:sz w:val="18"/>
          <w:szCs w:val="18"/>
        </w:rPr>
      </w:pPr>
      <w:r w:rsidRPr="00C32996">
        <w:rPr>
          <w:rFonts w:ascii="Arial" w:hAnsi="Arial" w:cs="Arial"/>
          <w:b/>
          <w:bCs/>
          <w:sz w:val="18"/>
          <w:szCs w:val="18"/>
        </w:rPr>
        <w:t>V.</w:t>
      </w:r>
      <w:r w:rsidRPr="008D4DD5">
        <w:rPr>
          <w:rFonts w:ascii="Arial" w:hAnsi="Arial" w:cs="Arial"/>
          <w:sz w:val="18"/>
          <w:szCs w:val="18"/>
        </w:rPr>
        <w:t xml:space="preserve"> Cuando hayan cesado los efectos de la norma general o acto materia de la controversia; (…)</w:t>
      </w:r>
    </w:p>
  </w:footnote>
  <w:footnote w:id="2">
    <w:p w14:paraId="505471FD" w14:textId="77777777" w:rsidR="00BA6FBA" w:rsidRPr="008D4DD5" w:rsidRDefault="00BA6FBA" w:rsidP="00BA6FBA">
      <w:pPr>
        <w:pStyle w:val="Textonotapie"/>
        <w:jc w:val="both"/>
        <w:rPr>
          <w:rFonts w:ascii="Arial" w:hAnsi="Arial" w:cs="Arial"/>
          <w:sz w:val="18"/>
          <w:szCs w:val="18"/>
        </w:rPr>
      </w:pPr>
      <w:r w:rsidRPr="008D4DD5">
        <w:rPr>
          <w:rStyle w:val="Refdenotaalpie"/>
          <w:rFonts w:ascii="Arial" w:hAnsi="Arial" w:cs="Arial"/>
          <w:sz w:val="18"/>
          <w:szCs w:val="18"/>
        </w:rPr>
        <w:footnoteRef/>
      </w:r>
      <w:r w:rsidRPr="008D4DD5">
        <w:rPr>
          <w:rFonts w:ascii="Arial" w:hAnsi="Arial" w:cs="Arial"/>
          <w:sz w:val="18"/>
          <w:szCs w:val="18"/>
        </w:rPr>
        <w:t xml:space="preserve"> Tesis P. /J. 25/2016 (10a.) emitida por el Tribunal Pleno de rubro y texto:</w:t>
      </w:r>
      <w:r w:rsidRPr="008D4DD5">
        <w:rPr>
          <w:rFonts w:ascii="Arial" w:hAnsi="Arial" w:cs="Arial"/>
          <w:b/>
          <w:sz w:val="18"/>
          <w:szCs w:val="18"/>
        </w:rPr>
        <w:t xml:space="preserve"> </w:t>
      </w:r>
      <w:r w:rsidRPr="008D4DD5">
        <w:rPr>
          <w:rFonts w:ascii="Arial" w:hAnsi="Arial" w:cs="Arial"/>
          <w:b/>
          <w:i/>
          <w:sz w:val="18"/>
          <w:szCs w:val="18"/>
        </w:rPr>
        <w:t>ACCIÓN DE INCONSTITUCIONALIDAD. LINEAMIENTOS MÍNIMOS REQUERIDOS PARA CONSIDERAR QUE LA NUEVA NORMA GENERAL IMPUGNADA CONSTITUYE UN NUEVO ACTO LEGISLATIVO</w:t>
      </w:r>
      <w:r w:rsidRPr="008D4DD5">
        <w:rPr>
          <w:rFonts w:ascii="Arial" w:hAnsi="Arial" w:cs="Arial"/>
          <w:i/>
          <w:sz w:val="18"/>
          <w:szCs w:val="18"/>
        </w:rPr>
        <w:t xml:space="preserve">. Para considerar que se está en presencia de un nuevo acto legislativo para efectos de su impugnación o sobreseimiento por cesación de efectos en una acción de inconstitucionalidad deben reunirse, al menos, los siguientes dos aspectos: a) Que se haya llevado a cabo un proceso legislativo (criterio formal); y b) Que la modificación normativa sea sustantiva o material. El primer aspecto conlleva el desahogo y agotamiento de las diferentes fases o etapas del procedimiento legislativo: iniciativa, dictamen, discusión, aprobación, promulgación y publicación; mientras que el segundo, consistente en que la modificación sea sustantiva o material, se actualiza cuando existan verdaderos cambios normativos que modifiquen la trascendencia, el contenido o el alcance del precepto, de este modo una modificación al sentido normativo será un nuevo acto legislativo. Este nuevo entendimiento, pretende que a través de la vía de acción de inconstitucionalidad se controlen cambios normativos reales que afecten la esencia de la institución jurídica que se relacione con el cambio normativo al que fue sujeto y que deriva precisamente del producto del órgano legislativo, y no sólo cambios de palabras o cuestiones menores propias de la técnica legislativa tales como, por ejemplo, variación en el número de fracción o de párrafo de un artículo, el mero ajuste en la ubicación de los textos, o cambios de nombres de entes, dependencias y organismos. Tampoco bastará una nueva publicación de la norma para que se considere nuevo acto legislativo ni que se reproduzca íntegramente la norma general, pues se insiste en que la modificación debe producir un efecto normativo en el texto de la disposición al que pertenece el propio sistema. </w:t>
      </w:r>
      <w:r w:rsidRPr="008D4DD5">
        <w:rPr>
          <w:rFonts w:ascii="Arial" w:hAnsi="Arial" w:cs="Arial"/>
          <w:sz w:val="18"/>
          <w:szCs w:val="18"/>
        </w:rPr>
        <w:t xml:space="preserve">Visible en el Semanario Judicial de la Federación y en su Gaceta, Décima Época, Libro 35, Tomo I, </w:t>
      </w:r>
      <w:r w:rsidRPr="008D4DD5">
        <w:rPr>
          <w:rFonts w:ascii="Arial" w:hAnsi="Arial" w:cs="Arial"/>
          <w:sz w:val="18"/>
          <w:szCs w:val="18"/>
        </w:rPr>
        <w:t>Octubre de dos mil dieciséis, registro 2012802, página 65.</w:t>
      </w:r>
    </w:p>
  </w:footnote>
  <w:footnote w:id="3">
    <w:p w14:paraId="192E68D1" w14:textId="313C4220" w:rsidR="00793CF7" w:rsidRPr="0043196D" w:rsidRDefault="00793CF7" w:rsidP="00D410BC">
      <w:pPr>
        <w:pStyle w:val="Textonotapie"/>
        <w:jc w:val="both"/>
        <w:rPr>
          <w:rFonts w:ascii="Arial" w:hAnsi="Arial" w:cs="Arial"/>
          <w:lang w:val="es-MX"/>
        </w:rPr>
      </w:pPr>
      <w:r w:rsidRPr="0043196D">
        <w:rPr>
          <w:rStyle w:val="Refdenotaalpie"/>
          <w:rFonts w:ascii="Arial" w:hAnsi="Arial" w:cs="Arial"/>
        </w:rPr>
        <w:footnoteRef/>
      </w:r>
      <w:r w:rsidRPr="0043196D">
        <w:rPr>
          <w:rFonts w:ascii="Arial" w:hAnsi="Arial" w:cs="Arial"/>
        </w:rPr>
        <w:t xml:space="preserve"> </w:t>
      </w:r>
      <w:r w:rsidR="00D410BC" w:rsidRPr="0043196D">
        <w:rPr>
          <w:rFonts w:ascii="Arial" w:hAnsi="Arial" w:cs="Arial"/>
        </w:rPr>
        <w:t>Garantía de audiencia, formalidades esenciales del procedimiento y debido proceso, a partir de que a consideración de las accionantes el Congreso local omitió consignar en el ordenamiento impugnado, los procedimientos necesarios para oír a los interesados; que se les brinde la oportunidad de defensa de manera previa a la imposición de la sanción o el correctivo disciplinario correspondiente, particularmente tratándose del arresto administrativo; la suspensión preventiva y la correctiva, así como la destitución del elemento de seguridad pública del instituto policial, con lo cual a su consideración se vulneraban los artículos 1 y 14, párrafo segundo, de la Constitución General de la República, 9 y 14 del Pacto Internacional de Derechos Civiles y Políticos, así como 7 y 8 de la Convención Americana sobre Derechos Humanos.</w:t>
      </w:r>
    </w:p>
  </w:footnote>
  <w:footnote w:id="4">
    <w:p w14:paraId="3D310320" w14:textId="77777777" w:rsidR="00496A63" w:rsidRPr="00001FFC" w:rsidRDefault="00496A63" w:rsidP="00496A63">
      <w:pPr>
        <w:tabs>
          <w:tab w:val="left" w:pos="0"/>
        </w:tabs>
        <w:jc w:val="both"/>
        <w:rPr>
          <w:rFonts w:ascii="Arial" w:hAnsi="Arial" w:cs="Arial"/>
          <w:b/>
          <w:sz w:val="18"/>
          <w:szCs w:val="18"/>
        </w:rPr>
      </w:pPr>
      <w:r w:rsidRPr="008D4DD5">
        <w:rPr>
          <w:rStyle w:val="Refdenotaalpie"/>
          <w:rFonts w:ascii="Arial" w:hAnsi="Arial" w:cs="Arial"/>
          <w:sz w:val="18"/>
          <w:szCs w:val="18"/>
        </w:rPr>
        <w:footnoteRef/>
      </w:r>
      <w:r w:rsidRPr="008D4DD5">
        <w:rPr>
          <w:rFonts w:ascii="Arial" w:hAnsi="Arial" w:cs="Arial"/>
          <w:sz w:val="18"/>
          <w:szCs w:val="18"/>
        </w:rPr>
        <w:t xml:space="preserve"> Tesis jurisprudencial P. / J. 36/2004, emitida por el Tribunal Pleno, de rubro y texto: “</w:t>
      </w:r>
      <w:r w:rsidRPr="008D4DD5">
        <w:rPr>
          <w:rFonts w:ascii="Arial" w:hAnsi="Arial" w:cs="Arial"/>
          <w:b/>
          <w:i/>
          <w:sz w:val="18"/>
          <w:szCs w:val="18"/>
        </w:rPr>
        <w:t xml:space="preserve">ACCIÓN DE INCONSTITUCIONALIDAD. SI SE HACE VALER UNA CAUSAL DE IMPROCEDENCIA QUE INVOLUCRA EL ESTUDIO DE FONDO, DEBERÁ DESESTIMARSE. </w:t>
      </w:r>
      <w:r w:rsidRPr="008D4DD5">
        <w:rPr>
          <w:rFonts w:ascii="Arial" w:hAnsi="Arial" w:cs="Arial"/>
          <w:i/>
          <w:sz w:val="18"/>
          <w:szCs w:val="18"/>
        </w:rPr>
        <w:t>La Suprema Corte de Justicia de la Nación ha sostenido que las causales de improcedencia propuestas en los juicios de amparo deben ser claras e inobjetables, de lo que se desprende que si en una acción de inconstitucionalidad se hace valer una causal que involucra una argumentación íntimamente relacionada con el fondo del negocio, debe desestimarse y, de no operar otro motivo de improcedencia estudiar los conceptos de invalidez”</w:t>
      </w:r>
      <w:r w:rsidRPr="008D4DD5">
        <w:rPr>
          <w:rFonts w:ascii="Arial" w:hAnsi="Arial" w:cs="Arial"/>
          <w:sz w:val="18"/>
          <w:szCs w:val="18"/>
        </w:rPr>
        <w:t>. Visible en el Semanario Judicial de la Federación y su Gaceta, Tomo XIX, junio de dos mil cuatro, registro 181395, página 865.</w:t>
      </w:r>
    </w:p>
  </w:footnote>
  <w:footnote w:id="5">
    <w:p w14:paraId="5C5F730E" w14:textId="66E275A1" w:rsidR="00C04C52" w:rsidRPr="00FA20A6" w:rsidRDefault="00C04C52" w:rsidP="00C04C52">
      <w:pPr>
        <w:pStyle w:val="Textonotapie"/>
        <w:jc w:val="both"/>
        <w:rPr>
          <w:rFonts w:ascii="Arial" w:hAnsi="Arial" w:cs="Arial"/>
        </w:rPr>
      </w:pPr>
      <w:r w:rsidRPr="00FA20A6">
        <w:rPr>
          <w:rStyle w:val="Refdenotaalpie"/>
          <w:rFonts w:ascii="Arial" w:hAnsi="Arial" w:cs="Arial"/>
        </w:rPr>
        <w:footnoteRef/>
      </w:r>
      <w:r w:rsidRPr="00FA20A6">
        <w:rPr>
          <w:rFonts w:ascii="Arial" w:hAnsi="Arial" w:cs="Arial"/>
        </w:rPr>
        <w:t xml:space="preserve"> </w:t>
      </w:r>
      <w:r w:rsidR="009F6A5C">
        <w:rPr>
          <w:rFonts w:ascii="Arial" w:hAnsi="Arial" w:cs="Arial"/>
        </w:rPr>
        <w:t>“</w:t>
      </w:r>
      <w:r w:rsidRPr="00FA20A6">
        <w:rPr>
          <w:rFonts w:ascii="Arial" w:hAnsi="Arial" w:cs="Arial"/>
          <w:b/>
        </w:rPr>
        <w:t>Artículo 105 de la Constitución Federal</w:t>
      </w:r>
      <w:r w:rsidRPr="00FA20A6">
        <w:rPr>
          <w:rFonts w:ascii="Arial" w:hAnsi="Arial" w:cs="Arial"/>
        </w:rPr>
        <w:t>. La Suprema Corte de Justicia de la Nación conocerá, en los términos que señale la ley reglamentaria, de los asuntos siguientes: […]</w:t>
      </w:r>
    </w:p>
    <w:p w14:paraId="54CDC324" w14:textId="77777777" w:rsidR="00C04C52" w:rsidRPr="00FA20A6" w:rsidRDefault="00C04C52" w:rsidP="00C04C52">
      <w:pPr>
        <w:pStyle w:val="Textonotapie"/>
        <w:jc w:val="both"/>
        <w:rPr>
          <w:rFonts w:ascii="Arial" w:hAnsi="Arial" w:cs="Arial"/>
        </w:rPr>
      </w:pPr>
      <w:r w:rsidRPr="00FA20A6">
        <w:rPr>
          <w:rFonts w:ascii="Arial" w:hAnsi="Arial" w:cs="Arial"/>
        </w:rPr>
        <w:t>II. De las acciones de inconstitucionalidad que tengan por objeto plantear la posible contradicción entre una norma de carácter general y esta Constitución. […]</w:t>
      </w:r>
    </w:p>
    <w:p w14:paraId="74C41ADC" w14:textId="57948FB4" w:rsidR="00C04C52" w:rsidRPr="003E1D9D" w:rsidRDefault="00C04C52" w:rsidP="00C04C52">
      <w:pPr>
        <w:pStyle w:val="Textonotapie"/>
        <w:jc w:val="both"/>
        <w:rPr>
          <w:sz w:val="18"/>
          <w:szCs w:val="18"/>
        </w:rPr>
      </w:pPr>
      <w:r w:rsidRPr="00FA20A6">
        <w:rPr>
          <w:rFonts w:ascii="Arial" w:hAnsi="Arial" w:cs="Arial"/>
        </w:rP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 […]</w:t>
      </w:r>
      <w:r w:rsidR="009F6A5C">
        <w:rPr>
          <w:rFonts w:ascii="Arial" w:hAnsi="Arial" w:cs="Arial"/>
        </w:rPr>
        <w:t>”</w:t>
      </w:r>
    </w:p>
  </w:footnote>
  <w:footnote w:id="6">
    <w:p w14:paraId="15F09C3F" w14:textId="364C6608" w:rsidR="0016438B" w:rsidRPr="0016438B" w:rsidRDefault="00673822" w:rsidP="0016438B">
      <w:pPr>
        <w:spacing w:line="276" w:lineRule="auto"/>
        <w:ind w:right="618"/>
        <w:jc w:val="both"/>
        <w:rPr>
          <w:rFonts w:ascii="Arial" w:hAnsi="Arial" w:cs="Arial"/>
          <w:i/>
          <w:iCs/>
        </w:rPr>
      </w:pPr>
      <w:r w:rsidRPr="0016438B">
        <w:rPr>
          <w:rStyle w:val="Refdenotaalpie"/>
          <w:rFonts w:ascii="Arial" w:hAnsi="Arial" w:cs="Arial"/>
          <w:i/>
          <w:iCs/>
        </w:rPr>
        <w:footnoteRef/>
      </w:r>
      <w:r w:rsidRPr="0016438B">
        <w:rPr>
          <w:rFonts w:ascii="Arial" w:hAnsi="Arial" w:cs="Arial"/>
          <w:i/>
          <w:iCs/>
        </w:rPr>
        <w:t xml:space="preserve"> </w:t>
      </w:r>
      <w:r w:rsidR="0016438B">
        <w:rPr>
          <w:rFonts w:ascii="Arial" w:hAnsi="Arial" w:cs="Arial"/>
          <w:i/>
          <w:iCs/>
        </w:rPr>
        <w:t>“</w:t>
      </w:r>
      <w:r w:rsidR="0016438B" w:rsidRPr="003C038A">
        <w:rPr>
          <w:rFonts w:ascii="Arial" w:hAnsi="Arial" w:cs="Arial"/>
          <w:b/>
          <w:bCs/>
          <w:i/>
          <w:iCs/>
        </w:rPr>
        <w:t>Artículo 42.</w:t>
      </w:r>
      <w:r w:rsidR="0016438B" w:rsidRPr="0016438B">
        <w:rPr>
          <w:rFonts w:ascii="Arial" w:hAnsi="Arial" w:cs="Arial"/>
          <w:i/>
          <w:iCs/>
        </w:rPr>
        <w:t xml:space="preserve"> El Consejo Ciudadano contará con las siguientes atribuciones:</w:t>
      </w:r>
    </w:p>
    <w:p w14:paraId="4AA6D7DB" w14:textId="77777777" w:rsidR="0016438B" w:rsidRPr="0016438B" w:rsidRDefault="0016438B" w:rsidP="0016438B">
      <w:pPr>
        <w:pStyle w:val="Estilo"/>
        <w:spacing w:line="276" w:lineRule="auto"/>
        <w:ind w:right="618"/>
        <w:rPr>
          <w:rFonts w:cs="Arial"/>
          <w:i/>
          <w:iCs/>
          <w:sz w:val="20"/>
          <w:szCs w:val="20"/>
        </w:rPr>
      </w:pPr>
      <w:r w:rsidRPr="0016438B">
        <w:rPr>
          <w:rFonts w:cs="Arial"/>
          <w:i/>
          <w:iCs/>
          <w:sz w:val="20"/>
          <w:szCs w:val="20"/>
        </w:rPr>
        <w:t>(…)</w:t>
      </w:r>
    </w:p>
    <w:p w14:paraId="7DB3C485" w14:textId="2BF30C5C" w:rsidR="0016438B" w:rsidRDefault="0016438B" w:rsidP="0016438B">
      <w:pPr>
        <w:pStyle w:val="Estilo"/>
        <w:spacing w:line="276" w:lineRule="auto"/>
        <w:ind w:right="618"/>
        <w:rPr>
          <w:rFonts w:cs="Arial"/>
          <w:i/>
          <w:iCs/>
          <w:sz w:val="20"/>
          <w:szCs w:val="20"/>
        </w:rPr>
      </w:pPr>
      <w:r w:rsidRPr="003C038A">
        <w:rPr>
          <w:rFonts w:cs="Arial"/>
          <w:b/>
          <w:bCs/>
          <w:i/>
          <w:iCs/>
          <w:sz w:val="20"/>
          <w:szCs w:val="20"/>
        </w:rPr>
        <w:t>XI.</w:t>
      </w:r>
      <w:r w:rsidRPr="0016438B">
        <w:rPr>
          <w:rFonts w:cs="Arial"/>
          <w:i/>
          <w:iCs/>
          <w:sz w:val="20"/>
          <w:szCs w:val="20"/>
        </w:rPr>
        <w:t xml:space="preserve"> Recibir, evaluar, canalizar y formular denuncias por violaciones a derechos humanos cometidas por instituciones o servidores en materia de cultura cívica, seguridad ciudadana y procuración de justicia.</w:t>
      </w:r>
    </w:p>
    <w:p w14:paraId="4734CF11" w14:textId="0CF50793" w:rsidR="00673822" w:rsidRPr="00673822" w:rsidRDefault="0016438B" w:rsidP="00894930">
      <w:pPr>
        <w:pStyle w:val="Estilo"/>
        <w:spacing w:line="276" w:lineRule="auto"/>
        <w:ind w:right="618"/>
      </w:pPr>
      <w:r>
        <w:rPr>
          <w:rFonts w:cs="Arial"/>
          <w:i/>
          <w:iCs/>
          <w:sz w:val="20"/>
          <w:szCs w:val="20"/>
        </w:rPr>
        <w:t>(…)”</w:t>
      </w:r>
    </w:p>
  </w:footnote>
  <w:footnote w:id="7">
    <w:p w14:paraId="3F9409A4" w14:textId="4A35EDA9" w:rsidR="00825EAC" w:rsidRPr="00825EAC" w:rsidRDefault="00825EAC" w:rsidP="00825EAC">
      <w:pPr>
        <w:spacing w:before="240"/>
        <w:ind w:right="-284"/>
        <w:jc w:val="both"/>
        <w:rPr>
          <w:rFonts w:ascii="Arial" w:hAnsi="Arial" w:cs="Arial"/>
          <w:i/>
          <w:iCs/>
          <w:lang w:val="es-ES_tradnl"/>
        </w:rPr>
      </w:pPr>
      <w:r w:rsidRPr="00825EAC">
        <w:rPr>
          <w:rStyle w:val="Refdenotaalpie"/>
          <w:rFonts w:ascii="Arial" w:hAnsi="Arial" w:cs="Arial"/>
        </w:rPr>
        <w:footnoteRef/>
      </w:r>
      <w:r w:rsidRPr="00825EAC">
        <w:rPr>
          <w:rFonts w:ascii="Arial" w:hAnsi="Arial" w:cs="Arial"/>
        </w:rPr>
        <w:t xml:space="preserve"> </w:t>
      </w:r>
      <w:r w:rsidRPr="00825EAC">
        <w:rPr>
          <w:rFonts w:ascii="Arial" w:hAnsi="Arial" w:cs="Arial"/>
          <w:i/>
          <w:iCs/>
        </w:rPr>
        <w:t>“</w:t>
      </w:r>
      <w:r w:rsidRPr="00825EAC">
        <w:rPr>
          <w:rFonts w:ascii="Arial" w:hAnsi="Arial" w:cs="Arial"/>
          <w:i/>
          <w:iCs/>
          <w:lang w:val="es-ES_tradnl"/>
        </w:rPr>
        <w:t xml:space="preserve">Por el contrario, dicha expresión únicamente se circunscribe al análisis y participación ciudadana para delimitar y proponer las políticas públicas a seguir en las materia de cultura cívica, seguridad ciudadana, procuración de justicia, atención a víctimas del delito, así como reinserción y reintegración social y familiar, dentro de las cuales pudiere desprenderse que en el ejercicio valorativo de la actuación de dichas actividades se advierta algún hecho o presunta violación a algún derecho humano, supuesto en el cual, en términos de lo previsto en el artículo 42, fracción XI, de la Ley de Sistema de Seguridad Ciudadana, en relación con el diverso 48, punto 4, inciso c, de la Constitución de la Ciudad de México, el Consejo ciudadano, </w:t>
      </w:r>
      <w:r w:rsidRPr="00825EAC">
        <w:rPr>
          <w:rFonts w:ascii="Arial" w:hAnsi="Arial" w:cs="Arial"/>
          <w:b/>
          <w:i/>
          <w:iCs/>
          <w:lang w:val="es-ES_tradnl"/>
        </w:rPr>
        <w:t>instará</w:t>
      </w:r>
      <w:r w:rsidRPr="00825EAC">
        <w:rPr>
          <w:rFonts w:ascii="Arial" w:hAnsi="Arial" w:cs="Arial"/>
          <w:i/>
          <w:iCs/>
          <w:lang w:val="es-ES_tradnl"/>
        </w:rPr>
        <w:t xml:space="preserve"> a la Comisión de Derechos Humanos para que ésta en el uso de sus atribuciones constitucionales, proceda a iniciar la investigación correspondiente y, en su caso, emita la recomendación pública que estime conducente.”</w:t>
      </w:r>
    </w:p>
    <w:p w14:paraId="767D59E4" w14:textId="2D42AD06" w:rsidR="00825EAC" w:rsidRPr="00825EAC" w:rsidRDefault="00825EAC">
      <w:pPr>
        <w:pStyle w:val="Textonotapie"/>
        <w:rPr>
          <w:lang w:val="es-MX"/>
        </w:rPr>
      </w:pPr>
    </w:p>
  </w:footnote>
  <w:footnote w:id="8">
    <w:p w14:paraId="5FA5B264" w14:textId="77777777" w:rsidR="00D14744" w:rsidRPr="006E5495" w:rsidRDefault="00D14744" w:rsidP="00D14744">
      <w:pPr>
        <w:rPr>
          <w:rFonts w:ascii="Arial" w:hAnsi="Arial" w:cs="Arial"/>
          <w:i/>
          <w:iCs/>
          <w:lang w:val="es-ES_tradnl"/>
        </w:rPr>
      </w:pPr>
      <w:r w:rsidRPr="00D14744">
        <w:rPr>
          <w:rStyle w:val="Refdenotaalpie"/>
          <w:rFonts w:ascii="Arial" w:hAnsi="Arial" w:cs="Arial"/>
        </w:rPr>
        <w:footnoteRef/>
      </w:r>
      <w:r w:rsidRPr="00D14744">
        <w:rPr>
          <w:rFonts w:ascii="Arial" w:hAnsi="Arial" w:cs="Arial"/>
        </w:rPr>
        <w:t xml:space="preserve"> </w:t>
      </w:r>
      <w:r w:rsidRPr="006E5495">
        <w:rPr>
          <w:rFonts w:ascii="Arial" w:hAnsi="Arial" w:cs="Arial"/>
          <w:i/>
          <w:iCs/>
          <w:lang w:val="es-ES_tradnl"/>
        </w:rPr>
        <w:t>“</w:t>
      </w:r>
      <w:r w:rsidRPr="00EA1513">
        <w:rPr>
          <w:rFonts w:ascii="Arial" w:hAnsi="Arial" w:cs="Arial"/>
          <w:b/>
          <w:bCs/>
          <w:i/>
          <w:iCs/>
          <w:lang w:val="es-ES_tradnl"/>
        </w:rPr>
        <w:t>Artículo 8.</w:t>
      </w:r>
      <w:r w:rsidRPr="006E5495">
        <w:rPr>
          <w:rFonts w:ascii="Arial" w:hAnsi="Arial" w:cs="Arial"/>
          <w:i/>
          <w:iCs/>
          <w:lang w:val="es-ES_tradnl"/>
        </w:rPr>
        <w:t xml:space="preserve"> Los derechos en materia de seguridad que el Gobierno de la Ciudad de México tiene la obligación de garantizar a sus habitantes, son los siguientes:</w:t>
      </w:r>
    </w:p>
    <w:p w14:paraId="72B98483"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I. Convivencia pacífica y solidaria;</w:t>
      </w:r>
    </w:p>
    <w:p w14:paraId="521D7BCB"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II. Vivir libre de amenazas generadas por el ejercicio de las violencias y los delitos;</w:t>
      </w:r>
    </w:p>
    <w:p w14:paraId="5022EB4B"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III. Seguridad frente al delito;</w:t>
      </w:r>
    </w:p>
    <w:p w14:paraId="66A98033"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IV. No violencia interpersonal o social;</w:t>
      </w:r>
    </w:p>
    <w:p w14:paraId="0FA80A35"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V. Vida;</w:t>
      </w:r>
    </w:p>
    <w:p w14:paraId="3C9C5963"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VI. Integridad física;</w:t>
      </w:r>
    </w:p>
    <w:p w14:paraId="551E0567"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VII. Libertad personal;</w:t>
      </w:r>
    </w:p>
    <w:p w14:paraId="7BC22378"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VIII. Uso pacífico de los bienes;</w:t>
      </w:r>
    </w:p>
    <w:p w14:paraId="61D7B7BD"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IX. Garantías procesales;</w:t>
      </w:r>
    </w:p>
    <w:p w14:paraId="2BB0C552"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X. Protección judicial;</w:t>
      </w:r>
    </w:p>
    <w:p w14:paraId="378EB7B3"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XI. Privacidad y a la protección de la honra y la dignidad;</w:t>
      </w:r>
    </w:p>
    <w:p w14:paraId="792A30DB"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XII. Libertad de expresión;</w:t>
      </w:r>
    </w:p>
    <w:p w14:paraId="62A131CD"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XIII. Libertad de reunión y asociación y</w:t>
      </w:r>
    </w:p>
    <w:p w14:paraId="5D006335"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XIV. Participación de los ciudadanos.</w:t>
      </w:r>
    </w:p>
    <w:p w14:paraId="72EACB02" w14:textId="77777777" w:rsidR="00D14744" w:rsidRPr="006E5495" w:rsidRDefault="00D14744" w:rsidP="00D14744">
      <w:pPr>
        <w:rPr>
          <w:rFonts w:ascii="Arial" w:hAnsi="Arial" w:cs="Arial"/>
          <w:i/>
          <w:iCs/>
          <w:lang w:val="es-ES_tradnl"/>
        </w:rPr>
      </w:pPr>
      <w:r w:rsidRPr="006E5495">
        <w:rPr>
          <w:rFonts w:ascii="Arial" w:hAnsi="Arial" w:cs="Arial"/>
          <w:i/>
          <w:iCs/>
          <w:lang w:val="es-ES_tradnl"/>
        </w:rPr>
        <w:t>Las acciones para proteger los derechos en materia de seguridad ciudadana deberán ejecutarse con enfoque diferenciado y perspectiva de género para los grupos de atención prioritaria frente a la violencia y el delito.”</w:t>
      </w:r>
    </w:p>
    <w:p w14:paraId="2451D7BE" w14:textId="347AF500" w:rsidR="00D14744" w:rsidRPr="00D14744" w:rsidRDefault="00D14744">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ED2" w14:textId="78984AF2" w:rsidR="00402291" w:rsidRDefault="00402291" w:rsidP="00402291">
    <w:pPr>
      <w:spacing w:line="276" w:lineRule="auto"/>
      <w:ind w:left="2832"/>
      <w:jc w:val="both"/>
      <w:rPr>
        <w:rFonts w:ascii="Arial" w:hAnsi="Arial" w:cs="Arial"/>
        <w:b/>
        <w:lang w:val="es-MX"/>
      </w:rPr>
    </w:pPr>
    <w:r w:rsidRPr="00E31B7C">
      <w:rPr>
        <w:rFonts w:ascii="Arial" w:hAnsi="Arial" w:cs="Arial"/>
        <w:b/>
        <w:lang w:val="es-MX"/>
      </w:rPr>
      <w:t>VOTO</w:t>
    </w:r>
    <w:r w:rsidR="00A81E15">
      <w:rPr>
        <w:rFonts w:ascii="Arial" w:hAnsi="Arial" w:cs="Arial"/>
        <w:b/>
        <w:lang w:val="es-MX"/>
      </w:rPr>
      <w:t xml:space="preserve"> PARTICULAR</w:t>
    </w:r>
    <w:r w:rsidR="0049705D">
      <w:rPr>
        <w:rFonts w:ascii="Arial" w:hAnsi="Arial" w:cs="Arial"/>
        <w:b/>
        <w:lang w:val="es-MX"/>
      </w:rPr>
      <w:t>,</w:t>
    </w:r>
    <w:r w:rsidR="00A81E15">
      <w:rPr>
        <w:rFonts w:ascii="Arial" w:hAnsi="Arial" w:cs="Arial"/>
        <w:b/>
        <w:lang w:val="es-MX"/>
      </w:rPr>
      <w:t xml:space="preserve"> ACLARATORIO</w:t>
    </w:r>
    <w:r w:rsidRPr="00E31B7C">
      <w:rPr>
        <w:rFonts w:ascii="Arial" w:hAnsi="Arial" w:cs="Arial"/>
        <w:b/>
        <w:lang w:val="es-MX"/>
      </w:rPr>
      <w:t xml:space="preserve"> </w:t>
    </w:r>
    <w:r w:rsidR="0049705D">
      <w:rPr>
        <w:rFonts w:ascii="Arial" w:hAnsi="Arial" w:cs="Arial"/>
        <w:b/>
        <w:lang w:val="es-MX"/>
      </w:rPr>
      <w:t xml:space="preserve">Y CONCURRENTE </w:t>
    </w:r>
    <w:r w:rsidRPr="00E31B7C">
      <w:rPr>
        <w:rFonts w:ascii="Arial" w:hAnsi="Arial" w:cs="Arial"/>
        <w:b/>
        <w:lang w:val="es-MX"/>
      </w:rPr>
      <w:t xml:space="preserve">QUE FORMULA EL MINISTRO JAVIER LAYNEZ POTISEK EN LA ACCIÓN DE INCONSTITUCIONALIDAD </w:t>
    </w:r>
    <w:r w:rsidR="00E31B7C" w:rsidRPr="00E31B7C">
      <w:rPr>
        <w:rFonts w:ascii="Arial" w:hAnsi="Arial" w:cs="Arial"/>
        <w:b/>
        <w:lang w:val="es-MX"/>
      </w:rPr>
      <w:t>95/2019 Y SU ACUMULADA 98/2019</w:t>
    </w:r>
    <w:r w:rsidR="0020089B">
      <w:rPr>
        <w:rFonts w:ascii="Arial" w:hAnsi="Arial" w:cs="Arial"/>
        <w:b/>
        <w:lang w:val="es-MX"/>
      </w:rPr>
      <w:t>.</w:t>
    </w:r>
  </w:p>
  <w:p w14:paraId="61BC0828" w14:textId="77777777" w:rsidR="000478CF" w:rsidRPr="00E31B7C" w:rsidRDefault="000478CF" w:rsidP="00402291">
    <w:pPr>
      <w:spacing w:line="276" w:lineRule="auto"/>
      <w:ind w:left="2832"/>
      <w:jc w:val="both"/>
      <w:rPr>
        <w:rFonts w:ascii="Arial" w:hAnsi="Arial" w:cs="Arial"/>
        <w:b/>
        <w:lang w:val="es-MX"/>
      </w:rPr>
    </w:pPr>
  </w:p>
  <w:p w14:paraId="0916726E" w14:textId="77777777" w:rsidR="00402291" w:rsidRDefault="00402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1DEE"/>
    <w:multiLevelType w:val="hybridMultilevel"/>
    <w:tmpl w:val="53AA324A"/>
    <w:lvl w:ilvl="0" w:tplc="1AF452B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57F1BDA"/>
    <w:multiLevelType w:val="hybridMultilevel"/>
    <w:tmpl w:val="2AA8ED76"/>
    <w:lvl w:ilvl="0" w:tplc="F59ADFA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04305"/>
    <w:multiLevelType w:val="hybridMultilevel"/>
    <w:tmpl w:val="C93455BC"/>
    <w:lvl w:ilvl="0" w:tplc="7F926E66">
      <w:start w:val="19"/>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446FC3"/>
    <w:multiLevelType w:val="hybridMultilevel"/>
    <w:tmpl w:val="EDF45D82"/>
    <w:lvl w:ilvl="0" w:tplc="3DEAA6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4768F0"/>
    <w:multiLevelType w:val="hybridMultilevel"/>
    <w:tmpl w:val="059A5D20"/>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5" w15:restartNumberingAfterBreak="0">
    <w:nsid w:val="52972CF0"/>
    <w:multiLevelType w:val="hybridMultilevel"/>
    <w:tmpl w:val="43CA2F2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6" w15:restartNumberingAfterBreak="0">
    <w:nsid w:val="534367C2"/>
    <w:multiLevelType w:val="hybridMultilevel"/>
    <w:tmpl w:val="7A1AC7D2"/>
    <w:lvl w:ilvl="0" w:tplc="790C1D12">
      <w:start w:val="1"/>
      <w:numFmt w:val="decimal"/>
      <w:lvlText w:val="%1."/>
      <w:lvlJc w:val="left"/>
      <w:pPr>
        <w:ind w:left="1920" w:hanging="360"/>
      </w:pPr>
      <w:rPr>
        <w:rFonts w:ascii="Arial" w:hAnsi="Arial" w:cs="Arial" w:hint="default"/>
        <w:b w:val="0"/>
        <w:i w:val="0"/>
        <w:sz w:val="26"/>
        <w:szCs w:val="26"/>
      </w:rPr>
    </w:lvl>
    <w:lvl w:ilvl="1" w:tplc="080A0011">
      <w:start w:val="1"/>
      <w:numFmt w:val="decimal"/>
      <w:lvlText w:val="%2)"/>
      <w:lvlJc w:val="left"/>
      <w:pPr>
        <w:ind w:left="1515" w:hanging="435"/>
      </w:pPr>
      <w:rPr>
        <w:rFonts w:hint="default"/>
        <w:b/>
        <w:sz w:val="26"/>
        <w:szCs w:val="26"/>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46426B"/>
    <w:multiLevelType w:val="hybridMultilevel"/>
    <w:tmpl w:val="70D88D6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332559556">
    <w:abstractNumId w:val="2"/>
  </w:num>
  <w:num w:numId="2" w16cid:durableId="1477140563">
    <w:abstractNumId w:val="4"/>
  </w:num>
  <w:num w:numId="3" w16cid:durableId="1628009616">
    <w:abstractNumId w:val="6"/>
  </w:num>
  <w:num w:numId="4" w16cid:durableId="1755589603">
    <w:abstractNumId w:val="0"/>
  </w:num>
  <w:num w:numId="5" w16cid:durableId="740913005">
    <w:abstractNumId w:val="5"/>
  </w:num>
  <w:num w:numId="6" w16cid:durableId="1855878229">
    <w:abstractNumId w:val="7"/>
  </w:num>
  <w:num w:numId="7" w16cid:durableId="1186754394">
    <w:abstractNumId w:val="3"/>
  </w:num>
  <w:num w:numId="8" w16cid:durableId="104984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91"/>
    <w:rsid w:val="000356CB"/>
    <w:rsid w:val="00036AE9"/>
    <w:rsid w:val="00041041"/>
    <w:rsid w:val="000476E4"/>
    <w:rsid w:val="000478CF"/>
    <w:rsid w:val="00064A5E"/>
    <w:rsid w:val="000654E8"/>
    <w:rsid w:val="0008457F"/>
    <w:rsid w:val="00093F2C"/>
    <w:rsid w:val="00094E9E"/>
    <w:rsid w:val="00097D2C"/>
    <w:rsid w:val="000C49B7"/>
    <w:rsid w:val="000D14D9"/>
    <w:rsid w:val="000D462F"/>
    <w:rsid w:val="000E19B1"/>
    <w:rsid w:val="000E2F95"/>
    <w:rsid w:val="000F60D6"/>
    <w:rsid w:val="001106B0"/>
    <w:rsid w:val="00113A09"/>
    <w:rsid w:val="001313D1"/>
    <w:rsid w:val="00142107"/>
    <w:rsid w:val="00143196"/>
    <w:rsid w:val="001468A5"/>
    <w:rsid w:val="00151E2F"/>
    <w:rsid w:val="0016438B"/>
    <w:rsid w:val="00164799"/>
    <w:rsid w:val="001701F5"/>
    <w:rsid w:val="00173866"/>
    <w:rsid w:val="00174BB1"/>
    <w:rsid w:val="00186E41"/>
    <w:rsid w:val="00193C29"/>
    <w:rsid w:val="001A423F"/>
    <w:rsid w:val="001B7935"/>
    <w:rsid w:val="001C5001"/>
    <w:rsid w:val="001C7EB6"/>
    <w:rsid w:val="001E7CF8"/>
    <w:rsid w:val="001F0E2A"/>
    <w:rsid w:val="001F14C3"/>
    <w:rsid w:val="001F5D81"/>
    <w:rsid w:val="001F68E7"/>
    <w:rsid w:val="0020089B"/>
    <w:rsid w:val="00203B63"/>
    <w:rsid w:val="00210AF4"/>
    <w:rsid w:val="00210B8E"/>
    <w:rsid w:val="00212F38"/>
    <w:rsid w:val="002221BA"/>
    <w:rsid w:val="002223DC"/>
    <w:rsid w:val="00226D59"/>
    <w:rsid w:val="002272D4"/>
    <w:rsid w:val="00230D76"/>
    <w:rsid w:val="00233ABD"/>
    <w:rsid w:val="00234407"/>
    <w:rsid w:val="00237384"/>
    <w:rsid w:val="00247DF9"/>
    <w:rsid w:val="002554F3"/>
    <w:rsid w:val="00257E96"/>
    <w:rsid w:val="00261E72"/>
    <w:rsid w:val="00270D8F"/>
    <w:rsid w:val="00282CB6"/>
    <w:rsid w:val="00287EAB"/>
    <w:rsid w:val="002A2C10"/>
    <w:rsid w:val="002A2E45"/>
    <w:rsid w:val="002B069C"/>
    <w:rsid w:val="002B5EFF"/>
    <w:rsid w:val="002F0911"/>
    <w:rsid w:val="00335554"/>
    <w:rsid w:val="00343196"/>
    <w:rsid w:val="00344B3A"/>
    <w:rsid w:val="0038389E"/>
    <w:rsid w:val="003A0741"/>
    <w:rsid w:val="003B1697"/>
    <w:rsid w:val="003C038A"/>
    <w:rsid w:val="003C3910"/>
    <w:rsid w:val="003C4188"/>
    <w:rsid w:val="003C766A"/>
    <w:rsid w:val="003D324D"/>
    <w:rsid w:val="003E62D4"/>
    <w:rsid w:val="003F262F"/>
    <w:rsid w:val="00402291"/>
    <w:rsid w:val="00404CAB"/>
    <w:rsid w:val="0041010D"/>
    <w:rsid w:val="0041581D"/>
    <w:rsid w:val="0043196D"/>
    <w:rsid w:val="00441760"/>
    <w:rsid w:val="00446B42"/>
    <w:rsid w:val="0045086C"/>
    <w:rsid w:val="00452CE1"/>
    <w:rsid w:val="00454F52"/>
    <w:rsid w:val="00460735"/>
    <w:rsid w:val="004620CC"/>
    <w:rsid w:val="00474B0F"/>
    <w:rsid w:val="00481190"/>
    <w:rsid w:val="004811FC"/>
    <w:rsid w:val="004856AA"/>
    <w:rsid w:val="004916F8"/>
    <w:rsid w:val="00496A63"/>
    <w:rsid w:val="0049705D"/>
    <w:rsid w:val="004A4FA5"/>
    <w:rsid w:val="004B0B27"/>
    <w:rsid w:val="004B2274"/>
    <w:rsid w:val="004B4EB8"/>
    <w:rsid w:val="004C3E75"/>
    <w:rsid w:val="004D275F"/>
    <w:rsid w:val="004D2861"/>
    <w:rsid w:val="004D3A63"/>
    <w:rsid w:val="004E575B"/>
    <w:rsid w:val="004F42B3"/>
    <w:rsid w:val="00502B7F"/>
    <w:rsid w:val="00503651"/>
    <w:rsid w:val="005214BE"/>
    <w:rsid w:val="00525F12"/>
    <w:rsid w:val="005321DD"/>
    <w:rsid w:val="005349E5"/>
    <w:rsid w:val="00536610"/>
    <w:rsid w:val="00543F5D"/>
    <w:rsid w:val="005513F6"/>
    <w:rsid w:val="00552A9E"/>
    <w:rsid w:val="005541F1"/>
    <w:rsid w:val="00554420"/>
    <w:rsid w:val="005551A9"/>
    <w:rsid w:val="0055756D"/>
    <w:rsid w:val="0056559D"/>
    <w:rsid w:val="005A70CD"/>
    <w:rsid w:val="005B0C69"/>
    <w:rsid w:val="005B1FC8"/>
    <w:rsid w:val="005B6ADB"/>
    <w:rsid w:val="005C39B7"/>
    <w:rsid w:val="005D10C9"/>
    <w:rsid w:val="005D52DA"/>
    <w:rsid w:val="005E07C3"/>
    <w:rsid w:val="005E6905"/>
    <w:rsid w:val="005F24FA"/>
    <w:rsid w:val="005F3337"/>
    <w:rsid w:val="005F5487"/>
    <w:rsid w:val="005F5E34"/>
    <w:rsid w:val="00601007"/>
    <w:rsid w:val="006061F4"/>
    <w:rsid w:val="00607928"/>
    <w:rsid w:val="00615762"/>
    <w:rsid w:val="00620776"/>
    <w:rsid w:val="006265A8"/>
    <w:rsid w:val="00626C23"/>
    <w:rsid w:val="006314F0"/>
    <w:rsid w:val="0064307D"/>
    <w:rsid w:val="00647345"/>
    <w:rsid w:val="006500D6"/>
    <w:rsid w:val="00654950"/>
    <w:rsid w:val="00667E32"/>
    <w:rsid w:val="00670C16"/>
    <w:rsid w:val="00673822"/>
    <w:rsid w:val="00676893"/>
    <w:rsid w:val="006937DC"/>
    <w:rsid w:val="00697CB1"/>
    <w:rsid w:val="006A5679"/>
    <w:rsid w:val="006B418B"/>
    <w:rsid w:val="006B43CD"/>
    <w:rsid w:val="006B7340"/>
    <w:rsid w:val="006D15CE"/>
    <w:rsid w:val="006D2DE9"/>
    <w:rsid w:val="006E46FF"/>
    <w:rsid w:val="006E5495"/>
    <w:rsid w:val="006F45C6"/>
    <w:rsid w:val="007037E7"/>
    <w:rsid w:val="0071395B"/>
    <w:rsid w:val="007225C6"/>
    <w:rsid w:val="007240A4"/>
    <w:rsid w:val="007256C5"/>
    <w:rsid w:val="00725ADE"/>
    <w:rsid w:val="00753341"/>
    <w:rsid w:val="00753D74"/>
    <w:rsid w:val="00756463"/>
    <w:rsid w:val="00771A6C"/>
    <w:rsid w:val="00775A5A"/>
    <w:rsid w:val="00793CF7"/>
    <w:rsid w:val="00797523"/>
    <w:rsid w:val="007B4B4F"/>
    <w:rsid w:val="007C1CDD"/>
    <w:rsid w:val="007C738B"/>
    <w:rsid w:val="007C7BE5"/>
    <w:rsid w:val="00802D00"/>
    <w:rsid w:val="00816BEB"/>
    <w:rsid w:val="00825EAC"/>
    <w:rsid w:val="00836CDF"/>
    <w:rsid w:val="00845215"/>
    <w:rsid w:val="008475C4"/>
    <w:rsid w:val="00850D21"/>
    <w:rsid w:val="008523BC"/>
    <w:rsid w:val="00873CA9"/>
    <w:rsid w:val="00874C6F"/>
    <w:rsid w:val="0088484B"/>
    <w:rsid w:val="00890A8C"/>
    <w:rsid w:val="008945B3"/>
    <w:rsid w:val="00894930"/>
    <w:rsid w:val="00897BCA"/>
    <w:rsid w:val="008A00A9"/>
    <w:rsid w:val="008A632B"/>
    <w:rsid w:val="008B605C"/>
    <w:rsid w:val="008C057A"/>
    <w:rsid w:val="008C1AFF"/>
    <w:rsid w:val="008D4966"/>
    <w:rsid w:val="008E0BD7"/>
    <w:rsid w:val="008E49F2"/>
    <w:rsid w:val="008E7869"/>
    <w:rsid w:val="008F3E3B"/>
    <w:rsid w:val="009032CF"/>
    <w:rsid w:val="00911F4A"/>
    <w:rsid w:val="00912AC8"/>
    <w:rsid w:val="009345EC"/>
    <w:rsid w:val="00945B9C"/>
    <w:rsid w:val="00953C46"/>
    <w:rsid w:val="009717B3"/>
    <w:rsid w:val="00977098"/>
    <w:rsid w:val="00995321"/>
    <w:rsid w:val="009A54CC"/>
    <w:rsid w:val="009A60F7"/>
    <w:rsid w:val="009A61FB"/>
    <w:rsid w:val="009A781A"/>
    <w:rsid w:val="009B2A80"/>
    <w:rsid w:val="009C541B"/>
    <w:rsid w:val="009D6500"/>
    <w:rsid w:val="009D675F"/>
    <w:rsid w:val="009E5EDE"/>
    <w:rsid w:val="009F6833"/>
    <w:rsid w:val="009F6A5C"/>
    <w:rsid w:val="00A03E1D"/>
    <w:rsid w:val="00A0789A"/>
    <w:rsid w:val="00A33E05"/>
    <w:rsid w:val="00A35710"/>
    <w:rsid w:val="00A372E3"/>
    <w:rsid w:val="00A413B8"/>
    <w:rsid w:val="00A42B42"/>
    <w:rsid w:val="00A4614B"/>
    <w:rsid w:val="00A56E94"/>
    <w:rsid w:val="00A67EEC"/>
    <w:rsid w:val="00A70E78"/>
    <w:rsid w:val="00A72717"/>
    <w:rsid w:val="00A8173B"/>
    <w:rsid w:val="00A81E15"/>
    <w:rsid w:val="00AC69C4"/>
    <w:rsid w:val="00AD0840"/>
    <w:rsid w:val="00AD4C6F"/>
    <w:rsid w:val="00AE0746"/>
    <w:rsid w:val="00AE2864"/>
    <w:rsid w:val="00AF3BE6"/>
    <w:rsid w:val="00AF5ED4"/>
    <w:rsid w:val="00B0407A"/>
    <w:rsid w:val="00B04FB9"/>
    <w:rsid w:val="00B146A2"/>
    <w:rsid w:val="00B27A26"/>
    <w:rsid w:val="00B27AD6"/>
    <w:rsid w:val="00B30723"/>
    <w:rsid w:val="00B41ABB"/>
    <w:rsid w:val="00B420C3"/>
    <w:rsid w:val="00B447D4"/>
    <w:rsid w:val="00B52907"/>
    <w:rsid w:val="00B66404"/>
    <w:rsid w:val="00B75801"/>
    <w:rsid w:val="00B772AF"/>
    <w:rsid w:val="00B8376E"/>
    <w:rsid w:val="00B87149"/>
    <w:rsid w:val="00B90636"/>
    <w:rsid w:val="00B92789"/>
    <w:rsid w:val="00B93060"/>
    <w:rsid w:val="00B93325"/>
    <w:rsid w:val="00B933F6"/>
    <w:rsid w:val="00B95FB9"/>
    <w:rsid w:val="00B971AB"/>
    <w:rsid w:val="00BA23AF"/>
    <w:rsid w:val="00BA6FBA"/>
    <w:rsid w:val="00BB310A"/>
    <w:rsid w:val="00BB3179"/>
    <w:rsid w:val="00BB7796"/>
    <w:rsid w:val="00BC4E71"/>
    <w:rsid w:val="00BC7D19"/>
    <w:rsid w:val="00BD6209"/>
    <w:rsid w:val="00BF0616"/>
    <w:rsid w:val="00C01540"/>
    <w:rsid w:val="00C021EF"/>
    <w:rsid w:val="00C033E9"/>
    <w:rsid w:val="00C04C52"/>
    <w:rsid w:val="00C04ED9"/>
    <w:rsid w:val="00C1343B"/>
    <w:rsid w:val="00C23930"/>
    <w:rsid w:val="00C27CC0"/>
    <w:rsid w:val="00C32996"/>
    <w:rsid w:val="00C422B7"/>
    <w:rsid w:val="00C43634"/>
    <w:rsid w:val="00C46B47"/>
    <w:rsid w:val="00C6101C"/>
    <w:rsid w:val="00C645FC"/>
    <w:rsid w:val="00C82A2B"/>
    <w:rsid w:val="00C9111A"/>
    <w:rsid w:val="00C95556"/>
    <w:rsid w:val="00C9556C"/>
    <w:rsid w:val="00C97056"/>
    <w:rsid w:val="00CA224F"/>
    <w:rsid w:val="00CB1736"/>
    <w:rsid w:val="00CB7E55"/>
    <w:rsid w:val="00CC3333"/>
    <w:rsid w:val="00CC664D"/>
    <w:rsid w:val="00CE7BC2"/>
    <w:rsid w:val="00CF3105"/>
    <w:rsid w:val="00CF315F"/>
    <w:rsid w:val="00D14744"/>
    <w:rsid w:val="00D22C28"/>
    <w:rsid w:val="00D410BC"/>
    <w:rsid w:val="00D44085"/>
    <w:rsid w:val="00D4432C"/>
    <w:rsid w:val="00D44CD9"/>
    <w:rsid w:val="00D509D2"/>
    <w:rsid w:val="00D7446C"/>
    <w:rsid w:val="00D83929"/>
    <w:rsid w:val="00D86871"/>
    <w:rsid w:val="00D87237"/>
    <w:rsid w:val="00D90847"/>
    <w:rsid w:val="00D90D72"/>
    <w:rsid w:val="00D933CC"/>
    <w:rsid w:val="00D93DED"/>
    <w:rsid w:val="00DA1614"/>
    <w:rsid w:val="00DA34AD"/>
    <w:rsid w:val="00DB1E4B"/>
    <w:rsid w:val="00DB361D"/>
    <w:rsid w:val="00DC418A"/>
    <w:rsid w:val="00DE3748"/>
    <w:rsid w:val="00DE683A"/>
    <w:rsid w:val="00DF0D6A"/>
    <w:rsid w:val="00E0049B"/>
    <w:rsid w:val="00E02857"/>
    <w:rsid w:val="00E151FE"/>
    <w:rsid w:val="00E1711A"/>
    <w:rsid w:val="00E31B7C"/>
    <w:rsid w:val="00E3440B"/>
    <w:rsid w:val="00E40494"/>
    <w:rsid w:val="00E47921"/>
    <w:rsid w:val="00E611E3"/>
    <w:rsid w:val="00E74A99"/>
    <w:rsid w:val="00E76A0A"/>
    <w:rsid w:val="00E80198"/>
    <w:rsid w:val="00EA1513"/>
    <w:rsid w:val="00EA1E89"/>
    <w:rsid w:val="00EA3FBA"/>
    <w:rsid w:val="00EA5727"/>
    <w:rsid w:val="00EB3C2D"/>
    <w:rsid w:val="00EC2917"/>
    <w:rsid w:val="00EC58C2"/>
    <w:rsid w:val="00EC7D37"/>
    <w:rsid w:val="00ED46D3"/>
    <w:rsid w:val="00EF273F"/>
    <w:rsid w:val="00EF6F0C"/>
    <w:rsid w:val="00F0703A"/>
    <w:rsid w:val="00F11017"/>
    <w:rsid w:val="00F138B9"/>
    <w:rsid w:val="00F21F44"/>
    <w:rsid w:val="00F25E78"/>
    <w:rsid w:val="00F30ABE"/>
    <w:rsid w:val="00F56192"/>
    <w:rsid w:val="00F61A40"/>
    <w:rsid w:val="00F62888"/>
    <w:rsid w:val="00F67D74"/>
    <w:rsid w:val="00F7570C"/>
    <w:rsid w:val="00F81A42"/>
    <w:rsid w:val="00F9543C"/>
    <w:rsid w:val="00F965FB"/>
    <w:rsid w:val="00FA20A6"/>
    <w:rsid w:val="00FA2A61"/>
    <w:rsid w:val="00FA5AB8"/>
    <w:rsid w:val="00FA76C1"/>
    <w:rsid w:val="00FB499F"/>
    <w:rsid w:val="00FD2631"/>
    <w:rsid w:val="00FE1525"/>
    <w:rsid w:val="00FE2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7390"/>
  <w15:docId w15:val="{100120F7-11D3-4657-92E5-8AC53B0D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91"/>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291"/>
    <w:pPr>
      <w:tabs>
        <w:tab w:val="center" w:pos="4419"/>
        <w:tab w:val="right" w:pos="8838"/>
      </w:tabs>
    </w:pPr>
  </w:style>
  <w:style w:type="character" w:customStyle="1" w:styleId="EncabezadoCar">
    <w:name w:val="Encabezado Car"/>
    <w:basedOn w:val="Fuentedeprrafopredeter"/>
    <w:link w:val="Encabezado"/>
    <w:uiPriority w:val="99"/>
    <w:rsid w:val="00402291"/>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402291"/>
    <w:pPr>
      <w:tabs>
        <w:tab w:val="center" w:pos="4419"/>
        <w:tab w:val="right" w:pos="8838"/>
      </w:tabs>
    </w:pPr>
  </w:style>
  <w:style w:type="character" w:customStyle="1" w:styleId="PiedepginaCar">
    <w:name w:val="Pie de página Car"/>
    <w:basedOn w:val="Fuentedeprrafopredeter"/>
    <w:link w:val="Piedepgina"/>
    <w:uiPriority w:val="99"/>
    <w:rsid w:val="00402291"/>
    <w:rPr>
      <w:rFonts w:ascii="Times New Roman" w:eastAsia="Times New Roman" w:hAnsi="Times New Roman" w:cs="Times New Roman"/>
      <w:sz w:val="20"/>
      <w:szCs w:val="20"/>
      <w:lang w:val="es-ES" w:eastAsia="es-MX"/>
    </w:rPr>
  </w:style>
  <w:style w:type="paragraph" w:styleId="Prrafodelista">
    <w:name w:val="List Paragraph"/>
    <w:aliases w:val="Cita texto,Footnote,List Paragraph1,Colorful List - Accent 11,Cuadrícula clara - Énfasis 31,Párrafo de lista1,TEXTO GENERAL SENTENCIAS,Párrafo de lista2,List Paragraph"/>
    <w:basedOn w:val="Normal"/>
    <w:link w:val="PrrafodelistaCar"/>
    <w:uiPriority w:val="34"/>
    <w:qFormat/>
    <w:rsid w:val="00FA5AB8"/>
    <w:pPr>
      <w:ind w:left="720"/>
      <w:contextualSpacing/>
    </w:pPr>
  </w:style>
  <w:style w:type="character" w:customStyle="1" w:styleId="PrrafodelistaCar">
    <w:name w:val="Párrafo de lista Car"/>
    <w:aliases w:val="Cita texto Car,Footnote Car,List Paragraph1 Car,Colorful List - Accent 11 Car,Cuadrícula clara - Énfasis 31 Car,Párrafo de lista1 Car,TEXTO GENERAL SENTENCIAS Car,Párrafo de lista2 Car,List Paragraph Car"/>
    <w:basedOn w:val="Fuentedeprrafopredeter"/>
    <w:link w:val="Prrafodelista"/>
    <w:uiPriority w:val="34"/>
    <w:locked/>
    <w:rsid w:val="008945B3"/>
    <w:rPr>
      <w:rFonts w:ascii="Times New Roman" w:eastAsia="Times New Roman" w:hAnsi="Times New Roman" w:cs="Times New Roman"/>
      <w:sz w:val="20"/>
      <w:szCs w:val="20"/>
      <w:lang w:val="es-ES" w:eastAsia="es-MX"/>
    </w:rPr>
  </w:style>
  <w:style w:type="character" w:styleId="Hipervnculo">
    <w:name w:val="Hyperlink"/>
    <w:basedOn w:val="Fuentedeprrafopredeter"/>
    <w:uiPriority w:val="99"/>
    <w:semiHidden/>
    <w:unhideWhenUsed/>
    <w:rsid w:val="009032CF"/>
    <w:rPr>
      <w:color w:val="0000FF"/>
      <w:u w:val="single"/>
    </w:rPr>
  </w:style>
  <w:style w:type="paragraph" w:customStyle="1" w:styleId="corte1datos">
    <w:name w:val="corte1 datos"/>
    <w:basedOn w:val="Normal"/>
    <w:link w:val="corte1datosCar"/>
    <w:qFormat/>
    <w:rsid w:val="00615762"/>
    <w:pPr>
      <w:ind w:left="2552"/>
    </w:pPr>
    <w:rPr>
      <w:rFonts w:ascii="Arial" w:hAnsi="Arial"/>
      <w:b/>
      <w:caps/>
      <w:sz w:val="30"/>
      <w:lang w:val="es-MX"/>
    </w:rPr>
  </w:style>
  <w:style w:type="character" w:customStyle="1" w:styleId="corte1datosCar">
    <w:name w:val="corte1 datos Car"/>
    <w:link w:val="corte1datos"/>
    <w:rsid w:val="00615762"/>
    <w:rPr>
      <w:rFonts w:ascii="Arial" w:eastAsia="Times New Roman" w:hAnsi="Arial" w:cs="Times New Roman"/>
      <w:b/>
      <w:caps/>
      <w:sz w:val="30"/>
      <w:szCs w:val="20"/>
      <w:lang w:eastAsia="es-MX"/>
    </w:rPr>
  </w:style>
  <w:style w:type="character" w:customStyle="1" w:styleId="corte4fondoCar2">
    <w:name w:val="corte4 fondo Car2"/>
    <w:basedOn w:val="Fuentedeprrafopredeter"/>
    <w:locked/>
    <w:rsid w:val="00A56E94"/>
    <w:rPr>
      <w:rFonts w:eastAsia="Times New Roman" w:cs="Times New Roman"/>
      <w:sz w:val="30"/>
      <w:szCs w:val="20"/>
      <w:lang w:eastAsia="es-ES"/>
    </w:rPr>
  </w:style>
  <w:style w:type="paragraph" w:styleId="Textonotapie">
    <w:name w:val="footnote text"/>
    <w:aliases w:val="Footnote Text Char Char Char Char Char,Footnote Text Char Char Char Char,Footnote reference,FA Fu, Car,Car,Footnote Text Char Char Char,Footnote Text Cha,FA Fußnotentext,FA Fu?notentext,Footnote Text Char Char,FA Fuﬂnotentext,Ca,Car3,nota"/>
    <w:basedOn w:val="Normal"/>
    <w:link w:val="TextonotapieCar"/>
    <w:unhideWhenUsed/>
    <w:qFormat/>
    <w:rsid w:val="00A42B42"/>
  </w:style>
  <w:style w:type="character" w:customStyle="1" w:styleId="TextonotapieCar">
    <w:name w:val="Texto nota pie Car"/>
    <w:aliases w:val="Footnote Text Char Char Char Char Char Car1,Footnote Text Char Char Char Char Car1,Footnote reference Car1,FA Fu Car1, Car Car1,Car Car1,Footnote Text Char Char Char Car1,Footnote Text Cha Car1,FA Fußnotentext Car1,FA Fuﬂnotentext Car"/>
    <w:basedOn w:val="Fuentedeprrafopredeter"/>
    <w:link w:val="Textonotapie"/>
    <w:rsid w:val="00A42B42"/>
    <w:rPr>
      <w:rFonts w:ascii="Times New Roman" w:eastAsia="Times New Roman" w:hAnsi="Times New Roman" w:cs="Times New Roman"/>
      <w:sz w:val="20"/>
      <w:szCs w:val="20"/>
      <w:lang w:val="es-ES"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julio,Footnote Reference Char3,Stinking Styles6"/>
    <w:basedOn w:val="Fuentedeprrafopredeter"/>
    <w:link w:val="FootnotesymbolCarZchnZchn"/>
    <w:uiPriority w:val="99"/>
    <w:unhideWhenUsed/>
    <w:qFormat/>
    <w:rsid w:val="00A42B42"/>
    <w:rPr>
      <w:vertAlign w:val="superscript"/>
    </w:rPr>
  </w:style>
  <w:style w:type="paragraph" w:customStyle="1" w:styleId="Estilo">
    <w:name w:val="Estilo"/>
    <w:basedOn w:val="Sinespaciado"/>
    <w:link w:val="EstiloCar"/>
    <w:qFormat/>
    <w:rsid w:val="00A42B42"/>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A42B42"/>
    <w:rPr>
      <w:rFonts w:ascii="Arial" w:hAnsi="Arial"/>
      <w:sz w:val="24"/>
    </w:rPr>
  </w:style>
  <w:style w:type="paragraph" w:styleId="Sinespaciado">
    <w:name w:val="No Spacing"/>
    <w:link w:val="SinespaciadoCar"/>
    <w:uiPriority w:val="1"/>
    <w:qFormat/>
    <w:rsid w:val="00A42B42"/>
    <w:pPr>
      <w:spacing w:after="0" w:line="240" w:lineRule="auto"/>
    </w:pPr>
    <w:rPr>
      <w:rFonts w:ascii="Times New Roman" w:eastAsia="Times New Roman" w:hAnsi="Times New Roman" w:cs="Times New Roman"/>
      <w:sz w:val="20"/>
      <w:szCs w:val="20"/>
      <w:lang w:val="es-ES" w:eastAsia="es-MX"/>
    </w:rPr>
  </w:style>
  <w:style w:type="character" w:customStyle="1" w:styleId="TextonotapieCar1">
    <w:name w:val="Texto nota pie Car1"/>
    <w:aliases w:val="Footnote Text Char Char Char Char Char Car,Footnote Text Char Char Char Char Car,Footnote reference Car,FA Fu Car, Car Car,Car Car,Footnote Text Char Char Char Car,Footnote Text Cha Car,FA Fußnotentext Car,FA Fu?notentext Car,Ca Car"/>
    <w:basedOn w:val="Fuentedeprrafopredeter"/>
    <w:uiPriority w:val="99"/>
    <w:locked/>
    <w:rsid w:val="00F0703A"/>
    <w:rPr>
      <w:lang w:val="es-ES_tradnl"/>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Refdenotaalpie"/>
    <w:rsid w:val="00F0703A"/>
    <w:pPr>
      <w:suppressAutoHyphens/>
      <w:spacing w:after="160" w:line="240" w:lineRule="exact"/>
      <w:jc w:val="both"/>
    </w:pPr>
    <w:rPr>
      <w:rFonts w:asciiTheme="minorHAnsi" w:eastAsiaTheme="minorHAnsi" w:hAnsiTheme="minorHAnsi" w:cstheme="minorBidi"/>
      <w:sz w:val="22"/>
      <w:szCs w:val="22"/>
      <w:vertAlign w:val="superscript"/>
      <w:lang w:val="es-MX" w:eastAsia="en-US"/>
    </w:rPr>
  </w:style>
  <w:style w:type="paragraph" w:customStyle="1" w:styleId="corte4fondo">
    <w:name w:val="corte4 fondo"/>
    <w:basedOn w:val="Normal"/>
    <w:link w:val="corte4fondoCar1"/>
    <w:qFormat/>
    <w:rsid w:val="009345EC"/>
    <w:pPr>
      <w:spacing w:line="360" w:lineRule="auto"/>
      <w:ind w:firstLine="709"/>
      <w:jc w:val="both"/>
    </w:pPr>
    <w:rPr>
      <w:rFonts w:ascii="Arial" w:hAnsi="Arial"/>
      <w:sz w:val="30"/>
      <w:lang w:val="es-MX"/>
    </w:rPr>
  </w:style>
  <w:style w:type="character" w:customStyle="1" w:styleId="corte4fondoCar1">
    <w:name w:val="corte4 fondo Car1"/>
    <w:basedOn w:val="Fuentedeprrafopredeter"/>
    <w:link w:val="corte4fondo"/>
    <w:rsid w:val="009345EC"/>
    <w:rPr>
      <w:rFonts w:ascii="Arial" w:eastAsia="Times New Roman" w:hAnsi="Arial" w:cs="Times New Roman"/>
      <w:sz w:val="30"/>
      <w:szCs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4B2274"/>
    <w:pPr>
      <w:jc w:val="both"/>
    </w:pPr>
    <w:rPr>
      <w:rFonts w:asciiTheme="minorHAnsi" w:eastAsiaTheme="minorHAnsi" w:hAnsiTheme="minorHAnsi" w:cstheme="minorBidi"/>
      <w:sz w:val="22"/>
      <w:szCs w:val="22"/>
      <w:vertAlign w:val="superscript"/>
      <w:lang w:val="es-MX" w:eastAsia="en-US"/>
    </w:rPr>
  </w:style>
  <w:style w:type="character" w:customStyle="1" w:styleId="SinespaciadoCar">
    <w:name w:val="Sin espaciado Car"/>
    <w:link w:val="Sinespaciado"/>
    <w:uiPriority w:val="1"/>
    <w:locked/>
    <w:rsid w:val="00A372E3"/>
    <w:rPr>
      <w:rFonts w:ascii="Times New Roman" w:eastAsia="Times New Roman" w:hAnsi="Times New Roman" w:cs="Times New Roman"/>
      <w:sz w:val="20"/>
      <w:szCs w:val="20"/>
      <w:lang w:val="es-ES" w:eastAsia="es-MX"/>
    </w:rPr>
  </w:style>
  <w:style w:type="paragraph" w:styleId="Revisin">
    <w:name w:val="Revision"/>
    <w:hidden/>
    <w:uiPriority w:val="99"/>
    <w:semiHidden/>
    <w:rsid w:val="00481190"/>
    <w:pPr>
      <w:spacing w:after="0" w:line="240" w:lineRule="auto"/>
    </w:pPr>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E2BF-7F2B-4C85-839A-545B32A9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2907</Words>
  <Characters>15991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dc:creator>
  <cp:keywords/>
  <dc:description/>
  <cp:lastModifiedBy>MIGUEL ANGEL ANDRADE SOLANA</cp:lastModifiedBy>
  <cp:revision>5</cp:revision>
  <dcterms:created xsi:type="dcterms:W3CDTF">2022-09-02T02:39:00Z</dcterms:created>
  <dcterms:modified xsi:type="dcterms:W3CDTF">2022-09-02T02:44:00Z</dcterms:modified>
</cp:coreProperties>
</file>