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CACC" w14:textId="2AC9D85F" w:rsidR="008C30CF" w:rsidRPr="00CF08AE" w:rsidRDefault="008C30CF" w:rsidP="008C30CF">
      <w:pPr>
        <w:tabs>
          <w:tab w:val="left" w:pos="4536"/>
        </w:tabs>
        <w:ind w:left="2832"/>
        <w:rPr>
          <w:rFonts w:cs="Arial"/>
          <w:b/>
          <w:sz w:val="28"/>
          <w:szCs w:val="28"/>
        </w:rPr>
      </w:pPr>
      <w:r w:rsidRPr="00CF08AE">
        <w:rPr>
          <w:rFonts w:cs="Arial"/>
          <w:b/>
          <w:sz w:val="28"/>
          <w:szCs w:val="28"/>
        </w:rPr>
        <w:t xml:space="preserve">VOTO </w:t>
      </w:r>
      <w:r>
        <w:rPr>
          <w:rFonts w:cs="Arial"/>
          <w:b/>
          <w:sz w:val="28"/>
          <w:szCs w:val="28"/>
        </w:rPr>
        <w:t xml:space="preserve">CONCURRENTE </w:t>
      </w:r>
      <w:r w:rsidRPr="00CF08AE">
        <w:rPr>
          <w:rFonts w:cs="Arial"/>
          <w:b/>
          <w:sz w:val="28"/>
          <w:szCs w:val="28"/>
        </w:rPr>
        <w:t xml:space="preserve">QUE FORMULA EL MINISTRO JAVIER LAYNEZ POTISEK EN LA </w:t>
      </w:r>
      <w:r>
        <w:rPr>
          <w:rFonts w:cs="Arial"/>
          <w:b/>
          <w:sz w:val="28"/>
          <w:szCs w:val="28"/>
        </w:rPr>
        <w:t>ACCIÓN DE INCONSTITUCIONALIDAD 141/2019</w:t>
      </w:r>
      <w:r w:rsidR="00FC52EE">
        <w:rPr>
          <w:rFonts w:cs="Arial"/>
          <w:b/>
          <w:sz w:val="28"/>
          <w:szCs w:val="28"/>
        </w:rPr>
        <w:t>.</w:t>
      </w:r>
    </w:p>
    <w:p w14:paraId="3385E9E6" w14:textId="547A39A5" w:rsidR="008C30CF" w:rsidRPr="00FC6942" w:rsidRDefault="008C30CF" w:rsidP="008C30CF">
      <w:pPr>
        <w:spacing w:line="360" w:lineRule="auto"/>
        <w:contextualSpacing/>
        <w:rPr>
          <w:rFonts w:eastAsia="Calibri" w:cs="Arial"/>
          <w:b/>
          <w:sz w:val="27"/>
          <w:szCs w:val="27"/>
          <w:lang w:eastAsia="en-US"/>
        </w:rPr>
      </w:pPr>
    </w:p>
    <w:p w14:paraId="70025B49" w14:textId="77777777" w:rsidR="00FC6942" w:rsidRPr="00FC6942" w:rsidRDefault="00FC6942" w:rsidP="008C30CF">
      <w:pPr>
        <w:spacing w:line="360" w:lineRule="auto"/>
        <w:contextualSpacing/>
        <w:rPr>
          <w:rFonts w:eastAsia="Calibri" w:cs="Arial"/>
          <w:b/>
          <w:sz w:val="27"/>
          <w:szCs w:val="27"/>
          <w:lang w:eastAsia="en-US"/>
        </w:rPr>
      </w:pPr>
    </w:p>
    <w:p w14:paraId="336AE4B6" w14:textId="4881FA2E" w:rsidR="008C30CF" w:rsidRPr="00FC6942" w:rsidRDefault="008C30CF" w:rsidP="008C30CF">
      <w:pPr>
        <w:pStyle w:val="corte4fondo"/>
        <w:rPr>
          <w:rFonts w:cs="Arial"/>
          <w:sz w:val="27"/>
          <w:szCs w:val="27"/>
          <w:lang w:val="es-ES"/>
        </w:rPr>
      </w:pPr>
      <w:bookmarkStart w:id="0" w:name="_Hlk72410106"/>
      <w:r w:rsidRPr="00FC6942">
        <w:rPr>
          <w:rFonts w:cs="Arial"/>
          <w:sz w:val="27"/>
          <w:szCs w:val="27"/>
          <w:lang w:val="es-ES"/>
        </w:rPr>
        <w:t>En sesión de cuatro de mayo de dos mil veintiuno, el Pleno de esta Suprema Corte de Justicia de la Nación resolvió la acción de inconstitucionalidad identificada al rubro</w:t>
      </w:r>
      <w:bookmarkStart w:id="1" w:name="_Hlk72410587"/>
      <w:bookmarkEnd w:id="0"/>
      <w:r w:rsidRPr="00FC6942">
        <w:rPr>
          <w:rFonts w:cs="Arial"/>
          <w:sz w:val="27"/>
          <w:szCs w:val="27"/>
          <w:lang w:val="es-ES"/>
        </w:rPr>
        <w:t xml:space="preserve">. En el considerando quinto de la sentencia se analizó el fondo del asunto atendiendo cada uno de los temas planteados. </w:t>
      </w:r>
    </w:p>
    <w:p w14:paraId="26D4F0E3" w14:textId="77777777" w:rsidR="008C30CF" w:rsidRPr="00FC6942" w:rsidRDefault="008C30CF" w:rsidP="008C30CF">
      <w:pPr>
        <w:pStyle w:val="corte4fondo"/>
        <w:rPr>
          <w:rFonts w:cs="Arial"/>
          <w:sz w:val="27"/>
          <w:szCs w:val="27"/>
          <w:lang w:val="es-ES"/>
        </w:rPr>
      </w:pPr>
    </w:p>
    <w:p w14:paraId="5229F4FA" w14:textId="77777777" w:rsidR="008C30CF" w:rsidRPr="00FC6942" w:rsidRDefault="008C30CF" w:rsidP="008C30CF">
      <w:pPr>
        <w:pStyle w:val="corte4fondo"/>
        <w:ind w:firstLine="0"/>
        <w:rPr>
          <w:rFonts w:cs="Arial"/>
          <w:sz w:val="27"/>
          <w:szCs w:val="27"/>
          <w:lang w:val="es-ES"/>
        </w:rPr>
      </w:pPr>
      <w:r w:rsidRPr="00FC6942">
        <w:rPr>
          <w:rFonts w:cs="Arial"/>
          <w:sz w:val="27"/>
          <w:szCs w:val="27"/>
          <w:lang w:val="es-ES"/>
        </w:rPr>
        <w:t>En el tema uno</w:t>
      </w:r>
      <w:bookmarkEnd w:id="1"/>
      <w:r w:rsidRPr="00FC6942">
        <w:rPr>
          <w:rFonts w:cs="Arial"/>
          <w:sz w:val="27"/>
          <w:szCs w:val="27"/>
          <w:lang w:val="es-ES"/>
        </w:rPr>
        <w:t xml:space="preserve"> se determinó que, en materia de archivos, existe concurrencia legislativa de la Federación, las entidades federativas y los municipios y órganos de la Ciudad de México, pues la ley marco, esto es, la Ley General de Archivos establece los principios y bases aplicables. En ese apartado se afirmó que se suprimió </w:t>
      </w:r>
      <w:r w:rsidRPr="00FC6942">
        <w:rPr>
          <w:i/>
          <w:iCs/>
          <w:sz w:val="27"/>
          <w:szCs w:val="27"/>
        </w:rPr>
        <w:t>en la Constitución Federal la atribución de competencias, dejando la función de reparto en el Congreso Federal.</w:t>
      </w:r>
      <w:r w:rsidRPr="00FC6942">
        <w:rPr>
          <w:rFonts w:cs="Arial"/>
          <w:sz w:val="27"/>
          <w:szCs w:val="27"/>
          <w:lang w:val="es-ES"/>
        </w:rPr>
        <w:t xml:space="preserve"> Al respecto considero que la concurrencia de atribuciones no implica que se elimine de la Constitución Federal la distribución de competencias, sino que ésta debe analizarse junto con la ley marco correspondiente, en este caso, la Ley General de Archivos para determinar el parámetro de regularidad constitucional aplicable, sobre todo porque se analiza tal distribución partiendo precisamente de la Norma Fundamental.</w:t>
      </w:r>
    </w:p>
    <w:p w14:paraId="2EA803B9" w14:textId="77777777" w:rsidR="008C30CF" w:rsidRPr="00FC6942" w:rsidRDefault="008C30CF" w:rsidP="008C30CF">
      <w:pPr>
        <w:pStyle w:val="corte4fondo"/>
        <w:rPr>
          <w:rFonts w:cs="Arial"/>
          <w:sz w:val="27"/>
          <w:szCs w:val="27"/>
          <w:lang w:val="es-ES"/>
        </w:rPr>
      </w:pPr>
    </w:p>
    <w:p w14:paraId="7EA38F12" w14:textId="77777777" w:rsidR="008C30CF" w:rsidRPr="00FC6942" w:rsidRDefault="008C30CF" w:rsidP="008C30CF">
      <w:pPr>
        <w:pStyle w:val="corte4fondo"/>
        <w:rPr>
          <w:rFonts w:cs="Arial"/>
          <w:sz w:val="27"/>
          <w:szCs w:val="27"/>
          <w:lang w:val="es-ES"/>
        </w:rPr>
      </w:pPr>
      <w:r w:rsidRPr="00FC6942">
        <w:rPr>
          <w:rFonts w:cs="Arial"/>
          <w:sz w:val="27"/>
          <w:szCs w:val="27"/>
          <w:lang w:val="es-ES"/>
        </w:rPr>
        <w:t xml:space="preserve">También me aparto de la consideración relativa a que derivado del establecimiento del régimen de concurrencia en materia de archivos, las legislaturas locales dejaron de tener competencia para legislar esa materia en aspectos primarios, quedando básicamente facultadas para armonizar y adecuar sus legislaciones conforme al contenido de la ley general, encargada de desarrollar los principios y bases materia de la reforma constitucional, de manera congruente y no contradictoria a nivel nacional. </w:t>
      </w:r>
    </w:p>
    <w:p w14:paraId="63B48E96" w14:textId="77777777" w:rsidR="008C30CF" w:rsidRPr="00FC6942" w:rsidRDefault="008C30CF" w:rsidP="008C30CF">
      <w:pPr>
        <w:pStyle w:val="corte4fondo"/>
        <w:rPr>
          <w:rFonts w:cs="Arial"/>
          <w:sz w:val="27"/>
          <w:szCs w:val="27"/>
          <w:lang w:val="es-ES"/>
        </w:rPr>
      </w:pPr>
    </w:p>
    <w:p w14:paraId="20CF03CF" w14:textId="77777777" w:rsidR="008C30CF" w:rsidRPr="00FC6942" w:rsidRDefault="008C30CF" w:rsidP="008C30CF">
      <w:pPr>
        <w:pStyle w:val="corte4fondo"/>
        <w:rPr>
          <w:rFonts w:cs="Arial"/>
          <w:sz w:val="27"/>
          <w:szCs w:val="27"/>
          <w:lang w:val="es-ES"/>
        </w:rPr>
      </w:pPr>
      <w:r w:rsidRPr="00FC6942">
        <w:rPr>
          <w:rFonts w:cs="Arial"/>
          <w:sz w:val="27"/>
          <w:szCs w:val="27"/>
          <w:lang w:val="es-ES"/>
        </w:rPr>
        <w:t xml:space="preserve">Con tal consideración se da a entender que las legislaturas locales sólo deben replicar la Ley General de Archivos para respetar el sistema, siendo que se estableció que, en respeto al federalismo y a su libertad </w:t>
      </w:r>
      <w:r w:rsidRPr="00FC6942">
        <w:rPr>
          <w:rFonts w:cs="Arial"/>
          <w:sz w:val="27"/>
          <w:szCs w:val="27"/>
          <w:lang w:val="es-ES"/>
        </w:rPr>
        <w:lastRenderedPageBreak/>
        <w:t>configurativa, deben adecuar su legislación, pudiendo también ampliarla o perfeccionarla siempre y cuando no contravengan los mínimos de la citada Ley General.</w:t>
      </w:r>
    </w:p>
    <w:p w14:paraId="40D1E495" w14:textId="77777777" w:rsidR="008C30CF" w:rsidRPr="00FC6942" w:rsidRDefault="008C30CF" w:rsidP="008C30CF">
      <w:pPr>
        <w:pStyle w:val="corte4fondo"/>
        <w:rPr>
          <w:rFonts w:cs="Arial"/>
          <w:sz w:val="27"/>
          <w:szCs w:val="27"/>
          <w:lang w:val="es-ES"/>
        </w:rPr>
      </w:pPr>
    </w:p>
    <w:p w14:paraId="4F3AED70" w14:textId="77777777" w:rsidR="008C30CF" w:rsidRPr="00FC6942" w:rsidRDefault="008C30CF" w:rsidP="008C30CF">
      <w:pPr>
        <w:ind w:left="360"/>
        <w:jc w:val="center"/>
        <w:rPr>
          <w:rFonts w:cs="Arial"/>
          <w:b/>
          <w:sz w:val="27"/>
          <w:szCs w:val="27"/>
          <w:lang w:val="pt-BR"/>
        </w:rPr>
      </w:pPr>
    </w:p>
    <w:p w14:paraId="22B3BC34" w14:textId="77777777" w:rsidR="008C30CF" w:rsidRPr="00FC6942" w:rsidRDefault="008C30CF" w:rsidP="008C30CF">
      <w:pPr>
        <w:ind w:left="360"/>
        <w:jc w:val="center"/>
        <w:rPr>
          <w:rFonts w:cs="Arial"/>
          <w:b/>
          <w:sz w:val="27"/>
          <w:szCs w:val="27"/>
          <w:lang w:val="pt-BR"/>
        </w:rPr>
      </w:pPr>
    </w:p>
    <w:p w14:paraId="6447DA8D" w14:textId="77777777" w:rsidR="008C30CF" w:rsidRPr="00FC6942" w:rsidRDefault="008C30CF" w:rsidP="008C30CF">
      <w:pPr>
        <w:ind w:left="360"/>
        <w:jc w:val="center"/>
        <w:rPr>
          <w:rFonts w:cs="Arial"/>
          <w:b/>
          <w:sz w:val="27"/>
          <w:szCs w:val="27"/>
          <w:lang w:val="pt-BR"/>
        </w:rPr>
      </w:pPr>
    </w:p>
    <w:p w14:paraId="33982DE3" w14:textId="77777777" w:rsidR="008C30CF" w:rsidRPr="00FC6942" w:rsidRDefault="008C30CF" w:rsidP="008C30CF">
      <w:pPr>
        <w:ind w:left="360"/>
        <w:jc w:val="center"/>
        <w:rPr>
          <w:rFonts w:cs="Arial"/>
          <w:b/>
          <w:sz w:val="27"/>
          <w:szCs w:val="27"/>
          <w:lang w:val="pt-BR"/>
        </w:rPr>
      </w:pPr>
    </w:p>
    <w:p w14:paraId="70252F0F" w14:textId="77777777" w:rsidR="008C30CF" w:rsidRPr="00CF08AE" w:rsidRDefault="008C30CF" w:rsidP="008C30CF">
      <w:pPr>
        <w:ind w:left="360"/>
        <w:jc w:val="center"/>
        <w:rPr>
          <w:sz w:val="28"/>
          <w:szCs w:val="28"/>
        </w:rPr>
      </w:pPr>
      <w:r w:rsidRPr="00CF08AE">
        <w:rPr>
          <w:rFonts w:cs="Arial"/>
          <w:b/>
          <w:sz w:val="28"/>
          <w:szCs w:val="28"/>
          <w:lang w:val="pt-BR"/>
        </w:rPr>
        <w:t>MINISTRO JAVIER LAYNEZ POTISEK</w:t>
      </w:r>
    </w:p>
    <w:p w14:paraId="5D8B4B3B" w14:textId="77777777" w:rsidR="008C30CF" w:rsidRPr="00FF7F25" w:rsidRDefault="008C30CF" w:rsidP="008C30CF">
      <w:pPr>
        <w:rPr>
          <w:sz w:val="24"/>
        </w:rPr>
      </w:pPr>
      <w:r w:rsidRPr="00FF7F25">
        <w:rPr>
          <w:sz w:val="24"/>
        </w:rPr>
        <w:t>GFQ</w:t>
      </w:r>
    </w:p>
    <w:p w14:paraId="2A510CB3" w14:textId="4904F205" w:rsidR="004D02AC" w:rsidRPr="00CD257F" w:rsidRDefault="004D02AC" w:rsidP="004D02AC">
      <w:pPr>
        <w:rPr>
          <w:sz w:val="24"/>
        </w:rPr>
      </w:pPr>
    </w:p>
    <w:sectPr w:rsidR="004D02AC" w:rsidRPr="00CD257F" w:rsidSect="008C30CF">
      <w:headerReference w:type="default" r:id="rId7"/>
      <w:footerReference w:type="default" r:id="rId8"/>
      <w:footerReference w:type="first" r:id="rId9"/>
      <w:pgSz w:w="12242" w:h="19301" w:code="10000"/>
      <w:pgMar w:top="1417" w:right="1701" w:bottom="1417" w:left="1701" w:header="1417" w:footer="1191" w:gutter="0"/>
      <w:pgNumType w:start="1"/>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B219" w14:textId="77777777" w:rsidR="00D26EBC" w:rsidRDefault="00D26EBC">
      <w:r>
        <w:separator/>
      </w:r>
    </w:p>
  </w:endnote>
  <w:endnote w:type="continuationSeparator" w:id="0">
    <w:p w14:paraId="63EDA9EC" w14:textId="77777777" w:rsidR="00D26EBC" w:rsidRDefault="00D2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731914"/>
      <w:docPartObj>
        <w:docPartGallery w:val="Page Numbers (Bottom of Page)"/>
        <w:docPartUnique/>
      </w:docPartObj>
    </w:sdtPr>
    <w:sdtEndPr>
      <w:rPr>
        <w:sz w:val="20"/>
        <w:szCs w:val="20"/>
      </w:rPr>
    </w:sdtEndPr>
    <w:sdtContent>
      <w:p w14:paraId="611BA564" w14:textId="77777777" w:rsidR="008C30CF" w:rsidRPr="009151DA" w:rsidRDefault="008C30CF" w:rsidP="004F45CC">
        <w:pPr>
          <w:pStyle w:val="Piedepgina"/>
          <w:jc w:val="right"/>
          <w:rPr>
            <w:sz w:val="20"/>
            <w:szCs w:val="20"/>
          </w:rPr>
        </w:pPr>
        <w:r w:rsidRPr="009151DA">
          <w:rPr>
            <w:sz w:val="20"/>
            <w:szCs w:val="20"/>
          </w:rPr>
          <w:fldChar w:fldCharType="begin"/>
        </w:r>
        <w:r w:rsidRPr="009151DA">
          <w:rPr>
            <w:sz w:val="20"/>
            <w:szCs w:val="20"/>
          </w:rPr>
          <w:instrText>PAGE   \* MERGEFORMAT</w:instrText>
        </w:r>
        <w:r w:rsidRPr="009151DA">
          <w:rPr>
            <w:sz w:val="20"/>
            <w:szCs w:val="20"/>
          </w:rPr>
          <w:fldChar w:fldCharType="separate"/>
        </w:r>
        <w:r w:rsidRPr="004D02AC">
          <w:rPr>
            <w:noProof/>
            <w:sz w:val="20"/>
            <w:szCs w:val="20"/>
            <w:lang w:val="es-ES"/>
          </w:rPr>
          <w:t>2</w:t>
        </w:r>
        <w:r w:rsidRPr="009151DA">
          <w:rPr>
            <w:sz w:val="20"/>
            <w:szCs w:val="20"/>
          </w:rPr>
          <w:fldChar w:fldCharType="end"/>
        </w:r>
      </w:p>
    </w:sdtContent>
  </w:sdt>
  <w:p w14:paraId="7CA4DEC4" w14:textId="77777777" w:rsidR="008C30CF" w:rsidRDefault="008C30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455092"/>
      <w:docPartObj>
        <w:docPartGallery w:val="Page Numbers (Bottom of Page)"/>
        <w:docPartUnique/>
      </w:docPartObj>
    </w:sdtPr>
    <w:sdtEndPr>
      <w:rPr>
        <w:sz w:val="24"/>
      </w:rPr>
    </w:sdtEndPr>
    <w:sdtContent>
      <w:p w14:paraId="703DB377" w14:textId="77777777" w:rsidR="008C30CF" w:rsidRPr="004E227D" w:rsidRDefault="008C30CF">
        <w:pPr>
          <w:pStyle w:val="Piedepgina"/>
          <w:jc w:val="right"/>
          <w:rPr>
            <w:sz w:val="24"/>
          </w:rPr>
        </w:pPr>
        <w:r w:rsidRPr="004E227D">
          <w:rPr>
            <w:sz w:val="24"/>
          </w:rPr>
          <w:t>1</w:t>
        </w:r>
      </w:p>
    </w:sdtContent>
  </w:sdt>
  <w:p w14:paraId="0A1AD29F" w14:textId="77777777" w:rsidR="008C30CF" w:rsidRDefault="008C30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F8B9" w14:textId="77777777" w:rsidR="00D26EBC" w:rsidRDefault="00D26EBC">
      <w:r>
        <w:separator/>
      </w:r>
    </w:p>
  </w:footnote>
  <w:footnote w:type="continuationSeparator" w:id="0">
    <w:p w14:paraId="5D2C94AE" w14:textId="77777777" w:rsidR="00D26EBC" w:rsidRDefault="00D26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C5B8" w14:textId="3B743075" w:rsidR="008C30CF" w:rsidRDefault="008C30CF" w:rsidP="00C16E1C">
    <w:pPr>
      <w:pStyle w:val="Encabezado"/>
      <w:ind w:left="2832"/>
      <w:rPr>
        <w:rFonts w:cs="Arial"/>
        <w:b/>
        <w:sz w:val="24"/>
      </w:rPr>
    </w:pPr>
    <w:r>
      <w:rPr>
        <w:rFonts w:cs="Arial"/>
        <w:b/>
        <w:noProof/>
        <w:sz w:val="24"/>
      </w:rPr>
      <mc:AlternateContent>
        <mc:Choice Requires="wps">
          <w:drawing>
            <wp:anchor distT="0" distB="0" distL="114300" distR="114300" simplePos="0" relativeHeight="251661312" behindDoc="1" locked="0" layoutInCell="1" allowOverlap="1" wp14:anchorId="65862CC3" wp14:editId="67703497">
              <wp:simplePos x="0" y="0"/>
              <wp:positionH relativeFrom="margin">
                <wp:posOffset>-426720</wp:posOffset>
              </wp:positionH>
              <wp:positionV relativeFrom="margin">
                <wp:posOffset>-691515</wp:posOffset>
              </wp:positionV>
              <wp:extent cx="1946910" cy="1835150"/>
              <wp:effectExtent l="0" t="0" r="0" b="0"/>
              <wp:wrapSquare wrapText="bothSides"/>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910" cy="183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BB8A1" id="Rectángulo 2" o:spid="_x0000_s1026" style="position:absolute;margin-left:-33.6pt;margin-top:-54.45pt;width:153.3pt;height:14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" stroked="f">
              <w10:wrap type="square" anchorx="margin" anchory="margin"/>
            </v:rect>
          </w:pict>
        </mc:Fallback>
      </mc:AlternateContent>
    </w:r>
    <w:r w:rsidRPr="00C72712">
      <w:rPr>
        <w:rFonts w:cs="Arial"/>
        <w:b/>
        <w:sz w:val="24"/>
      </w:rPr>
      <w:t xml:space="preserve">VOTO </w:t>
    </w:r>
    <w:r>
      <w:rPr>
        <w:rFonts w:cs="Arial"/>
        <w:b/>
        <w:sz w:val="24"/>
      </w:rPr>
      <w:t>CONCURRENTE</w:t>
    </w:r>
    <w:r w:rsidRPr="00C72712">
      <w:rPr>
        <w:rFonts w:cs="Arial"/>
        <w:b/>
        <w:sz w:val="24"/>
      </w:rPr>
      <w:t xml:space="preserve"> QUE FORMULA EL MINIS</w:t>
    </w:r>
    <w:r>
      <w:rPr>
        <w:rFonts w:cs="Arial"/>
        <w:b/>
        <w:sz w:val="24"/>
      </w:rPr>
      <w:t>TRO JAVIER LAYNEZ POTISEK EN LA ACCIÓN DE INCONSTITUCIONALIDAD 141/2019</w:t>
    </w:r>
  </w:p>
  <w:p w14:paraId="55741895" w14:textId="77777777" w:rsidR="008C30CF" w:rsidRDefault="008C30CF" w:rsidP="00CD257F">
    <w:pPr>
      <w:pStyle w:val="Encabezado"/>
      <w:rPr>
        <w:rFonts w:cs="Arial"/>
        <w:b/>
        <w:sz w:val="24"/>
      </w:rPr>
    </w:pPr>
  </w:p>
  <w:p w14:paraId="61DFE5F7" w14:textId="77777777" w:rsidR="008C30CF" w:rsidRPr="00E82929" w:rsidRDefault="008C30CF" w:rsidP="00B62FE5">
    <w:pPr>
      <w:pStyle w:val="Encabezado"/>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AC"/>
    <w:rsid w:val="00076F90"/>
    <w:rsid w:val="00096257"/>
    <w:rsid w:val="000B0205"/>
    <w:rsid w:val="000C713A"/>
    <w:rsid w:val="00111E00"/>
    <w:rsid w:val="00142686"/>
    <w:rsid w:val="00153ED0"/>
    <w:rsid w:val="00172253"/>
    <w:rsid w:val="001B3790"/>
    <w:rsid w:val="00227D1A"/>
    <w:rsid w:val="00265F9F"/>
    <w:rsid w:val="00304958"/>
    <w:rsid w:val="00343FC1"/>
    <w:rsid w:val="003B2DC3"/>
    <w:rsid w:val="003C010E"/>
    <w:rsid w:val="0040221D"/>
    <w:rsid w:val="004B78D8"/>
    <w:rsid w:val="004C624B"/>
    <w:rsid w:val="004D02AC"/>
    <w:rsid w:val="004F3AB6"/>
    <w:rsid w:val="00513DA1"/>
    <w:rsid w:val="005806E6"/>
    <w:rsid w:val="005D7C60"/>
    <w:rsid w:val="0068586F"/>
    <w:rsid w:val="006F259D"/>
    <w:rsid w:val="00733375"/>
    <w:rsid w:val="007570AA"/>
    <w:rsid w:val="00766D00"/>
    <w:rsid w:val="00767BAC"/>
    <w:rsid w:val="00771B2E"/>
    <w:rsid w:val="00793544"/>
    <w:rsid w:val="007B6545"/>
    <w:rsid w:val="00844CA8"/>
    <w:rsid w:val="00875CA7"/>
    <w:rsid w:val="00886B22"/>
    <w:rsid w:val="0089131E"/>
    <w:rsid w:val="008C30CF"/>
    <w:rsid w:val="009523A8"/>
    <w:rsid w:val="009558CC"/>
    <w:rsid w:val="009A64B4"/>
    <w:rsid w:val="009C08BE"/>
    <w:rsid w:val="009C50C9"/>
    <w:rsid w:val="009C7CFE"/>
    <w:rsid w:val="009D2D1C"/>
    <w:rsid w:val="009E05F5"/>
    <w:rsid w:val="00A123AB"/>
    <w:rsid w:val="00A54BDE"/>
    <w:rsid w:val="00A62976"/>
    <w:rsid w:val="00AF10B2"/>
    <w:rsid w:val="00B34A4A"/>
    <w:rsid w:val="00B5050E"/>
    <w:rsid w:val="00BE32E8"/>
    <w:rsid w:val="00CD257F"/>
    <w:rsid w:val="00CE04AE"/>
    <w:rsid w:val="00CE10FB"/>
    <w:rsid w:val="00D04690"/>
    <w:rsid w:val="00D23364"/>
    <w:rsid w:val="00D26EBC"/>
    <w:rsid w:val="00D47ADD"/>
    <w:rsid w:val="00D511C4"/>
    <w:rsid w:val="00DF011D"/>
    <w:rsid w:val="00E060BD"/>
    <w:rsid w:val="00E17DEB"/>
    <w:rsid w:val="00E22EAB"/>
    <w:rsid w:val="00E41B00"/>
    <w:rsid w:val="00E516DF"/>
    <w:rsid w:val="00E64AD8"/>
    <w:rsid w:val="00E80F14"/>
    <w:rsid w:val="00F1024F"/>
    <w:rsid w:val="00FB1251"/>
    <w:rsid w:val="00FC52EE"/>
    <w:rsid w:val="00FC69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381CD"/>
  <w15:chartTrackingRefBased/>
  <w15:docId w15:val="{2D6CF874-6205-4DD4-8B5E-6B64B5B3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2AC"/>
    <w:pPr>
      <w:spacing w:after="0" w:line="240" w:lineRule="auto"/>
      <w:jc w:val="both"/>
    </w:pPr>
    <w:rPr>
      <w:rFonts w:ascii="Arial" w:eastAsia="Times New Roman" w:hAnsi="Arial" w:cs="Times New Roman"/>
      <w:sz w:val="30"/>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D02AC"/>
    <w:pPr>
      <w:tabs>
        <w:tab w:val="center" w:pos="4419"/>
        <w:tab w:val="right" w:pos="8838"/>
      </w:tabs>
    </w:pPr>
  </w:style>
  <w:style w:type="character" w:customStyle="1" w:styleId="EncabezadoCar">
    <w:name w:val="Encabezado Car"/>
    <w:basedOn w:val="Fuentedeprrafopredeter"/>
    <w:link w:val="Encabezado"/>
    <w:rsid w:val="004D02AC"/>
    <w:rPr>
      <w:rFonts w:ascii="Arial" w:eastAsia="Times New Roman" w:hAnsi="Arial" w:cs="Times New Roman"/>
      <w:sz w:val="30"/>
      <w:szCs w:val="24"/>
      <w:lang w:eastAsia="es-MX"/>
    </w:rPr>
  </w:style>
  <w:style w:type="paragraph" w:styleId="Piedepgina">
    <w:name w:val="footer"/>
    <w:basedOn w:val="Normal"/>
    <w:link w:val="PiedepginaCar"/>
    <w:uiPriority w:val="99"/>
    <w:unhideWhenUsed/>
    <w:rsid w:val="004D02AC"/>
    <w:pPr>
      <w:tabs>
        <w:tab w:val="center" w:pos="4419"/>
        <w:tab w:val="right" w:pos="8838"/>
      </w:tabs>
    </w:pPr>
  </w:style>
  <w:style w:type="character" w:customStyle="1" w:styleId="PiedepginaCar">
    <w:name w:val="Pie de página Car"/>
    <w:basedOn w:val="Fuentedeprrafopredeter"/>
    <w:link w:val="Piedepgina"/>
    <w:uiPriority w:val="99"/>
    <w:rsid w:val="004D02AC"/>
    <w:rPr>
      <w:rFonts w:ascii="Arial" w:eastAsia="Times New Roman" w:hAnsi="Arial" w:cs="Times New Roman"/>
      <w:sz w:val="30"/>
      <w:szCs w:val="24"/>
      <w:lang w:eastAsia="es-MX"/>
    </w:rPr>
  </w:style>
  <w:style w:type="character" w:customStyle="1" w:styleId="corte4fondoCar2">
    <w:name w:val="corte4 fondo Car2"/>
    <w:link w:val="corte4fondo"/>
    <w:locked/>
    <w:rsid w:val="004D02AC"/>
    <w:rPr>
      <w:rFonts w:ascii="Arial" w:eastAsia="Times New Roman" w:hAnsi="Arial" w:cs="Times New Roman"/>
      <w:sz w:val="30"/>
      <w:szCs w:val="24"/>
      <w:lang w:val="es-ES_tradnl" w:eastAsia="es-MX"/>
    </w:rPr>
  </w:style>
  <w:style w:type="paragraph" w:customStyle="1" w:styleId="corte4fondo">
    <w:name w:val="corte4 fondo"/>
    <w:basedOn w:val="Normal"/>
    <w:link w:val="corte4fondoCar2"/>
    <w:qFormat/>
    <w:rsid w:val="004D02AC"/>
    <w:pPr>
      <w:spacing w:line="360" w:lineRule="auto"/>
      <w:ind w:firstLine="709"/>
    </w:pPr>
    <w:rPr>
      <w:lang w:val="es-ES_tradnl"/>
    </w:rPr>
  </w:style>
  <w:style w:type="paragraph" w:customStyle="1" w:styleId="corte4fondoCarCar">
    <w:name w:val="corte4 fondo Car Car"/>
    <w:basedOn w:val="Normal"/>
    <w:link w:val="corte4fondoCarCarCar"/>
    <w:rsid w:val="004D02AC"/>
    <w:pPr>
      <w:spacing w:line="360" w:lineRule="auto"/>
      <w:ind w:firstLine="709"/>
    </w:pPr>
    <w:rPr>
      <w:szCs w:val="20"/>
    </w:rPr>
  </w:style>
  <w:style w:type="character" w:customStyle="1" w:styleId="corte4fondoCarCarCar">
    <w:name w:val="corte4 fondo Car Car Car"/>
    <w:link w:val="corte4fondoCarCar"/>
    <w:locked/>
    <w:rsid w:val="004D02AC"/>
    <w:rPr>
      <w:rFonts w:ascii="Arial" w:eastAsia="Times New Roman" w:hAnsi="Arial" w:cs="Times New Roman"/>
      <w:sz w:val="30"/>
      <w:szCs w:val="20"/>
      <w:lang w:eastAsia="es-MX"/>
    </w:rPr>
  </w:style>
  <w:style w:type="character" w:styleId="Refdecomentario">
    <w:name w:val="annotation reference"/>
    <w:basedOn w:val="Fuentedeprrafopredeter"/>
    <w:uiPriority w:val="99"/>
    <w:semiHidden/>
    <w:unhideWhenUsed/>
    <w:rsid w:val="00CE04AE"/>
    <w:rPr>
      <w:sz w:val="16"/>
      <w:szCs w:val="16"/>
    </w:rPr>
  </w:style>
  <w:style w:type="paragraph" w:styleId="Textocomentario">
    <w:name w:val="annotation text"/>
    <w:basedOn w:val="Normal"/>
    <w:link w:val="TextocomentarioCar"/>
    <w:uiPriority w:val="99"/>
    <w:semiHidden/>
    <w:unhideWhenUsed/>
    <w:rsid w:val="00CE04AE"/>
    <w:rPr>
      <w:sz w:val="20"/>
      <w:szCs w:val="20"/>
    </w:rPr>
  </w:style>
  <w:style w:type="character" w:customStyle="1" w:styleId="TextocomentarioCar">
    <w:name w:val="Texto comentario Car"/>
    <w:basedOn w:val="Fuentedeprrafopredeter"/>
    <w:link w:val="Textocomentario"/>
    <w:uiPriority w:val="99"/>
    <w:semiHidden/>
    <w:rsid w:val="00CE04AE"/>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E04AE"/>
    <w:rPr>
      <w:b/>
      <w:bCs/>
    </w:rPr>
  </w:style>
  <w:style w:type="character" w:customStyle="1" w:styleId="AsuntodelcomentarioCar">
    <w:name w:val="Asunto del comentario Car"/>
    <w:basedOn w:val="TextocomentarioCar"/>
    <w:link w:val="Asuntodelcomentario"/>
    <w:uiPriority w:val="99"/>
    <w:semiHidden/>
    <w:rsid w:val="00CE04AE"/>
    <w:rPr>
      <w:rFonts w:ascii="Arial" w:eastAsia="Times New Roman" w:hAnsi="Arial" w:cs="Times New Roman"/>
      <w:b/>
      <w:bCs/>
      <w:sz w:val="20"/>
      <w:szCs w:val="20"/>
      <w:lang w:eastAsia="es-MX"/>
    </w:rPr>
  </w:style>
  <w:style w:type="paragraph" w:styleId="Revisin">
    <w:name w:val="Revision"/>
    <w:hidden/>
    <w:uiPriority w:val="99"/>
    <w:semiHidden/>
    <w:rsid w:val="004C624B"/>
    <w:pPr>
      <w:spacing w:after="0" w:line="240" w:lineRule="auto"/>
    </w:pPr>
    <w:rPr>
      <w:rFonts w:ascii="Arial" w:eastAsia="Times New Roman" w:hAnsi="Arial" w:cs="Times New Roman"/>
      <w:sz w:val="30"/>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5C893-03D3-402B-BB6E-FF0A80BE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334</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GUADALUPE FLORES DE QUEVEDO</dc:creator>
  <cp:keywords/>
  <dc:description/>
  <cp:lastModifiedBy>MIGUEL ANGEL ANDRADE SOLANA</cp:lastModifiedBy>
  <cp:revision>5</cp:revision>
  <dcterms:created xsi:type="dcterms:W3CDTF">2022-06-05T04:13:00Z</dcterms:created>
  <dcterms:modified xsi:type="dcterms:W3CDTF">2022-06-05T04:20:00Z</dcterms:modified>
</cp:coreProperties>
</file>