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FB40" w14:textId="7AE56C3A" w:rsidR="009E28DD" w:rsidRDefault="009E28DD" w:rsidP="00A519F1">
      <w:pPr>
        <w:spacing w:before="240" w:after="240" w:line="360" w:lineRule="auto"/>
        <w:jc w:val="both"/>
        <w:rPr>
          <w:rFonts w:ascii="Arial" w:hAnsi="Arial" w:cs="Arial"/>
          <w:b/>
          <w:sz w:val="28"/>
          <w:szCs w:val="28"/>
        </w:rPr>
      </w:pPr>
      <w:r w:rsidRPr="009E28DD">
        <w:rPr>
          <w:rFonts w:ascii="Arial" w:hAnsi="Arial" w:cs="Arial"/>
          <w:b/>
          <w:sz w:val="28"/>
          <w:szCs w:val="28"/>
        </w:rPr>
        <w:t>VOTO CONCURRENTE QUE FORMULA LA MINISTRA ANA MARGARITA RÍOS FARJAT EN LA ACCIÓN DE INCONSTITUCIONALIDAD 106/2019</w:t>
      </w:r>
    </w:p>
    <w:p w14:paraId="1A053BBE" w14:textId="77777777" w:rsidR="002C05C9" w:rsidRPr="00C223C8" w:rsidRDefault="002C05C9" w:rsidP="004D69F6">
      <w:pPr>
        <w:spacing w:before="240" w:after="240" w:line="360" w:lineRule="auto"/>
        <w:rPr>
          <w:rFonts w:ascii="Arial" w:eastAsiaTheme="minorHAnsi" w:hAnsi="Arial" w:cs="Arial"/>
          <w:b/>
          <w:spacing w:val="60"/>
          <w:sz w:val="26"/>
          <w:szCs w:val="26"/>
          <w:lang w:val="es-MX" w:eastAsia="en-US"/>
        </w:rPr>
      </w:pPr>
    </w:p>
    <w:p w14:paraId="54D7E347" w14:textId="357F3C32" w:rsidR="009E21BD" w:rsidRDefault="009E21BD" w:rsidP="009E21BD">
      <w:pPr>
        <w:spacing w:before="240" w:after="360" w:line="360" w:lineRule="auto"/>
        <w:jc w:val="both"/>
        <w:rPr>
          <w:rFonts w:ascii="Arial" w:hAnsi="Arial" w:cs="Arial"/>
          <w:sz w:val="26"/>
          <w:szCs w:val="26"/>
        </w:rPr>
      </w:pPr>
      <w:r w:rsidRPr="00C16F22">
        <w:rPr>
          <w:rFonts w:ascii="Arial" w:hAnsi="Arial" w:cs="Arial"/>
          <w:sz w:val="26"/>
          <w:szCs w:val="26"/>
        </w:rPr>
        <w:t xml:space="preserve">En sesión celebrada el </w:t>
      </w:r>
      <w:r w:rsidR="000C376C">
        <w:rPr>
          <w:rFonts w:ascii="Arial" w:hAnsi="Arial" w:cs="Arial"/>
          <w:sz w:val="26"/>
          <w:szCs w:val="26"/>
        </w:rPr>
        <w:t xml:space="preserve">diecinueve de abril de </w:t>
      </w:r>
      <w:r w:rsidRPr="00C16F22">
        <w:rPr>
          <w:rFonts w:ascii="Arial" w:hAnsi="Arial" w:cs="Arial"/>
          <w:sz w:val="26"/>
          <w:szCs w:val="26"/>
        </w:rPr>
        <w:t>dos mil vein</w:t>
      </w:r>
      <w:r w:rsidR="000C376C">
        <w:rPr>
          <w:rFonts w:ascii="Arial" w:hAnsi="Arial" w:cs="Arial"/>
          <w:sz w:val="26"/>
          <w:szCs w:val="26"/>
        </w:rPr>
        <w:t>tiuno</w:t>
      </w:r>
      <w:r w:rsidRPr="00C16F22">
        <w:rPr>
          <w:rFonts w:ascii="Arial" w:hAnsi="Arial" w:cs="Arial"/>
          <w:sz w:val="26"/>
          <w:szCs w:val="26"/>
        </w:rPr>
        <w:t xml:space="preserve">, el Pleno de la Suprema Corte de Justicia de la Nación resolvió </w:t>
      </w:r>
      <w:r w:rsidR="003D25A6">
        <w:rPr>
          <w:rFonts w:ascii="Arial" w:hAnsi="Arial" w:cs="Arial"/>
          <w:sz w:val="26"/>
          <w:szCs w:val="26"/>
        </w:rPr>
        <w:t>l</w:t>
      </w:r>
      <w:r w:rsidRPr="00C16F22">
        <w:rPr>
          <w:rFonts w:ascii="Arial" w:hAnsi="Arial" w:cs="Arial"/>
          <w:sz w:val="26"/>
          <w:szCs w:val="26"/>
        </w:rPr>
        <w:t xml:space="preserve">a </w:t>
      </w:r>
      <w:r w:rsidR="003D25A6">
        <w:rPr>
          <w:rFonts w:ascii="Arial" w:hAnsi="Arial" w:cs="Arial"/>
          <w:sz w:val="26"/>
          <w:szCs w:val="26"/>
        </w:rPr>
        <w:t xml:space="preserve">mencionada </w:t>
      </w:r>
      <w:r w:rsidRPr="00C16F22">
        <w:rPr>
          <w:rFonts w:ascii="Arial" w:hAnsi="Arial" w:cs="Arial"/>
          <w:sz w:val="26"/>
          <w:szCs w:val="26"/>
        </w:rPr>
        <w:t>acción de inconstitucionalidad planteada por la Comisión Nacional de los Derechos Humanos, en la que alegó la inconstitucionalidad de diversos artículos de la</w:t>
      </w:r>
      <w:r>
        <w:rPr>
          <w:rFonts w:ascii="Arial" w:hAnsi="Arial" w:cs="Arial"/>
          <w:sz w:val="26"/>
          <w:szCs w:val="26"/>
        </w:rPr>
        <w:t xml:space="preserve"> </w:t>
      </w:r>
      <w:r w:rsidRPr="00882B91">
        <w:rPr>
          <w:rFonts w:ascii="Arial" w:hAnsi="Arial" w:cs="Arial"/>
          <w:sz w:val="26"/>
          <w:szCs w:val="26"/>
        </w:rPr>
        <w:t xml:space="preserve">Ley Orgánica </w:t>
      </w:r>
      <w:r>
        <w:rPr>
          <w:rFonts w:ascii="Arial" w:hAnsi="Arial" w:cs="Arial"/>
          <w:sz w:val="26"/>
          <w:szCs w:val="26"/>
        </w:rPr>
        <w:t>d</w:t>
      </w:r>
      <w:r w:rsidRPr="00882B91">
        <w:rPr>
          <w:rFonts w:ascii="Arial" w:hAnsi="Arial" w:cs="Arial"/>
          <w:sz w:val="26"/>
          <w:szCs w:val="26"/>
        </w:rPr>
        <w:t xml:space="preserve">e </w:t>
      </w:r>
      <w:r>
        <w:rPr>
          <w:rFonts w:ascii="Arial" w:hAnsi="Arial" w:cs="Arial"/>
          <w:sz w:val="26"/>
          <w:szCs w:val="26"/>
        </w:rPr>
        <w:t>la</w:t>
      </w:r>
      <w:r w:rsidRPr="00882B91">
        <w:rPr>
          <w:rFonts w:ascii="Arial" w:hAnsi="Arial" w:cs="Arial"/>
          <w:sz w:val="26"/>
          <w:szCs w:val="26"/>
        </w:rPr>
        <w:t xml:space="preserve"> </w:t>
      </w:r>
      <w:proofErr w:type="gramStart"/>
      <w:r w:rsidRPr="00882B91">
        <w:rPr>
          <w:rFonts w:ascii="Arial" w:hAnsi="Arial" w:cs="Arial"/>
          <w:sz w:val="26"/>
          <w:szCs w:val="26"/>
        </w:rPr>
        <w:t>Fiscalía</w:t>
      </w:r>
      <w:r>
        <w:rPr>
          <w:rFonts w:ascii="Arial" w:hAnsi="Arial" w:cs="Arial"/>
          <w:sz w:val="26"/>
          <w:szCs w:val="26"/>
        </w:rPr>
        <w:t xml:space="preserve"> </w:t>
      </w:r>
      <w:r w:rsidRPr="00882B91">
        <w:rPr>
          <w:rFonts w:ascii="Arial" w:hAnsi="Arial" w:cs="Arial"/>
          <w:sz w:val="26"/>
          <w:szCs w:val="26"/>
        </w:rPr>
        <w:t>General</w:t>
      </w:r>
      <w:proofErr w:type="gramEnd"/>
      <w:r w:rsidRPr="00882B91">
        <w:rPr>
          <w:rFonts w:ascii="Arial" w:hAnsi="Arial" w:cs="Arial"/>
          <w:sz w:val="26"/>
          <w:szCs w:val="26"/>
        </w:rPr>
        <w:t xml:space="preserve"> </w:t>
      </w:r>
      <w:r>
        <w:rPr>
          <w:rFonts w:ascii="Arial" w:hAnsi="Arial" w:cs="Arial"/>
          <w:sz w:val="26"/>
          <w:szCs w:val="26"/>
        </w:rPr>
        <w:t>d</w:t>
      </w:r>
      <w:r w:rsidRPr="00882B91">
        <w:rPr>
          <w:rFonts w:ascii="Arial" w:hAnsi="Arial" w:cs="Arial"/>
          <w:sz w:val="26"/>
          <w:szCs w:val="26"/>
        </w:rPr>
        <w:t xml:space="preserve">e Justicia </w:t>
      </w:r>
      <w:r>
        <w:rPr>
          <w:rFonts w:ascii="Arial" w:hAnsi="Arial" w:cs="Arial"/>
          <w:sz w:val="26"/>
          <w:szCs w:val="26"/>
        </w:rPr>
        <w:t>d</w:t>
      </w:r>
      <w:r w:rsidRPr="00882B91">
        <w:rPr>
          <w:rFonts w:ascii="Arial" w:hAnsi="Arial" w:cs="Arial"/>
          <w:sz w:val="26"/>
          <w:szCs w:val="26"/>
        </w:rPr>
        <w:t xml:space="preserve">el Estado </w:t>
      </w:r>
      <w:r>
        <w:rPr>
          <w:rFonts w:ascii="Arial" w:hAnsi="Arial" w:cs="Arial"/>
          <w:sz w:val="26"/>
          <w:szCs w:val="26"/>
        </w:rPr>
        <w:t>d</w:t>
      </w:r>
      <w:r w:rsidRPr="00882B91">
        <w:rPr>
          <w:rFonts w:ascii="Arial" w:hAnsi="Arial" w:cs="Arial"/>
          <w:sz w:val="26"/>
          <w:szCs w:val="26"/>
        </w:rPr>
        <w:t xml:space="preserve">e Tamaulipas, </w:t>
      </w:r>
      <w:r>
        <w:rPr>
          <w:rFonts w:ascii="Arial" w:hAnsi="Arial" w:cs="Arial"/>
          <w:sz w:val="26"/>
          <w:szCs w:val="26"/>
        </w:rPr>
        <w:t>p</w:t>
      </w:r>
      <w:r w:rsidRPr="00882B91">
        <w:rPr>
          <w:rFonts w:ascii="Arial" w:hAnsi="Arial" w:cs="Arial"/>
          <w:sz w:val="26"/>
          <w:szCs w:val="26"/>
        </w:rPr>
        <w:t xml:space="preserve">ublicada </w:t>
      </w:r>
      <w:r>
        <w:rPr>
          <w:rFonts w:ascii="Arial" w:hAnsi="Arial" w:cs="Arial"/>
          <w:sz w:val="26"/>
          <w:szCs w:val="26"/>
        </w:rPr>
        <w:t>m</w:t>
      </w:r>
      <w:r w:rsidRPr="00882B91">
        <w:rPr>
          <w:rFonts w:ascii="Arial" w:hAnsi="Arial" w:cs="Arial"/>
          <w:sz w:val="26"/>
          <w:szCs w:val="26"/>
        </w:rPr>
        <w:t>ediante</w:t>
      </w:r>
      <w:r>
        <w:rPr>
          <w:rFonts w:ascii="Arial" w:hAnsi="Arial" w:cs="Arial"/>
          <w:sz w:val="26"/>
          <w:szCs w:val="26"/>
        </w:rPr>
        <w:t xml:space="preserve"> el</w:t>
      </w:r>
      <w:r w:rsidRPr="00882B91">
        <w:rPr>
          <w:rFonts w:ascii="Arial" w:hAnsi="Arial" w:cs="Arial"/>
          <w:sz w:val="26"/>
          <w:szCs w:val="26"/>
        </w:rPr>
        <w:t xml:space="preserve"> Decreto LXIII-810</w:t>
      </w:r>
      <w:r>
        <w:rPr>
          <w:rFonts w:ascii="Arial" w:hAnsi="Arial" w:cs="Arial"/>
          <w:sz w:val="26"/>
          <w:szCs w:val="26"/>
        </w:rPr>
        <w:t>, e</w:t>
      </w:r>
      <w:r w:rsidRPr="00882B91">
        <w:rPr>
          <w:rFonts w:ascii="Arial" w:hAnsi="Arial" w:cs="Arial"/>
          <w:sz w:val="26"/>
          <w:szCs w:val="26"/>
        </w:rPr>
        <w:t xml:space="preserve">n El Periódico Oficial de esa entidad </w:t>
      </w:r>
      <w:r>
        <w:rPr>
          <w:rFonts w:ascii="Arial" w:hAnsi="Arial" w:cs="Arial"/>
          <w:sz w:val="26"/>
          <w:szCs w:val="26"/>
        </w:rPr>
        <w:t>el</w:t>
      </w:r>
      <w:r w:rsidRPr="00882B91">
        <w:rPr>
          <w:rFonts w:ascii="Arial" w:hAnsi="Arial" w:cs="Arial"/>
          <w:sz w:val="26"/>
          <w:szCs w:val="26"/>
        </w:rPr>
        <w:t xml:space="preserve"> veinte de agosto de dos mil diecinueve</w:t>
      </w:r>
      <w:r w:rsidRPr="00C16F22">
        <w:rPr>
          <w:rFonts w:ascii="Arial" w:hAnsi="Arial" w:cs="Arial"/>
          <w:sz w:val="26"/>
          <w:szCs w:val="26"/>
        </w:rPr>
        <w:t>.</w:t>
      </w:r>
    </w:p>
    <w:p w14:paraId="369437C6" w14:textId="23A00876" w:rsidR="007C7BF2" w:rsidRDefault="009E21BD" w:rsidP="009E21BD">
      <w:pPr>
        <w:spacing w:before="240" w:after="360" w:line="360" w:lineRule="auto"/>
        <w:jc w:val="both"/>
        <w:rPr>
          <w:rFonts w:ascii="Arial" w:hAnsi="Arial" w:cs="Arial"/>
          <w:sz w:val="26"/>
          <w:szCs w:val="26"/>
        </w:rPr>
      </w:pPr>
      <w:r>
        <w:rPr>
          <w:rFonts w:ascii="Arial" w:hAnsi="Arial" w:cs="Arial"/>
          <w:sz w:val="26"/>
          <w:szCs w:val="26"/>
        </w:rPr>
        <w:t>En este asunto se resolvieron diversas cuestiones relacionadas con la constitucionalidad de los artículos 21 y 24, en sus respectivas fracciones IV y VI</w:t>
      </w:r>
      <w:r>
        <w:rPr>
          <w:rStyle w:val="Refdenotaalpie"/>
          <w:rFonts w:ascii="Arial" w:hAnsi="Arial" w:cs="Arial"/>
          <w:sz w:val="26"/>
          <w:szCs w:val="26"/>
        </w:rPr>
        <w:footnoteReference w:id="1"/>
      </w:r>
      <w:r>
        <w:rPr>
          <w:rFonts w:ascii="Arial" w:hAnsi="Arial" w:cs="Arial"/>
          <w:sz w:val="26"/>
          <w:szCs w:val="26"/>
        </w:rPr>
        <w:t xml:space="preserve">, de la Ley Orgánica referida, que prevén los requisitos de no haber sido condenado por delito doloso mediante sentencia que haya causado ejecutoria y no haber sido </w:t>
      </w:r>
      <w:r w:rsidRPr="00DD6244">
        <w:rPr>
          <w:rFonts w:ascii="Arial" w:hAnsi="Arial" w:cs="Arial"/>
          <w:sz w:val="26"/>
          <w:szCs w:val="26"/>
        </w:rPr>
        <w:t>suspendido, destituido, ni inhabilitado administrativamente</w:t>
      </w:r>
      <w:r>
        <w:rPr>
          <w:rFonts w:ascii="Arial" w:hAnsi="Arial" w:cs="Arial"/>
          <w:sz w:val="26"/>
          <w:szCs w:val="26"/>
        </w:rPr>
        <w:t>, para ocupar los cargos de Vicefiscal y titular de la Fiscalía Especializada, ambos de la Fiscalía General de Tamaulipas. En otro aspecto, se analizó la constitucionalidad del artículo 67</w:t>
      </w:r>
      <w:r>
        <w:rPr>
          <w:rStyle w:val="Refdenotaalpie"/>
          <w:rFonts w:ascii="Arial" w:hAnsi="Arial" w:cs="Arial"/>
          <w:sz w:val="26"/>
          <w:szCs w:val="26"/>
        </w:rPr>
        <w:footnoteReference w:id="2"/>
      </w:r>
      <w:r>
        <w:rPr>
          <w:rFonts w:ascii="Arial" w:hAnsi="Arial" w:cs="Arial"/>
          <w:sz w:val="26"/>
          <w:szCs w:val="26"/>
        </w:rPr>
        <w:t xml:space="preserve">, el cual dispone que </w:t>
      </w:r>
      <w:r w:rsidRPr="00DD6244">
        <w:rPr>
          <w:rFonts w:ascii="Arial" w:hAnsi="Arial" w:cs="Arial"/>
          <w:sz w:val="26"/>
          <w:szCs w:val="26"/>
        </w:rPr>
        <w:t xml:space="preserve">la información contenida en los expedientes y reportes de resultados de los exámenes de evaluación será considerada </w:t>
      </w:r>
      <w:r>
        <w:rPr>
          <w:rFonts w:ascii="Arial" w:hAnsi="Arial" w:cs="Arial"/>
          <w:sz w:val="26"/>
          <w:szCs w:val="26"/>
        </w:rPr>
        <w:t xml:space="preserve">como </w:t>
      </w:r>
      <w:r w:rsidRPr="00DD6244">
        <w:rPr>
          <w:rFonts w:ascii="Arial" w:hAnsi="Arial" w:cs="Arial"/>
          <w:sz w:val="26"/>
          <w:szCs w:val="26"/>
        </w:rPr>
        <w:t>reservada</w:t>
      </w:r>
      <w:r>
        <w:rPr>
          <w:rFonts w:ascii="Arial" w:hAnsi="Arial" w:cs="Arial"/>
          <w:sz w:val="26"/>
          <w:szCs w:val="26"/>
        </w:rPr>
        <w:t xml:space="preserve">. </w:t>
      </w:r>
    </w:p>
    <w:p w14:paraId="79370B68" w14:textId="391207B3"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lastRenderedPageBreak/>
        <w:t>El</w:t>
      </w:r>
      <w:r w:rsidR="007C7BF2">
        <w:rPr>
          <w:rFonts w:ascii="Arial" w:hAnsi="Arial" w:cs="Arial"/>
          <w:sz w:val="26"/>
          <w:szCs w:val="26"/>
        </w:rPr>
        <w:t xml:space="preserve"> Tribunal</w:t>
      </w:r>
      <w:r>
        <w:rPr>
          <w:rFonts w:ascii="Arial" w:hAnsi="Arial" w:cs="Arial"/>
          <w:sz w:val="26"/>
          <w:szCs w:val="26"/>
        </w:rPr>
        <w:t xml:space="preserve"> Pleno, por mayoría de votos, reconoció la validez de</w:t>
      </w:r>
      <w:r w:rsidR="001E4162">
        <w:rPr>
          <w:rFonts w:ascii="Arial" w:hAnsi="Arial" w:cs="Arial"/>
          <w:sz w:val="26"/>
          <w:szCs w:val="26"/>
        </w:rPr>
        <w:t xml:space="preserve"> </w:t>
      </w:r>
      <w:r>
        <w:rPr>
          <w:rFonts w:ascii="Arial" w:hAnsi="Arial" w:cs="Arial"/>
          <w:sz w:val="26"/>
          <w:szCs w:val="26"/>
        </w:rPr>
        <w:t>l</w:t>
      </w:r>
      <w:r w:rsidR="001E4162">
        <w:rPr>
          <w:rFonts w:ascii="Arial" w:hAnsi="Arial" w:cs="Arial"/>
          <w:sz w:val="26"/>
          <w:szCs w:val="26"/>
        </w:rPr>
        <w:t>os</w:t>
      </w:r>
      <w:r>
        <w:rPr>
          <w:rFonts w:ascii="Arial" w:hAnsi="Arial" w:cs="Arial"/>
          <w:sz w:val="26"/>
          <w:szCs w:val="26"/>
        </w:rPr>
        <w:t xml:space="preserve"> artículo</w:t>
      </w:r>
      <w:r w:rsidR="001E4162">
        <w:rPr>
          <w:rFonts w:ascii="Arial" w:hAnsi="Arial" w:cs="Arial"/>
          <w:sz w:val="26"/>
          <w:szCs w:val="26"/>
        </w:rPr>
        <w:t>s</w:t>
      </w:r>
      <w:r>
        <w:rPr>
          <w:rFonts w:ascii="Arial" w:hAnsi="Arial" w:cs="Arial"/>
          <w:sz w:val="26"/>
          <w:szCs w:val="26"/>
        </w:rPr>
        <w:t xml:space="preserve"> 21, fracción IV y 67</w:t>
      </w:r>
      <w:r>
        <w:rPr>
          <w:rStyle w:val="Refdenotaalpie"/>
          <w:rFonts w:ascii="Arial" w:hAnsi="Arial" w:cs="Arial"/>
          <w:sz w:val="26"/>
          <w:szCs w:val="26"/>
        </w:rPr>
        <w:footnoteReference w:id="3"/>
      </w:r>
      <w:r>
        <w:rPr>
          <w:rFonts w:ascii="Arial" w:hAnsi="Arial" w:cs="Arial"/>
          <w:sz w:val="26"/>
          <w:szCs w:val="26"/>
        </w:rPr>
        <w:t>; asimismo, por mayoría de votos, declaró la invalidez del artículo 24, fracción VI</w:t>
      </w:r>
      <w:r>
        <w:rPr>
          <w:rStyle w:val="Refdenotaalpie"/>
          <w:rFonts w:ascii="Arial" w:hAnsi="Arial" w:cs="Arial"/>
          <w:sz w:val="26"/>
          <w:szCs w:val="26"/>
        </w:rPr>
        <w:footnoteReference w:id="4"/>
      </w:r>
      <w:r>
        <w:rPr>
          <w:rFonts w:ascii="Arial" w:hAnsi="Arial" w:cs="Arial"/>
          <w:sz w:val="26"/>
          <w:szCs w:val="26"/>
        </w:rPr>
        <w:t xml:space="preserve">. Compartí el sentido de la resolución, pero no todas sus consideraciones, </w:t>
      </w:r>
      <w:r w:rsidR="007C7BF2">
        <w:rPr>
          <w:rFonts w:ascii="Arial" w:hAnsi="Arial" w:cs="Arial"/>
          <w:sz w:val="26"/>
          <w:szCs w:val="26"/>
        </w:rPr>
        <w:t>a partir de las siguientes consideraciones.</w:t>
      </w:r>
    </w:p>
    <w:p w14:paraId="4FBD9535" w14:textId="136FD718" w:rsidR="009E21BD" w:rsidRPr="0057798A" w:rsidRDefault="009E21BD" w:rsidP="009E21BD">
      <w:pPr>
        <w:spacing w:before="240" w:after="360" w:line="360" w:lineRule="auto"/>
        <w:ind w:left="284" w:hanging="284"/>
        <w:jc w:val="both"/>
        <w:rPr>
          <w:rFonts w:ascii="Arial" w:hAnsi="Arial" w:cs="Arial"/>
          <w:b/>
          <w:bCs/>
          <w:sz w:val="26"/>
          <w:szCs w:val="26"/>
        </w:rPr>
      </w:pPr>
      <w:r w:rsidRPr="00B63BBF">
        <w:rPr>
          <w:rFonts w:ascii="Arial" w:hAnsi="Arial" w:cs="Arial"/>
          <w:b/>
          <w:bCs/>
          <w:sz w:val="26"/>
          <w:szCs w:val="26"/>
        </w:rPr>
        <w:t>I. Requisito de no haber sido condenado por delito doloso mediante sentencia que haya causado ejecutoria</w:t>
      </w:r>
      <w:r w:rsidR="009E729E">
        <w:rPr>
          <w:rFonts w:ascii="Arial" w:hAnsi="Arial" w:cs="Arial"/>
          <w:b/>
          <w:bCs/>
          <w:sz w:val="26"/>
          <w:szCs w:val="26"/>
        </w:rPr>
        <w:t>.</w:t>
      </w:r>
    </w:p>
    <w:p w14:paraId="3711F8FB" w14:textId="5B10BFB0"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Los artículos 21, fracción IV</w:t>
      </w:r>
      <w:r w:rsidR="00FF215F">
        <w:rPr>
          <w:rFonts w:ascii="Arial" w:hAnsi="Arial" w:cs="Arial"/>
          <w:sz w:val="26"/>
          <w:szCs w:val="26"/>
        </w:rPr>
        <w:t>,</w:t>
      </w:r>
      <w:r>
        <w:rPr>
          <w:rFonts w:ascii="Arial" w:hAnsi="Arial" w:cs="Arial"/>
          <w:sz w:val="26"/>
          <w:szCs w:val="26"/>
        </w:rPr>
        <w:t xml:space="preserve"> y 24, fracción IV, de la </w:t>
      </w:r>
      <w:r w:rsidR="000D0847">
        <w:rPr>
          <w:rFonts w:ascii="Arial" w:hAnsi="Arial" w:cs="Arial"/>
          <w:sz w:val="26"/>
          <w:szCs w:val="26"/>
        </w:rPr>
        <w:t>L</w:t>
      </w:r>
      <w:r>
        <w:rPr>
          <w:rFonts w:ascii="Arial" w:hAnsi="Arial" w:cs="Arial"/>
          <w:sz w:val="26"/>
          <w:szCs w:val="26"/>
        </w:rPr>
        <w:t xml:space="preserve">ey </w:t>
      </w:r>
      <w:r w:rsidR="000D0847">
        <w:rPr>
          <w:rFonts w:ascii="Arial" w:hAnsi="Arial" w:cs="Arial"/>
          <w:sz w:val="26"/>
          <w:szCs w:val="26"/>
        </w:rPr>
        <w:t>O</w:t>
      </w:r>
      <w:r>
        <w:rPr>
          <w:rFonts w:ascii="Arial" w:hAnsi="Arial" w:cs="Arial"/>
          <w:sz w:val="26"/>
          <w:szCs w:val="26"/>
        </w:rPr>
        <w:t xml:space="preserve">rgánica impugnada, establecen el requisito para ocupar, respectivamente, los cargos de </w:t>
      </w:r>
      <w:r w:rsidR="00580662">
        <w:rPr>
          <w:rFonts w:ascii="Arial" w:hAnsi="Arial" w:cs="Arial"/>
          <w:sz w:val="26"/>
          <w:szCs w:val="26"/>
        </w:rPr>
        <w:t>V</w:t>
      </w:r>
      <w:r>
        <w:rPr>
          <w:rFonts w:ascii="Arial" w:hAnsi="Arial" w:cs="Arial"/>
          <w:sz w:val="26"/>
          <w:szCs w:val="26"/>
        </w:rPr>
        <w:t xml:space="preserve">icefiscal y titular de la Fiscalía Especializada, consistente en </w:t>
      </w:r>
      <w:r w:rsidRPr="0095215C">
        <w:rPr>
          <w:rFonts w:ascii="Arial" w:hAnsi="Arial" w:cs="Arial"/>
          <w:sz w:val="26"/>
          <w:szCs w:val="26"/>
        </w:rPr>
        <w:t>no haber sido condenado por la comisión de delito doloso mediante sentencia que haya causado ejecutoria</w:t>
      </w:r>
      <w:r>
        <w:rPr>
          <w:rFonts w:ascii="Arial" w:hAnsi="Arial" w:cs="Arial"/>
          <w:sz w:val="26"/>
          <w:szCs w:val="26"/>
        </w:rPr>
        <w:t>.</w:t>
      </w:r>
    </w:p>
    <w:p w14:paraId="47899025" w14:textId="43919AA5" w:rsidR="009E21BD" w:rsidRPr="00317A49" w:rsidRDefault="009E21BD" w:rsidP="009E21BD">
      <w:pPr>
        <w:spacing w:before="240" w:after="360" w:line="360" w:lineRule="auto"/>
        <w:jc w:val="both"/>
        <w:rPr>
          <w:rFonts w:ascii="Arial" w:hAnsi="Arial" w:cs="Arial"/>
          <w:sz w:val="26"/>
          <w:szCs w:val="26"/>
        </w:rPr>
      </w:pPr>
      <w:r>
        <w:rPr>
          <w:rFonts w:ascii="Arial" w:hAnsi="Arial" w:cs="Arial"/>
          <w:sz w:val="26"/>
          <w:szCs w:val="26"/>
        </w:rPr>
        <w:t>Desde mi punto de vista</w:t>
      </w:r>
      <w:r w:rsidRPr="00317A49">
        <w:rPr>
          <w:rFonts w:ascii="Arial" w:hAnsi="Arial" w:cs="Arial"/>
          <w:sz w:val="26"/>
          <w:szCs w:val="26"/>
        </w:rPr>
        <w:t xml:space="preserve">, el legislador local cuenta con libertad configurativa para establecer los requisitos que deban cumplir quienes aspiren a los cargos de </w:t>
      </w:r>
      <w:r w:rsidR="00580662">
        <w:rPr>
          <w:rFonts w:ascii="Arial" w:hAnsi="Arial" w:cs="Arial"/>
          <w:sz w:val="26"/>
          <w:szCs w:val="26"/>
        </w:rPr>
        <w:t>V</w:t>
      </w:r>
      <w:r w:rsidRPr="00317A49">
        <w:rPr>
          <w:rFonts w:ascii="Arial" w:hAnsi="Arial" w:cs="Arial"/>
          <w:sz w:val="26"/>
          <w:szCs w:val="26"/>
        </w:rPr>
        <w:t xml:space="preserve">icefiscal y </w:t>
      </w:r>
      <w:r w:rsidR="00580662">
        <w:rPr>
          <w:rFonts w:ascii="Arial" w:hAnsi="Arial" w:cs="Arial"/>
          <w:sz w:val="26"/>
          <w:szCs w:val="26"/>
        </w:rPr>
        <w:t>F</w:t>
      </w:r>
      <w:r w:rsidRPr="00317A49">
        <w:rPr>
          <w:rFonts w:ascii="Arial" w:hAnsi="Arial" w:cs="Arial"/>
          <w:sz w:val="26"/>
          <w:szCs w:val="26"/>
        </w:rPr>
        <w:t xml:space="preserve">iscal </w:t>
      </w:r>
      <w:r w:rsidR="00580662">
        <w:rPr>
          <w:rFonts w:ascii="Arial" w:hAnsi="Arial" w:cs="Arial"/>
          <w:sz w:val="26"/>
          <w:szCs w:val="26"/>
        </w:rPr>
        <w:t>E</w:t>
      </w:r>
      <w:r w:rsidRPr="00317A49">
        <w:rPr>
          <w:rFonts w:ascii="Arial" w:hAnsi="Arial" w:cs="Arial"/>
          <w:sz w:val="26"/>
          <w:szCs w:val="26"/>
        </w:rPr>
        <w:t xml:space="preserve">specializado en Tamaulipas. </w:t>
      </w:r>
      <w:r>
        <w:rPr>
          <w:rFonts w:ascii="Arial" w:hAnsi="Arial" w:cs="Arial"/>
          <w:sz w:val="26"/>
          <w:szCs w:val="26"/>
        </w:rPr>
        <w:t>Por esta razón, no comparto, como se sostiene en la decisión mayoritaria, que e</w:t>
      </w:r>
      <w:r w:rsidRPr="00317A49">
        <w:rPr>
          <w:rFonts w:ascii="Arial" w:hAnsi="Arial" w:cs="Arial"/>
          <w:sz w:val="26"/>
          <w:szCs w:val="26"/>
        </w:rPr>
        <w:t xml:space="preserve">l artículo 102, apartado A, párrafo segundo, de la Constitución </w:t>
      </w:r>
      <w:r w:rsidR="00580662">
        <w:rPr>
          <w:rFonts w:ascii="Arial" w:hAnsi="Arial" w:cs="Arial"/>
          <w:sz w:val="26"/>
          <w:szCs w:val="26"/>
        </w:rPr>
        <w:t>F</w:t>
      </w:r>
      <w:r w:rsidRPr="00317A49">
        <w:rPr>
          <w:rFonts w:ascii="Arial" w:hAnsi="Arial" w:cs="Arial"/>
          <w:sz w:val="26"/>
          <w:szCs w:val="26"/>
        </w:rPr>
        <w:t xml:space="preserve">ederal, </w:t>
      </w:r>
      <w:r>
        <w:rPr>
          <w:rFonts w:ascii="Arial" w:hAnsi="Arial" w:cs="Arial"/>
          <w:sz w:val="26"/>
          <w:szCs w:val="26"/>
        </w:rPr>
        <w:t xml:space="preserve">sea el </w:t>
      </w:r>
      <w:r w:rsidRPr="00317A49">
        <w:rPr>
          <w:rFonts w:ascii="Arial" w:hAnsi="Arial" w:cs="Arial"/>
          <w:sz w:val="26"/>
          <w:szCs w:val="26"/>
        </w:rPr>
        <w:t>parámetro de la regularidad constitucional del requisito analizado</w:t>
      </w:r>
      <w:r>
        <w:rPr>
          <w:rStyle w:val="Refdenotaalpie"/>
          <w:rFonts w:ascii="Arial" w:hAnsi="Arial" w:cs="Arial"/>
          <w:sz w:val="26"/>
          <w:szCs w:val="26"/>
        </w:rPr>
        <w:footnoteReference w:id="5"/>
      </w:r>
      <w:r w:rsidR="00CA1670">
        <w:rPr>
          <w:rFonts w:ascii="Arial" w:hAnsi="Arial" w:cs="Arial"/>
          <w:sz w:val="26"/>
          <w:szCs w:val="26"/>
        </w:rPr>
        <w:t xml:space="preserve">; no encuentro en el </w:t>
      </w:r>
      <w:r w:rsidR="00580662">
        <w:rPr>
          <w:rFonts w:ascii="Arial" w:hAnsi="Arial" w:cs="Arial"/>
          <w:sz w:val="26"/>
          <w:szCs w:val="26"/>
        </w:rPr>
        <w:t xml:space="preserve">referido </w:t>
      </w:r>
      <w:r w:rsidR="00CA1670">
        <w:rPr>
          <w:rFonts w:ascii="Arial" w:hAnsi="Arial" w:cs="Arial"/>
          <w:sz w:val="26"/>
          <w:szCs w:val="26"/>
        </w:rPr>
        <w:t>102 ninguna obligación que se imponga</w:t>
      </w:r>
      <w:r w:rsidR="005A28F3">
        <w:rPr>
          <w:rFonts w:ascii="Arial" w:hAnsi="Arial" w:cs="Arial"/>
          <w:sz w:val="26"/>
          <w:szCs w:val="26"/>
        </w:rPr>
        <w:t xml:space="preserve"> a los Estados a replicar</w:t>
      </w:r>
      <w:r w:rsidR="00CA1670">
        <w:rPr>
          <w:rFonts w:ascii="Arial" w:hAnsi="Arial" w:cs="Arial"/>
          <w:sz w:val="26"/>
          <w:szCs w:val="26"/>
        </w:rPr>
        <w:t xml:space="preserve"> exactamente los mismos requisitos.</w:t>
      </w:r>
    </w:p>
    <w:p w14:paraId="036BC8EA" w14:textId="02F01B43" w:rsidR="009E21BD" w:rsidRPr="00317A49" w:rsidRDefault="009E21BD" w:rsidP="009E21BD">
      <w:pPr>
        <w:spacing w:before="240" w:after="360" w:line="360" w:lineRule="auto"/>
        <w:jc w:val="both"/>
        <w:rPr>
          <w:rFonts w:ascii="Arial" w:hAnsi="Arial" w:cs="Arial"/>
          <w:sz w:val="26"/>
          <w:szCs w:val="26"/>
        </w:rPr>
      </w:pPr>
      <w:r w:rsidRPr="00317A49">
        <w:rPr>
          <w:rFonts w:ascii="Arial" w:hAnsi="Arial" w:cs="Arial"/>
          <w:sz w:val="26"/>
          <w:szCs w:val="26"/>
        </w:rPr>
        <w:lastRenderedPageBreak/>
        <w:t xml:space="preserve">El artículo 40 de la Constitución </w:t>
      </w:r>
      <w:r w:rsidR="004D5100">
        <w:rPr>
          <w:rFonts w:ascii="Arial" w:hAnsi="Arial" w:cs="Arial"/>
          <w:sz w:val="26"/>
          <w:szCs w:val="26"/>
        </w:rPr>
        <w:t>F</w:t>
      </w:r>
      <w:r w:rsidRPr="00317A49">
        <w:rPr>
          <w:rFonts w:ascii="Arial" w:hAnsi="Arial" w:cs="Arial"/>
          <w:sz w:val="26"/>
          <w:szCs w:val="26"/>
        </w:rPr>
        <w:t xml:space="preserve">ederal establece que los </w:t>
      </w:r>
      <w:r w:rsidR="004D5100">
        <w:rPr>
          <w:rFonts w:ascii="Arial" w:hAnsi="Arial" w:cs="Arial"/>
          <w:sz w:val="26"/>
          <w:szCs w:val="26"/>
        </w:rPr>
        <w:t>E</w:t>
      </w:r>
      <w:r w:rsidRPr="00317A49">
        <w:rPr>
          <w:rFonts w:ascii="Arial" w:hAnsi="Arial" w:cs="Arial"/>
          <w:sz w:val="26"/>
          <w:szCs w:val="26"/>
        </w:rPr>
        <w:t>stados que integran la República Mexicana son libres y soberanos en todo lo concerniente a su régimen interior</w:t>
      </w:r>
      <w:r>
        <w:rPr>
          <w:rStyle w:val="Refdenotaalpie"/>
          <w:rFonts w:ascii="Arial" w:hAnsi="Arial" w:cs="Arial"/>
          <w:sz w:val="26"/>
          <w:szCs w:val="26"/>
        </w:rPr>
        <w:footnoteReference w:id="6"/>
      </w:r>
      <w:r>
        <w:rPr>
          <w:rFonts w:ascii="Arial" w:hAnsi="Arial" w:cs="Arial"/>
          <w:sz w:val="26"/>
          <w:szCs w:val="26"/>
        </w:rPr>
        <w:t>. P</w:t>
      </w:r>
      <w:r w:rsidRPr="00317A49">
        <w:rPr>
          <w:rFonts w:ascii="Arial" w:hAnsi="Arial" w:cs="Arial"/>
          <w:sz w:val="26"/>
          <w:szCs w:val="26"/>
        </w:rPr>
        <w:t xml:space="preserve">or su parte, el </w:t>
      </w:r>
      <w:r w:rsidR="004D5100">
        <w:rPr>
          <w:rFonts w:ascii="Arial" w:hAnsi="Arial" w:cs="Arial"/>
          <w:sz w:val="26"/>
          <w:szCs w:val="26"/>
        </w:rPr>
        <w:t>diverso</w:t>
      </w:r>
      <w:r w:rsidRPr="00317A49">
        <w:rPr>
          <w:rFonts w:ascii="Arial" w:hAnsi="Arial" w:cs="Arial"/>
          <w:sz w:val="26"/>
          <w:szCs w:val="26"/>
        </w:rPr>
        <w:t xml:space="preserve"> 124 señala que las facultades que no están expresamente concedidas por la Constitución a los funcionarios federales se entienden reservadas a los </w:t>
      </w:r>
      <w:r w:rsidR="00E26C59">
        <w:rPr>
          <w:rFonts w:ascii="Arial" w:hAnsi="Arial" w:cs="Arial"/>
          <w:sz w:val="26"/>
          <w:szCs w:val="26"/>
        </w:rPr>
        <w:t>E</w:t>
      </w:r>
      <w:r w:rsidRPr="00317A49">
        <w:rPr>
          <w:rFonts w:ascii="Arial" w:hAnsi="Arial" w:cs="Arial"/>
          <w:sz w:val="26"/>
          <w:szCs w:val="26"/>
        </w:rPr>
        <w:t>stados o a la Ciudad de México, en el ámbito de sus respectivas competencias</w:t>
      </w:r>
      <w:r>
        <w:rPr>
          <w:rStyle w:val="Refdenotaalpie"/>
          <w:rFonts w:ascii="Arial" w:hAnsi="Arial" w:cs="Arial"/>
          <w:sz w:val="26"/>
          <w:szCs w:val="26"/>
        </w:rPr>
        <w:footnoteReference w:id="7"/>
      </w:r>
      <w:r w:rsidRPr="00317A49">
        <w:rPr>
          <w:rFonts w:ascii="Arial" w:hAnsi="Arial" w:cs="Arial"/>
          <w:sz w:val="26"/>
          <w:szCs w:val="26"/>
        </w:rPr>
        <w:t xml:space="preserve">. </w:t>
      </w:r>
    </w:p>
    <w:p w14:paraId="59077AF2" w14:textId="747A8F63" w:rsidR="009E21BD" w:rsidRDefault="009E21BD" w:rsidP="009E21BD">
      <w:pPr>
        <w:spacing w:before="240" w:after="360" w:line="360" w:lineRule="auto"/>
        <w:jc w:val="both"/>
        <w:rPr>
          <w:rFonts w:ascii="Arial" w:hAnsi="Arial" w:cs="Arial"/>
          <w:sz w:val="26"/>
          <w:szCs w:val="26"/>
        </w:rPr>
      </w:pPr>
      <w:r w:rsidRPr="00317A49">
        <w:rPr>
          <w:rFonts w:ascii="Arial" w:hAnsi="Arial" w:cs="Arial"/>
          <w:sz w:val="26"/>
          <w:szCs w:val="26"/>
        </w:rPr>
        <w:t xml:space="preserve">Sobre el tema analizado, </w:t>
      </w:r>
      <w:r w:rsidRPr="00B25753">
        <w:rPr>
          <w:rFonts w:ascii="Arial" w:hAnsi="Arial" w:cs="Arial"/>
          <w:b/>
          <w:bCs/>
          <w:sz w:val="26"/>
          <w:szCs w:val="26"/>
        </w:rPr>
        <w:t xml:space="preserve">la Constitución </w:t>
      </w:r>
      <w:r w:rsidR="00E26C59">
        <w:rPr>
          <w:rFonts w:ascii="Arial" w:hAnsi="Arial" w:cs="Arial"/>
          <w:b/>
          <w:bCs/>
          <w:sz w:val="26"/>
          <w:szCs w:val="26"/>
        </w:rPr>
        <w:t>F</w:t>
      </w:r>
      <w:r w:rsidRPr="00B25753">
        <w:rPr>
          <w:rFonts w:ascii="Arial" w:hAnsi="Arial" w:cs="Arial"/>
          <w:b/>
          <w:bCs/>
          <w:sz w:val="26"/>
          <w:szCs w:val="26"/>
        </w:rPr>
        <w:t>ederal no delinea un formato o establece requisitos que deben fijar las entidades federativas para quienes deseen ocupar los cargos de fiscal o vicefiscal</w:t>
      </w:r>
      <w:r w:rsidRPr="00317A49">
        <w:rPr>
          <w:rFonts w:ascii="Arial" w:hAnsi="Arial" w:cs="Arial"/>
          <w:sz w:val="26"/>
          <w:szCs w:val="26"/>
        </w:rPr>
        <w:t>. El artículo 116, fracción IX</w:t>
      </w:r>
      <w:r>
        <w:rPr>
          <w:rStyle w:val="Refdenotaalpie"/>
          <w:rFonts w:ascii="Arial" w:hAnsi="Arial" w:cs="Arial"/>
          <w:sz w:val="26"/>
          <w:szCs w:val="26"/>
        </w:rPr>
        <w:footnoteReference w:id="8"/>
      </w:r>
      <w:r w:rsidRPr="00317A49">
        <w:rPr>
          <w:rFonts w:ascii="Arial" w:hAnsi="Arial" w:cs="Arial"/>
          <w:sz w:val="26"/>
          <w:szCs w:val="26"/>
        </w:rPr>
        <w:t xml:space="preserve">, de la Constitución </w:t>
      </w:r>
      <w:r w:rsidR="00E26C59">
        <w:rPr>
          <w:rFonts w:ascii="Arial" w:hAnsi="Arial" w:cs="Arial"/>
          <w:sz w:val="26"/>
          <w:szCs w:val="26"/>
        </w:rPr>
        <w:t>F</w:t>
      </w:r>
      <w:r w:rsidRPr="00317A49">
        <w:rPr>
          <w:rFonts w:ascii="Arial" w:hAnsi="Arial" w:cs="Arial"/>
          <w:sz w:val="26"/>
          <w:szCs w:val="26"/>
        </w:rPr>
        <w:t xml:space="preserve">ederal establece que las entidades federativas deben </w:t>
      </w:r>
      <w:r w:rsidRPr="00430222">
        <w:rPr>
          <w:rFonts w:ascii="Arial" w:hAnsi="Arial" w:cs="Arial"/>
          <w:sz w:val="26"/>
          <w:szCs w:val="26"/>
        </w:rPr>
        <w:t xml:space="preserve">garantizar que las funciones de procuración de justicia se realicen </w:t>
      </w:r>
      <w:r w:rsidRPr="00430222">
        <w:rPr>
          <w:rFonts w:ascii="Arial" w:hAnsi="Arial" w:cs="Arial"/>
          <w:i/>
          <w:iCs/>
          <w:sz w:val="26"/>
          <w:szCs w:val="26"/>
        </w:rPr>
        <w:t>“con base en los principios de autonomía, eficiencia, imparcialidad, legalidad, objetividad, profesionalismo, responsabilidad y respeto a los derechos humanos”</w:t>
      </w:r>
      <w:r w:rsidRPr="00430222">
        <w:rPr>
          <w:rFonts w:ascii="Arial" w:hAnsi="Arial" w:cs="Arial"/>
          <w:sz w:val="26"/>
          <w:szCs w:val="26"/>
        </w:rPr>
        <w:t xml:space="preserve">, pero ello solo puede entenderse como </w:t>
      </w:r>
      <w:r w:rsidRPr="00E20466">
        <w:rPr>
          <w:rFonts w:ascii="Arial" w:hAnsi="Arial" w:cs="Arial"/>
          <w:sz w:val="26"/>
          <w:szCs w:val="26"/>
          <w:u w:val="single"/>
        </w:rPr>
        <w:t>una serie de lineamientos generales</w:t>
      </w:r>
      <w:r w:rsidRPr="00430222">
        <w:rPr>
          <w:rFonts w:ascii="Arial" w:hAnsi="Arial" w:cs="Arial"/>
          <w:sz w:val="26"/>
          <w:szCs w:val="26"/>
        </w:rPr>
        <w:t xml:space="preserve"> que debe cumplir la procuración de justicia al interior de las entidades federativas. </w:t>
      </w:r>
    </w:p>
    <w:p w14:paraId="0F0469C3" w14:textId="5BE53DE7" w:rsidR="009E21BD" w:rsidRPr="00430222" w:rsidRDefault="009E21BD" w:rsidP="009E21BD">
      <w:pPr>
        <w:spacing w:before="240" w:after="360" w:line="360" w:lineRule="auto"/>
        <w:jc w:val="both"/>
        <w:rPr>
          <w:rFonts w:ascii="Arial" w:hAnsi="Arial" w:cs="Arial"/>
          <w:sz w:val="26"/>
          <w:szCs w:val="26"/>
        </w:rPr>
      </w:pPr>
      <w:r>
        <w:rPr>
          <w:rFonts w:ascii="Arial" w:hAnsi="Arial" w:cs="Arial"/>
          <w:sz w:val="26"/>
          <w:szCs w:val="26"/>
        </w:rPr>
        <w:t>Si tal requisito para</w:t>
      </w:r>
      <w:r w:rsidRPr="00430222">
        <w:rPr>
          <w:rFonts w:ascii="Arial" w:hAnsi="Arial" w:cs="Arial"/>
          <w:sz w:val="26"/>
          <w:szCs w:val="26"/>
        </w:rPr>
        <w:t xml:space="preserve"> ocupar el cargo de fiscal especializado de la Fiscalía General de</w:t>
      </w:r>
      <w:r w:rsidR="00E26C59">
        <w:rPr>
          <w:rFonts w:ascii="Arial" w:hAnsi="Arial" w:cs="Arial"/>
          <w:sz w:val="26"/>
          <w:szCs w:val="26"/>
        </w:rPr>
        <w:t xml:space="preserve"> Justicia del Estado de</w:t>
      </w:r>
      <w:r w:rsidRPr="00430222">
        <w:rPr>
          <w:rFonts w:ascii="Arial" w:hAnsi="Arial" w:cs="Arial"/>
          <w:sz w:val="26"/>
          <w:szCs w:val="26"/>
        </w:rPr>
        <w:t xml:space="preserve"> Tamaulipas es igual al que la Constitución </w:t>
      </w:r>
      <w:r w:rsidR="00E26C59">
        <w:rPr>
          <w:rFonts w:ascii="Arial" w:hAnsi="Arial" w:cs="Arial"/>
          <w:sz w:val="26"/>
          <w:szCs w:val="26"/>
        </w:rPr>
        <w:t>F</w:t>
      </w:r>
      <w:r w:rsidRPr="00430222">
        <w:rPr>
          <w:rFonts w:ascii="Arial" w:hAnsi="Arial" w:cs="Arial"/>
          <w:sz w:val="26"/>
          <w:szCs w:val="26"/>
        </w:rPr>
        <w:t xml:space="preserve">ederal establece para el cargo </w:t>
      </w:r>
      <w:r w:rsidR="00E93B14">
        <w:rPr>
          <w:rFonts w:ascii="Arial" w:hAnsi="Arial" w:cs="Arial"/>
          <w:sz w:val="26"/>
          <w:szCs w:val="26"/>
        </w:rPr>
        <w:t xml:space="preserve">de </w:t>
      </w:r>
      <w:r w:rsidRPr="00430222">
        <w:rPr>
          <w:rFonts w:ascii="Arial" w:hAnsi="Arial" w:cs="Arial"/>
          <w:sz w:val="26"/>
          <w:szCs w:val="26"/>
        </w:rPr>
        <w:t xml:space="preserve">Fiscal General de la República, ello </w:t>
      </w:r>
      <w:r>
        <w:rPr>
          <w:rFonts w:ascii="Arial" w:hAnsi="Arial" w:cs="Arial"/>
          <w:sz w:val="26"/>
          <w:szCs w:val="26"/>
        </w:rPr>
        <w:t>se trata de</w:t>
      </w:r>
      <w:r w:rsidRPr="00430222">
        <w:rPr>
          <w:rFonts w:ascii="Arial" w:hAnsi="Arial" w:cs="Arial"/>
          <w:sz w:val="26"/>
          <w:szCs w:val="26"/>
        </w:rPr>
        <w:t xml:space="preserve"> </w:t>
      </w:r>
      <w:r w:rsidRPr="00B25753">
        <w:rPr>
          <w:rFonts w:ascii="Arial" w:hAnsi="Arial" w:cs="Arial"/>
          <w:b/>
          <w:bCs/>
          <w:sz w:val="26"/>
          <w:szCs w:val="26"/>
        </w:rPr>
        <w:t xml:space="preserve">una coincidencia </w:t>
      </w:r>
      <w:r w:rsidRPr="00430222">
        <w:rPr>
          <w:rFonts w:ascii="Arial" w:hAnsi="Arial" w:cs="Arial"/>
          <w:sz w:val="26"/>
          <w:szCs w:val="26"/>
        </w:rPr>
        <w:t>respecto del perfil que deben cumplir los miembros de las instituciones de procuración de justicia para lograr su encomienda constitucional a partir de la visión general que cada uno de los legisladores percibió en el ámbito de competencias que les corresponde.</w:t>
      </w:r>
      <w:r w:rsidRPr="00317A49">
        <w:rPr>
          <w:rFonts w:ascii="Arial" w:hAnsi="Arial" w:cs="Arial"/>
          <w:sz w:val="26"/>
          <w:szCs w:val="26"/>
        </w:rPr>
        <w:t xml:space="preserve"> </w:t>
      </w:r>
    </w:p>
    <w:p w14:paraId="375A1B22" w14:textId="7BABB74C" w:rsidR="009E21BD" w:rsidRPr="00430222" w:rsidRDefault="009E21BD" w:rsidP="009E21BD">
      <w:pPr>
        <w:spacing w:before="240" w:after="360" w:line="360" w:lineRule="auto"/>
        <w:jc w:val="both"/>
        <w:rPr>
          <w:rFonts w:ascii="Arial" w:hAnsi="Arial" w:cs="Arial"/>
          <w:sz w:val="26"/>
          <w:szCs w:val="26"/>
        </w:rPr>
      </w:pPr>
      <w:r w:rsidRPr="00430222">
        <w:rPr>
          <w:rFonts w:ascii="Arial" w:hAnsi="Arial" w:cs="Arial"/>
          <w:sz w:val="26"/>
          <w:szCs w:val="26"/>
        </w:rPr>
        <w:lastRenderedPageBreak/>
        <w:t xml:space="preserve">En </w:t>
      </w:r>
      <w:r>
        <w:rPr>
          <w:rFonts w:ascii="Arial" w:hAnsi="Arial" w:cs="Arial"/>
          <w:sz w:val="26"/>
          <w:szCs w:val="26"/>
        </w:rPr>
        <w:t xml:space="preserve">el presente caso, considero que el legislador local tamaulipeco, precisamente en </w:t>
      </w:r>
      <w:r w:rsidRPr="00430222">
        <w:rPr>
          <w:rFonts w:ascii="Arial" w:hAnsi="Arial" w:cs="Arial"/>
          <w:sz w:val="26"/>
          <w:szCs w:val="26"/>
        </w:rPr>
        <w:t xml:space="preserve">uso de </w:t>
      </w:r>
      <w:r>
        <w:rPr>
          <w:rFonts w:ascii="Arial" w:hAnsi="Arial" w:cs="Arial"/>
          <w:sz w:val="26"/>
          <w:szCs w:val="26"/>
        </w:rPr>
        <w:t>su</w:t>
      </w:r>
      <w:r w:rsidRPr="00430222">
        <w:rPr>
          <w:rFonts w:ascii="Arial" w:hAnsi="Arial" w:cs="Arial"/>
          <w:sz w:val="26"/>
          <w:szCs w:val="26"/>
        </w:rPr>
        <w:t xml:space="preserve"> libertad configurativa, estableció como requisito </w:t>
      </w:r>
      <w:r w:rsidRPr="00430222">
        <w:rPr>
          <w:rFonts w:ascii="Arial" w:hAnsi="Arial" w:cs="Arial"/>
          <w:i/>
          <w:iCs/>
          <w:sz w:val="26"/>
          <w:szCs w:val="26"/>
        </w:rPr>
        <w:t>“no haber sido condenado por la comisión de delito doloso mediante sentencia que haya causado ejecutoria”</w:t>
      </w:r>
      <w:r w:rsidRPr="00430222">
        <w:rPr>
          <w:rFonts w:ascii="Arial" w:hAnsi="Arial" w:cs="Arial"/>
          <w:sz w:val="26"/>
          <w:szCs w:val="26"/>
        </w:rPr>
        <w:t xml:space="preserve">, pues al advertir una realidad social manifiesta en el </w:t>
      </w:r>
      <w:r w:rsidR="00AA4BF4">
        <w:rPr>
          <w:rFonts w:ascii="Arial" w:hAnsi="Arial" w:cs="Arial"/>
          <w:sz w:val="26"/>
          <w:szCs w:val="26"/>
        </w:rPr>
        <w:t>E</w:t>
      </w:r>
      <w:r w:rsidRPr="00430222">
        <w:rPr>
          <w:rFonts w:ascii="Arial" w:hAnsi="Arial" w:cs="Arial"/>
          <w:sz w:val="26"/>
          <w:szCs w:val="26"/>
        </w:rPr>
        <w:t>stado de Tamaulipas buscó alentar la confianza ciudadana respecto las instituciones de procuración de justicia y las personas que las encabezan e integran</w:t>
      </w:r>
      <w:r w:rsidRPr="00430222">
        <w:rPr>
          <w:rStyle w:val="Refdenotaalpie"/>
          <w:rFonts w:ascii="Arial" w:hAnsi="Arial" w:cs="Arial"/>
          <w:sz w:val="26"/>
          <w:szCs w:val="26"/>
        </w:rPr>
        <w:footnoteReference w:id="9"/>
      </w:r>
      <w:r w:rsidRPr="00430222">
        <w:rPr>
          <w:rFonts w:ascii="Arial" w:hAnsi="Arial" w:cs="Arial"/>
          <w:sz w:val="26"/>
          <w:szCs w:val="26"/>
        </w:rPr>
        <w:t xml:space="preserve">. Es decir, este requisito tiene como finalidad que las personas que ocupen el cargo de </w:t>
      </w:r>
      <w:r w:rsidR="00AA4BF4">
        <w:rPr>
          <w:rFonts w:ascii="Arial" w:hAnsi="Arial" w:cs="Arial"/>
          <w:sz w:val="26"/>
          <w:szCs w:val="26"/>
        </w:rPr>
        <w:t>V</w:t>
      </w:r>
      <w:r w:rsidRPr="00430222">
        <w:rPr>
          <w:rFonts w:ascii="Arial" w:hAnsi="Arial" w:cs="Arial"/>
          <w:sz w:val="26"/>
          <w:szCs w:val="26"/>
        </w:rPr>
        <w:t xml:space="preserve">icefiscal y </w:t>
      </w:r>
      <w:r w:rsidR="00AA4BF4">
        <w:rPr>
          <w:rFonts w:ascii="Arial" w:hAnsi="Arial" w:cs="Arial"/>
          <w:sz w:val="26"/>
          <w:szCs w:val="26"/>
        </w:rPr>
        <w:t>F</w:t>
      </w:r>
      <w:r w:rsidRPr="00430222">
        <w:rPr>
          <w:rFonts w:ascii="Arial" w:hAnsi="Arial" w:cs="Arial"/>
          <w:sz w:val="26"/>
          <w:szCs w:val="26"/>
        </w:rPr>
        <w:t xml:space="preserve">iscal </w:t>
      </w:r>
      <w:r w:rsidR="00AA4BF4">
        <w:rPr>
          <w:rFonts w:ascii="Arial" w:hAnsi="Arial" w:cs="Arial"/>
          <w:sz w:val="26"/>
          <w:szCs w:val="26"/>
        </w:rPr>
        <w:t>E</w:t>
      </w:r>
      <w:r w:rsidRPr="00430222">
        <w:rPr>
          <w:rFonts w:ascii="Arial" w:hAnsi="Arial" w:cs="Arial"/>
          <w:sz w:val="26"/>
          <w:szCs w:val="26"/>
        </w:rPr>
        <w:t xml:space="preserve">specializado tengan una trayectoria sin mácula. </w:t>
      </w:r>
    </w:p>
    <w:p w14:paraId="16CFB129" w14:textId="79D17CFA" w:rsidR="009E21BD" w:rsidRPr="00317A49" w:rsidRDefault="009E21BD" w:rsidP="009E21BD">
      <w:pPr>
        <w:spacing w:before="240" w:after="360" w:line="360" w:lineRule="auto"/>
        <w:jc w:val="both"/>
        <w:rPr>
          <w:rFonts w:ascii="Arial" w:hAnsi="Arial" w:cs="Arial"/>
          <w:sz w:val="26"/>
          <w:szCs w:val="26"/>
        </w:rPr>
      </w:pPr>
      <w:r>
        <w:rPr>
          <w:rFonts w:ascii="Arial" w:hAnsi="Arial" w:cs="Arial"/>
          <w:sz w:val="26"/>
          <w:szCs w:val="26"/>
        </w:rPr>
        <w:t xml:space="preserve">Por lo anterior, es que en este apartado voté por la validez del requisito en estudio, pero apartándome de las consideraciones que la sustentan con fundamento en el artículo </w:t>
      </w:r>
      <w:r w:rsidRPr="00317A49">
        <w:rPr>
          <w:rFonts w:ascii="Arial" w:hAnsi="Arial" w:cs="Arial"/>
          <w:sz w:val="26"/>
          <w:szCs w:val="26"/>
        </w:rPr>
        <w:t xml:space="preserve">102, apartado A, párrafo segundo, de la Constitución </w:t>
      </w:r>
      <w:r w:rsidR="00AA4BF4">
        <w:rPr>
          <w:rFonts w:ascii="Arial" w:hAnsi="Arial" w:cs="Arial"/>
          <w:sz w:val="26"/>
          <w:szCs w:val="26"/>
        </w:rPr>
        <w:t>F</w:t>
      </w:r>
      <w:r w:rsidRPr="00317A49">
        <w:rPr>
          <w:rFonts w:ascii="Arial" w:hAnsi="Arial" w:cs="Arial"/>
          <w:sz w:val="26"/>
          <w:szCs w:val="26"/>
        </w:rPr>
        <w:t>ederal</w:t>
      </w:r>
      <w:r>
        <w:rPr>
          <w:rFonts w:ascii="Arial" w:hAnsi="Arial" w:cs="Arial"/>
          <w:sz w:val="26"/>
          <w:szCs w:val="26"/>
        </w:rPr>
        <w:t>.</w:t>
      </w:r>
    </w:p>
    <w:p w14:paraId="38CC2226" w14:textId="41D3B3D6" w:rsidR="009E21BD" w:rsidRDefault="009E21BD" w:rsidP="009E21BD">
      <w:pPr>
        <w:spacing w:before="240" w:after="360" w:line="360" w:lineRule="auto"/>
        <w:ind w:left="426" w:hanging="426"/>
        <w:jc w:val="both"/>
        <w:rPr>
          <w:rFonts w:ascii="Arial" w:hAnsi="Arial" w:cs="Arial"/>
          <w:b/>
          <w:bCs/>
          <w:sz w:val="26"/>
          <w:szCs w:val="26"/>
        </w:rPr>
      </w:pPr>
      <w:r w:rsidRPr="001630BF">
        <w:rPr>
          <w:rFonts w:ascii="Arial" w:hAnsi="Arial" w:cs="Arial"/>
          <w:b/>
          <w:bCs/>
          <w:sz w:val="26"/>
          <w:szCs w:val="26"/>
        </w:rPr>
        <w:t>II. Requisito de no haber sido suspendido, destituido, ni inhabilitado administrativamente</w:t>
      </w:r>
      <w:r w:rsidR="000D0847">
        <w:rPr>
          <w:rFonts w:ascii="Arial" w:hAnsi="Arial" w:cs="Arial"/>
          <w:b/>
          <w:bCs/>
          <w:sz w:val="26"/>
          <w:szCs w:val="26"/>
        </w:rPr>
        <w:t>.</w:t>
      </w:r>
    </w:p>
    <w:p w14:paraId="0A46E4C0" w14:textId="2502D05D"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 xml:space="preserve">Los artículos </w:t>
      </w:r>
      <w:r w:rsidRPr="004C5792">
        <w:rPr>
          <w:rFonts w:ascii="Arial" w:hAnsi="Arial" w:cs="Arial"/>
          <w:sz w:val="26"/>
          <w:szCs w:val="26"/>
        </w:rPr>
        <w:t>21, fracción VI</w:t>
      </w:r>
      <w:r w:rsidR="00F219E9">
        <w:rPr>
          <w:rFonts w:ascii="Arial" w:hAnsi="Arial" w:cs="Arial"/>
          <w:sz w:val="26"/>
          <w:szCs w:val="26"/>
        </w:rPr>
        <w:t>,</w:t>
      </w:r>
      <w:r w:rsidRPr="004C5792">
        <w:rPr>
          <w:rFonts w:ascii="Arial" w:hAnsi="Arial" w:cs="Arial"/>
          <w:sz w:val="26"/>
          <w:szCs w:val="26"/>
        </w:rPr>
        <w:t xml:space="preserve"> y 24, fracción VI, de la </w:t>
      </w:r>
      <w:r w:rsidR="000D0847">
        <w:rPr>
          <w:rFonts w:ascii="Arial" w:hAnsi="Arial" w:cs="Arial"/>
          <w:sz w:val="26"/>
          <w:szCs w:val="26"/>
        </w:rPr>
        <w:t>L</w:t>
      </w:r>
      <w:r w:rsidRPr="004C5792">
        <w:rPr>
          <w:rFonts w:ascii="Arial" w:hAnsi="Arial" w:cs="Arial"/>
          <w:sz w:val="26"/>
          <w:szCs w:val="26"/>
        </w:rPr>
        <w:t xml:space="preserve">ey </w:t>
      </w:r>
      <w:r w:rsidR="000D0847">
        <w:rPr>
          <w:rFonts w:ascii="Arial" w:hAnsi="Arial" w:cs="Arial"/>
          <w:sz w:val="26"/>
          <w:szCs w:val="26"/>
        </w:rPr>
        <w:t>O</w:t>
      </w:r>
      <w:r w:rsidRPr="004C5792">
        <w:rPr>
          <w:rFonts w:ascii="Arial" w:hAnsi="Arial" w:cs="Arial"/>
          <w:sz w:val="26"/>
          <w:szCs w:val="26"/>
        </w:rPr>
        <w:t>rgánica</w:t>
      </w:r>
      <w:r>
        <w:rPr>
          <w:rFonts w:ascii="Arial" w:hAnsi="Arial" w:cs="Arial"/>
          <w:sz w:val="26"/>
          <w:szCs w:val="26"/>
        </w:rPr>
        <w:t xml:space="preserve"> impugnada, establecen como requisito para ocupar los cargos de Vicefiscal y Fiscal Especializado, </w:t>
      </w:r>
      <w:r w:rsidRPr="00B25753">
        <w:rPr>
          <w:rFonts w:ascii="Arial" w:hAnsi="Arial" w:cs="Arial"/>
          <w:sz w:val="26"/>
          <w:szCs w:val="26"/>
        </w:rPr>
        <w:t>el no haber sido suspendido, destituido ni inhabilitado por resolución firme en el ámbito administrativo.</w:t>
      </w:r>
      <w:r>
        <w:rPr>
          <w:rFonts w:ascii="Arial" w:hAnsi="Arial" w:cs="Arial"/>
          <w:sz w:val="26"/>
          <w:szCs w:val="26"/>
        </w:rPr>
        <w:t xml:space="preserve"> </w:t>
      </w:r>
    </w:p>
    <w:p w14:paraId="5CC23E2A" w14:textId="3D586444"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 xml:space="preserve">En este tema, aunque compartí la declaratoria de invalidez de las normas señaladas, considero que la porción </w:t>
      </w:r>
      <w:r w:rsidRPr="0082301A">
        <w:rPr>
          <w:rFonts w:ascii="Arial" w:hAnsi="Arial" w:cs="Arial"/>
          <w:sz w:val="26"/>
          <w:szCs w:val="26"/>
        </w:rPr>
        <w:t>“suspendido”</w:t>
      </w:r>
      <w:r>
        <w:rPr>
          <w:rFonts w:ascii="Arial" w:hAnsi="Arial" w:cs="Arial"/>
          <w:i/>
          <w:iCs/>
          <w:sz w:val="26"/>
          <w:szCs w:val="26"/>
        </w:rPr>
        <w:t xml:space="preserve"> </w:t>
      </w:r>
      <w:r>
        <w:rPr>
          <w:rFonts w:ascii="Arial" w:hAnsi="Arial" w:cs="Arial"/>
          <w:sz w:val="26"/>
          <w:szCs w:val="26"/>
        </w:rPr>
        <w:t xml:space="preserve">es invalida, no por contravenir el artículo </w:t>
      </w:r>
      <w:r w:rsidRPr="006922E7">
        <w:rPr>
          <w:rFonts w:ascii="Arial" w:hAnsi="Arial" w:cs="Arial"/>
          <w:sz w:val="26"/>
          <w:szCs w:val="26"/>
        </w:rPr>
        <w:t>123, apartado B, fracción XIII</w:t>
      </w:r>
      <w:r>
        <w:rPr>
          <w:rFonts w:ascii="Arial" w:hAnsi="Arial" w:cs="Arial"/>
          <w:sz w:val="26"/>
          <w:szCs w:val="26"/>
        </w:rPr>
        <w:t>, segundo párrafo</w:t>
      </w:r>
      <w:r>
        <w:rPr>
          <w:rStyle w:val="Refdenotaalpie"/>
          <w:rFonts w:ascii="Arial" w:hAnsi="Arial" w:cs="Arial"/>
          <w:sz w:val="26"/>
          <w:szCs w:val="26"/>
        </w:rPr>
        <w:footnoteReference w:id="10"/>
      </w:r>
      <w:r w:rsidRPr="006922E7">
        <w:rPr>
          <w:rFonts w:ascii="Arial" w:hAnsi="Arial" w:cs="Arial"/>
          <w:sz w:val="26"/>
          <w:szCs w:val="26"/>
        </w:rPr>
        <w:t xml:space="preserve">, de la </w:t>
      </w:r>
      <w:r w:rsidRPr="006922E7">
        <w:rPr>
          <w:rFonts w:ascii="Arial" w:hAnsi="Arial" w:cs="Arial"/>
          <w:sz w:val="26"/>
          <w:szCs w:val="26"/>
        </w:rPr>
        <w:lastRenderedPageBreak/>
        <w:t xml:space="preserve">Constitución </w:t>
      </w:r>
      <w:r w:rsidR="00A606EC">
        <w:rPr>
          <w:rFonts w:ascii="Arial" w:hAnsi="Arial" w:cs="Arial"/>
          <w:sz w:val="26"/>
          <w:szCs w:val="26"/>
        </w:rPr>
        <w:t>F</w:t>
      </w:r>
      <w:r w:rsidRPr="006922E7">
        <w:rPr>
          <w:rFonts w:ascii="Arial" w:hAnsi="Arial" w:cs="Arial"/>
          <w:sz w:val="26"/>
          <w:szCs w:val="26"/>
        </w:rPr>
        <w:t>ederal</w:t>
      </w:r>
      <w:r>
        <w:rPr>
          <w:rFonts w:ascii="Arial" w:hAnsi="Arial" w:cs="Arial"/>
          <w:sz w:val="26"/>
          <w:szCs w:val="26"/>
        </w:rPr>
        <w:t xml:space="preserve"> como lo establece la ejecutoria, sino por las mismas que se dieron para invalidar las porciones</w:t>
      </w:r>
      <w:r w:rsidRPr="006922E7">
        <w:rPr>
          <w:rFonts w:ascii="Arial" w:hAnsi="Arial" w:cs="Arial"/>
          <w:sz w:val="26"/>
          <w:szCs w:val="26"/>
        </w:rPr>
        <w:t xml:space="preserve"> </w:t>
      </w:r>
      <w:r w:rsidRPr="0082301A">
        <w:rPr>
          <w:rFonts w:ascii="Arial" w:hAnsi="Arial" w:cs="Arial"/>
          <w:sz w:val="26"/>
          <w:szCs w:val="26"/>
        </w:rPr>
        <w:t>“destituido ni inhabilitado”</w:t>
      </w:r>
      <w:r w:rsidRPr="006922E7">
        <w:rPr>
          <w:rFonts w:ascii="Arial" w:hAnsi="Arial" w:cs="Arial"/>
          <w:sz w:val="26"/>
          <w:szCs w:val="26"/>
        </w:rPr>
        <w:t xml:space="preserve">. </w:t>
      </w:r>
      <w:r>
        <w:rPr>
          <w:rFonts w:ascii="Arial" w:hAnsi="Arial" w:cs="Arial"/>
          <w:sz w:val="26"/>
          <w:szCs w:val="26"/>
        </w:rPr>
        <w:t xml:space="preserve">Es decir, porque la norma </w:t>
      </w:r>
      <w:r w:rsidRPr="006922E7">
        <w:rPr>
          <w:rFonts w:ascii="Arial" w:hAnsi="Arial" w:cs="Arial"/>
          <w:sz w:val="26"/>
          <w:szCs w:val="26"/>
        </w:rPr>
        <w:t>no distingue el tipo de responsabilidad, la gravedad de la conducta, si fue culposa o dolosa, entre otros factores. Además, si el exigir no haber sido destituido ni inhabilitado es un requisito que resulta inconstitucional, con mayor razón lo es el supuesto en la suspensión que implica una falta menos grave.</w:t>
      </w:r>
    </w:p>
    <w:p w14:paraId="22D7B5BD" w14:textId="030B4A3E" w:rsidR="009E21BD" w:rsidRPr="006A41CD" w:rsidRDefault="009E21BD" w:rsidP="009E21BD">
      <w:pPr>
        <w:spacing w:before="240" w:after="360" w:line="360" w:lineRule="auto"/>
        <w:ind w:left="426" w:hanging="426"/>
        <w:jc w:val="both"/>
        <w:rPr>
          <w:rFonts w:ascii="Arial" w:hAnsi="Arial" w:cs="Arial"/>
          <w:b/>
          <w:bCs/>
          <w:sz w:val="26"/>
          <w:szCs w:val="26"/>
        </w:rPr>
      </w:pPr>
      <w:r w:rsidRPr="006A41CD">
        <w:rPr>
          <w:rFonts w:ascii="Arial" w:hAnsi="Arial" w:cs="Arial"/>
          <w:b/>
          <w:bCs/>
          <w:sz w:val="26"/>
          <w:szCs w:val="26"/>
        </w:rPr>
        <w:t>III. Reserva de información contenida en los expedientes y reportes de resultados de los exámenes de evaluación</w:t>
      </w:r>
      <w:r w:rsidR="00A606EC">
        <w:rPr>
          <w:rFonts w:ascii="Arial" w:hAnsi="Arial" w:cs="Arial"/>
          <w:b/>
          <w:bCs/>
          <w:sz w:val="26"/>
          <w:szCs w:val="26"/>
        </w:rPr>
        <w:t>.</w:t>
      </w:r>
    </w:p>
    <w:p w14:paraId="4863DD64" w14:textId="4083F836"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 xml:space="preserve">El artículo 67 de la </w:t>
      </w:r>
      <w:r w:rsidR="00A606EC">
        <w:rPr>
          <w:rFonts w:ascii="Arial" w:hAnsi="Arial" w:cs="Arial"/>
          <w:sz w:val="26"/>
          <w:szCs w:val="26"/>
        </w:rPr>
        <w:t>L</w:t>
      </w:r>
      <w:r>
        <w:rPr>
          <w:rFonts w:ascii="Arial" w:hAnsi="Arial" w:cs="Arial"/>
          <w:sz w:val="26"/>
          <w:szCs w:val="26"/>
        </w:rPr>
        <w:t xml:space="preserve">ey </w:t>
      </w:r>
      <w:r w:rsidR="00A606EC">
        <w:rPr>
          <w:rFonts w:ascii="Arial" w:hAnsi="Arial" w:cs="Arial"/>
          <w:sz w:val="26"/>
          <w:szCs w:val="26"/>
        </w:rPr>
        <w:t>O</w:t>
      </w:r>
      <w:r>
        <w:rPr>
          <w:rFonts w:ascii="Arial" w:hAnsi="Arial" w:cs="Arial"/>
          <w:sz w:val="26"/>
          <w:szCs w:val="26"/>
        </w:rPr>
        <w:t xml:space="preserve">rgánica de la </w:t>
      </w:r>
      <w:r w:rsidR="00A606EC">
        <w:rPr>
          <w:rFonts w:ascii="Arial" w:hAnsi="Arial" w:cs="Arial"/>
          <w:sz w:val="26"/>
          <w:szCs w:val="26"/>
        </w:rPr>
        <w:t>F</w:t>
      </w:r>
      <w:r>
        <w:rPr>
          <w:rFonts w:ascii="Arial" w:hAnsi="Arial" w:cs="Arial"/>
          <w:sz w:val="26"/>
          <w:szCs w:val="26"/>
        </w:rPr>
        <w:t xml:space="preserve">iscalía tamaulipeca, dispone que la información contenida en los </w:t>
      </w:r>
      <w:r w:rsidRPr="00F15557">
        <w:rPr>
          <w:rFonts w:ascii="Arial" w:hAnsi="Arial" w:cs="Arial"/>
          <w:sz w:val="26"/>
          <w:szCs w:val="26"/>
        </w:rPr>
        <w:t>expedientes y reportes de resultados de los exámenes de evaluación</w:t>
      </w:r>
      <w:r>
        <w:rPr>
          <w:rFonts w:ascii="Arial" w:hAnsi="Arial" w:cs="Arial"/>
          <w:sz w:val="26"/>
          <w:szCs w:val="26"/>
        </w:rPr>
        <w:t xml:space="preserve"> será considerada reservada. </w:t>
      </w:r>
    </w:p>
    <w:p w14:paraId="3A3114FA" w14:textId="21D60BEE"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Si bien estoy de acuerdo con el reconocimiento de validez de la norma, no comparto la metodología utilizada en la sentencia para sustentar dicha determinación.</w:t>
      </w:r>
    </w:p>
    <w:p w14:paraId="07FE97E3" w14:textId="6392EBE6" w:rsidR="009E21BD" w:rsidRPr="002910DF" w:rsidRDefault="009E21BD" w:rsidP="009E21BD">
      <w:pPr>
        <w:spacing w:before="240" w:after="360" w:line="360" w:lineRule="auto"/>
        <w:jc w:val="both"/>
        <w:rPr>
          <w:rFonts w:ascii="Arial" w:hAnsi="Arial" w:cs="Arial"/>
          <w:sz w:val="26"/>
          <w:szCs w:val="26"/>
        </w:rPr>
      </w:pPr>
      <w:r>
        <w:rPr>
          <w:rFonts w:ascii="Arial" w:hAnsi="Arial" w:cs="Arial"/>
          <w:sz w:val="26"/>
          <w:szCs w:val="26"/>
        </w:rPr>
        <w:t>En un caso similar, en la acción de inconstitucionalidad 109/2019</w:t>
      </w:r>
      <w:r>
        <w:rPr>
          <w:rStyle w:val="Refdenotaalpie"/>
          <w:rFonts w:ascii="Arial" w:hAnsi="Arial" w:cs="Arial"/>
          <w:sz w:val="26"/>
          <w:szCs w:val="26"/>
        </w:rPr>
        <w:footnoteReference w:id="11"/>
      </w:r>
      <w:r>
        <w:rPr>
          <w:rFonts w:ascii="Arial" w:hAnsi="Arial" w:cs="Arial"/>
          <w:sz w:val="26"/>
          <w:szCs w:val="26"/>
        </w:rPr>
        <w:t>, se reconoció la validez de diversas disposiciones de la Constitución de Jalisco que establecían que los resultados de las evaluaciones de control de confianza de los Magistrados y las Magistradas del Supremo Tribunal Superior de Justicia de esa entidad tendrían el carácter de reservado. Aun</w:t>
      </w:r>
      <w:r w:rsidR="00C6426E">
        <w:rPr>
          <w:rFonts w:ascii="Arial" w:hAnsi="Arial" w:cs="Arial"/>
          <w:sz w:val="26"/>
          <w:szCs w:val="26"/>
        </w:rPr>
        <w:t>que</w:t>
      </w:r>
      <w:r>
        <w:rPr>
          <w:rFonts w:ascii="Arial" w:hAnsi="Arial" w:cs="Arial"/>
          <w:sz w:val="26"/>
          <w:szCs w:val="26"/>
        </w:rPr>
        <w:t xml:space="preserve"> </w:t>
      </w:r>
      <w:r w:rsidRPr="002910DF">
        <w:rPr>
          <w:rFonts w:ascii="Arial" w:hAnsi="Arial" w:cs="Arial"/>
          <w:sz w:val="26"/>
          <w:szCs w:val="26"/>
        </w:rPr>
        <w:t>compartí la declaratoria de invalidez</w:t>
      </w:r>
      <w:r>
        <w:rPr>
          <w:rFonts w:ascii="Arial" w:hAnsi="Arial" w:cs="Arial"/>
          <w:sz w:val="26"/>
          <w:szCs w:val="26"/>
        </w:rPr>
        <w:t>,</w:t>
      </w:r>
      <w:r w:rsidRPr="002910DF">
        <w:rPr>
          <w:rFonts w:ascii="Arial" w:hAnsi="Arial" w:cs="Arial"/>
          <w:sz w:val="26"/>
          <w:szCs w:val="26"/>
        </w:rPr>
        <w:t xml:space="preserve"> me pronuncié por una metodología distinta</w:t>
      </w:r>
      <w:r>
        <w:rPr>
          <w:rFonts w:ascii="Arial" w:hAnsi="Arial" w:cs="Arial"/>
          <w:sz w:val="26"/>
          <w:szCs w:val="26"/>
        </w:rPr>
        <w:t xml:space="preserve">, la cual desarrollé en el voto concurrente que formulé en dicho caso, la cual considero igualmente aplicable a la presente acción de inconstitucionalidad. </w:t>
      </w:r>
    </w:p>
    <w:p w14:paraId="4D158381" w14:textId="6779D5C8" w:rsidR="009E21BD" w:rsidRPr="00C16F22" w:rsidRDefault="009E21BD" w:rsidP="009E21BD">
      <w:pPr>
        <w:spacing w:before="240" w:after="360" w:line="360" w:lineRule="auto"/>
        <w:jc w:val="both"/>
        <w:rPr>
          <w:rFonts w:ascii="Arial" w:hAnsi="Arial" w:cs="Arial"/>
          <w:sz w:val="26"/>
          <w:szCs w:val="26"/>
        </w:rPr>
      </w:pPr>
      <w:r>
        <w:rPr>
          <w:rFonts w:ascii="Arial" w:hAnsi="Arial" w:cs="Arial"/>
          <w:sz w:val="26"/>
          <w:szCs w:val="26"/>
        </w:rPr>
        <w:t>Como lo señalé en el voto referido</w:t>
      </w:r>
      <w:r w:rsidRPr="00C16F22">
        <w:rPr>
          <w:rFonts w:ascii="Arial" w:hAnsi="Arial" w:cs="Arial"/>
          <w:sz w:val="26"/>
          <w:szCs w:val="26"/>
        </w:rPr>
        <w:t xml:space="preserve">, la información </w:t>
      </w:r>
      <w:r w:rsidRPr="002910DF">
        <w:rPr>
          <w:rFonts w:ascii="Arial" w:hAnsi="Arial" w:cs="Arial"/>
          <w:sz w:val="26"/>
          <w:szCs w:val="26"/>
        </w:rPr>
        <w:t xml:space="preserve">contenida en los expedientes y reportes de resultados de los exámenes de </w:t>
      </w:r>
      <w:r>
        <w:rPr>
          <w:rFonts w:ascii="Arial" w:hAnsi="Arial" w:cs="Arial"/>
          <w:sz w:val="26"/>
          <w:szCs w:val="26"/>
        </w:rPr>
        <w:t>evaluación, a la que en este caso se refiere el artículo 67 impugnado</w:t>
      </w:r>
      <w:r w:rsidRPr="00C16F22">
        <w:rPr>
          <w:rFonts w:ascii="Arial" w:hAnsi="Arial" w:cs="Arial"/>
          <w:sz w:val="26"/>
          <w:szCs w:val="26"/>
        </w:rPr>
        <w:t xml:space="preserve">, </w:t>
      </w:r>
      <w:r w:rsidRPr="00C16F22">
        <w:rPr>
          <w:rFonts w:ascii="Arial" w:hAnsi="Arial" w:cs="Arial"/>
          <w:sz w:val="26"/>
          <w:szCs w:val="26"/>
          <w:u w:val="single"/>
        </w:rPr>
        <w:t xml:space="preserve">no debe clasificarse </w:t>
      </w:r>
      <w:r w:rsidRPr="00C16F22">
        <w:rPr>
          <w:rFonts w:ascii="Arial" w:hAnsi="Arial" w:cs="Arial"/>
          <w:sz w:val="26"/>
          <w:szCs w:val="26"/>
          <w:u w:val="single"/>
        </w:rPr>
        <w:lastRenderedPageBreak/>
        <w:t>como información reservada sino como información confidencial</w:t>
      </w:r>
      <w:r w:rsidRPr="00C16F22">
        <w:rPr>
          <w:rFonts w:ascii="Arial" w:hAnsi="Arial" w:cs="Arial"/>
          <w:sz w:val="26"/>
          <w:szCs w:val="26"/>
        </w:rPr>
        <w:t xml:space="preserve">. Por lo tanto, aunque el legislador haya empleado indebidamente el calificativo de </w:t>
      </w:r>
      <w:r w:rsidRPr="005F4812">
        <w:rPr>
          <w:rFonts w:ascii="Arial" w:hAnsi="Arial" w:cs="Arial"/>
          <w:i/>
          <w:iCs/>
          <w:sz w:val="26"/>
          <w:szCs w:val="26"/>
        </w:rPr>
        <w:t>“reservada”</w:t>
      </w:r>
      <w:r w:rsidRPr="00C16F22">
        <w:rPr>
          <w:rFonts w:ascii="Arial" w:hAnsi="Arial" w:cs="Arial"/>
          <w:sz w:val="26"/>
          <w:szCs w:val="26"/>
        </w:rPr>
        <w:t xml:space="preserve"> en la norma impugnada, estimo que la misma no vulnera el principio de máxima publicidad de conformidad con la normativ</w:t>
      </w:r>
      <w:r w:rsidR="006301AC">
        <w:rPr>
          <w:rFonts w:ascii="Arial" w:hAnsi="Arial" w:cs="Arial"/>
          <w:sz w:val="26"/>
          <w:szCs w:val="26"/>
        </w:rPr>
        <w:t>a</w:t>
      </w:r>
      <w:r w:rsidRPr="00C16F22">
        <w:rPr>
          <w:rFonts w:ascii="Arial" w:hAnsi="Arial" w:cs="Arial"/>
          <w:sz w:val="26"/>
          <w:szCs w:val="26"/>
        </w:rPr>
        <w:t xml:space="preserve"> aplicable</w:t>
      </w:r>
      <w:r w:rsidRPr="00C16F22">
        <w:rPr>
          <w:rStyle w:val="Refdenotaalpie"/>
          <w:rFonts w:ascii="Arial" w:hAnsi="Arial" w:cs="Arial"/>
          <w:sz w:val="26"/>
          <w:szCs w:val="26"/>
        </w:rPr>
        <w:footnoteReference w:id="12"/>
      </w:r>
      <w:r w:rsidRPr="00C16F22">
        <w:rPr>
          <w:rFonts w:ascii="Arial" w:hAnsi="Arial" w:cs="Arial"/>
          <w:sz w:val="26"/>
          <w:szCs w:val="26"/>
        </w:rPr>
        <w:t xml:space="preserve">. Considero que </w:t>
      </w:r>
      <w:r>
        <w:rPr>
          <w:rFonts w:ascii="Arial" w:hAnsi="Arial" w:cs="Arial"/>
          <w:sz w:val="26"/>
          <w:szCs w:val="26"/>
        </w:rPr>
        <w:t>é</w:t>
      </w:r>
      <w:r w:rsidRPr="00C16F22">
        <w:rPr>
          <w:rFonts w:ascii="Arial" w:hAnsi="Arial" w:cs="Arial"/>
          <w:sz w:val="26"/>
          <w:szCs w:val="26"/>
        </w:rPr>
        <w:t xml:space="preserve">ste debió ser el eje de la sentencia, pero </w:t>
      </w:r>
      <w:r>
        <w:rPr>
          <w:rFonts w:ascii="Arial" w:hAnsi="Arial" w:cs="Arial"/>
          <w:sz w:val="26"/>
          <w:szCs w:val="26"/>
        </w:rPr>
        <w:t xml:space="preserve">no </w:t>
      </w:r>
      <w:r w:rsidRPr="00C16F22">
        <w:rPr>
          <w:rFonts w:ascii="Arial" w:hAnsi="Arial" w:cs="Arial"/>
          <w:sz w:val="26"/>
          <w:szCs w:val="26"/>
        </w:rPr>
        <w:t>se ocupa de tales observaciones, razón por la cual no comparto su método.</w:t>
      </w:r>
    </w:p>
    <w:p w14:paraId="4D62D3DD" w14:textId="21E98EF8"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Desde mi punto de vista,</w:t>
      </w:r>
      <w:r w:rsidRPr="00C16F22">
        <w:rPr>
          <w:rFonts w:ascii="Arial" w:hAnsi="Arial" w:cs="Arial"/>
          <w:sz w:val="26"/>
          <w:szCs w:val="26"/>
        </w:rPr>
        <w:t xml:space="preserve"> en este caso no se está ante supuestos de información reservada, sino ante información confidencial. Considero que la ejecutoria debió partir de lo dispuesto por el artículo 6º de la Constitución </w:t>
      </w:r>
      <w:r w:rsidR="00E77A35">
        <w:rPr>
          <w:rFonts w:ascii="Arial" w:hAnsi="Arial" w:cs="Arial"/>
          <w:sz w:val="26"/>
          <w:szCs w:val="26"/>
        </w:rPr>
        <w:t>F</w:t>
      </w:r>
      <w:r w:rsidRPr="00C16F22">
        <w:rPr>
          <w:rFonts w:ascii="Arial" w:hAnsi="Arial" w:cs="Arial"/>
          <w:sz w:val="26"/>
          <w:szCs w:val="26"/>
        </w:rPr>
        <w:t xml:space="preserve">ederal, y de lo previsto en el </w:t>
      </w:r>
      <w:r w:rsidR="00E77A35">
        <w:rPr>
          <w:rFonts w:ascii="Arial" w:hAnsi="Arial" w:cs="Arial"/>
          <w:sz w:val="26"/>
          <w:szCs w:val="26"/>
        </w:rPr>
        <w:t>diverso</w:t>
      </w:r>
      <w:r w:rsidRPr="00C16F22">
        <w:rPr>
          <w:rFonts w:ascii="Arial" w:hAnsi="Arial" w:cs="Arial"/>
          <w:sz w:val="26"/>
          <w:szCs w:val="26"/>
        </w:rPr>
        <w:t xml:space="preserve"> 116 de la Ley General de Transparencia y Acceso a la Información Pública, el cual dispone que se considera información confidencial la que contiene datos personales concernientes a una persona identificada o identificable, la cual no estará sujeta a temporalidad alguna y sólo podrán tener acceso a ella los titulares de </w:t>
      </w:r>
      <w:r w:rsidR="007A773D">
        <w:rPr>
          <w:rFonts w:ascii="Arial" w:hAnsi="Arial" w:cs="Arial"/>
          <w:sz w:val="26"/>
          <w:szCs w:val="26"/>
        </w:rPr>
        <w:t>é</w:t>
      </w:r>
      <w:r w:rsidRPr="00C16F22">
        <w:rPr>
          <w:rFonts w:ascii="Arial" w:hAnsi="Arial" w:cs="Arial"/>
          <w:sz w:val="26"/>
          <w:szCs w:val="26"/>
        </w:rPr>
        <w:t>sta, sus representantes y los servidores públicos facultados para ello.</w:t>
      </w:r>
    </w:p>
    <w:p w14:paraId="6366A39E" w14:textId="2CFDF6E2" w:rsidR="009E21BD" w:rsidRDefault="009E21BD" w:rsidP="009E21BD">
      <w:pPr>
        <w:spacing w:before="240" w:after="360" w:line="360" w:lineRule="auto"/>
        <w:jc w:val="both"/>
        <w:rPr>
          <w:rFonts w:ascii="Arial" w:hAnsi="Arial" w:cs="Arial"/>
          <w:sz w:val="26"/>
          <w:szCs w:val="26"/>
        </w:rPr>
      </w:pPr>
      <w:r>
        <w:rPr>
          <w:rFonts w:ascii="Arial" w:hAnsi="Arial" w:cs="Arial"/>
          <w:sz w:val="26"/>
          <w:szCs w:val="26"/>
        </w:rPr>
        <w:t xml:space="preserve">El artículo 64 de la ley impugnada establece que todo el personal de Fiscalía debe sujetarse a </w:t>
      </w:r>
      <w:r w:rsidRPr="00872C36">
        <w:rPr>
          <w:rFonts w:ascii="Arial" w:hAnsi="Arial" w:cs="Arial"/>
          <w:sz w:val="26"/>
          <w:szCs w:val="26"/>
        </w:rPr>
        <w:t>evaluaciones de control de confianza, del desempeño y de conocimientos o competencias</w:t>
      </w:r>
      <w:r>
        <w:rPr>
          <w:rStyle w:val="Refdenotaalpie"/>
          <w:rFonts w:ascii="Arial" w:hAnsi="Arial" w:cs="Arial"/>
          <w:sz w:val="26"/>
          <w:szCs w:val="26"/>
        </w:rPr>
        <w:footnoteReference w:id="13"/>
      </w:r>
      <w:r>
        <w:rPr>
          <w:rFonts w:ascii="Arial" w:hAnsi="Arial" w:cs="Arial"/>
          <w:sz w:val="26"/>
          <w:szCs w:val="26"/>
        </w:rPr>
        <w:t>. Por su parte, la no</w:t>
      </w:r>
      <w:r w:rsidRPr="00C16F22">
        <w:rPr>
          <w:rFonts w:ascii="Arial" w:hAnsi="Arial" w:cs="Arial"/>
          <w:sz w:val="26"/>
          <w:szCs w:val="26"/>
        </w:rPr>
        <w:t>rma</w:t>
      </w:r>
      <w:r>
        <w:rPr>
          <w:rFonts w:ascii="Arial" w:hAnsi="Arial" w:cs="Arial"/>
          <w:sz w:val="26"/>
          <w:szCs w:val="26"/>
        </w:rPr>
        <w:t xml:space="preserve"> </w:t>
      </w:r>
      <w:r w:rsidRPr="00C16F22">
        <w:rPr>
          <w:rFonts w:ascii="Arial" w:hAnsi="Arial" w:cs="Arial"/>
          <w:sz w:val="26"/>
          <w:szCs w:val="26"/>
        </w:rPr>
        <w:t xml:space="preserve">cuya validez fue reconocida en la presente acción de inconstitucionalidad establece que </w:t>
      </w:r>
      <w:r>
        <w:rPr>
          <w:rFonts w:ascii="Arial" w:hAnsi="Arial" w:cs="Arial"/>
          <w:sz w:val="26"/>
          <w:szCs w:val="26"/>
        </w:rPr>
        <w:t>l</w:t>
      </w:r>
      <w:r w:rsidRPr="005F4812">
        <w:rPr>
          <w:rFonts w:ascii="Arial" w:hAnsi="Arial" w:cs="Arial"/>
          <w:sz w:val="26"/>
          <w:szCs w:val="26"/>
        </w:rPr>
        <w:t xml:space="preserve">a información contenida en los expedientes y reportes de resultados de </w:t>
      </w:r>
      <w:r>
        <w:rPr>
          <w:rFonts w:ascii="Arial" w:hAnsi="Arial" w:cs="Arial"/>
          <w:sz w:val="26"/>
          <w:szCs w:val="26"/>
        </w:rPr>
        <w:t xml:space="preserve">estas evaluaciones </w:t>
      </w:r>
      <w:r w:rsidRPr="005F4812">
        <w:rPr>
          <w:rFonts w:ascii="Arial" w:hAnsi="Arial" w:cs="Arial"/>
          <w:sz w:val="26"/>
          <w:szCs w:val="26"/>
        </w:rPr>
        <w:t>será considerada como información reservada</w:t>
      </w:r>
      <w:r w:rsidRPr="00C16F22">
        <w:rPr>
          <w:rFonts w:ascii="Arial" w:hAnsi="Arial" w:cs="Arial"/>
          <w:sz w:val="26"/>
          <w:szCs w:val="26"/>
        </w:rPr>
        <w:t xml:space="preserve">. </w:t>
      </w:r>
      <w:r>
        <w:rPr>
          <w:rFonts w:ascii="Arial" w:hAnsi="Arial" w:cs="Arial"/>
          <w:sz w:val="26"/>
          <w:szCs w:val="26"/>
        </w:rPr>
        <w:t>Es claro que</w:t>
      </w:r>
      <w:r w:rsidR="00E4656C">
        <w:rPr>
          <w:rFonts w:ascii="Arial" w:hAnsi="Arial" w:cs="Arial"/>
          <w:sz w:val="26"/>
          <w:szCs w:val="26"/>
        </w:rPr>
        <w:t>,</w:t>
      </w:r>
      <w:r>
        <w:rPr>
          <w:rFonts w:ascii="Arial" w:hAnsi="Arial" w:cs="Arial"/>
          <w:sz w:val="26"/>
          <w:szCs w:val="26"/>
        </w:rPr>
        <w:t xml:space="preserve"> d</w:t>
      </w:r>
      <w:r w:rsidRPr="00C16F22">
        <w:rPr>
          <w:rFonts w:ascii="Arial" w:hAnsi="Arial" w:cs="Arial"/>
          <w:sz w:val="26"/>
          <w:szCs w:val="26"/>
        </w:rPr>
        <w:t xml:space="preserve">erivado de la aplicación de </w:t>
      </w:r>
      <w:r w:rsidRPr="005F4812">
        <w:rPr>
          <w:rFonts w:ascii="Arial" w:hAnsi="Arial" w:cs="Arial"/>
          <w:sz w:val="26"/>
          <w:szCs w:val="26"/>
        </w:rPr>
        <w:t>los exámenes de evaluación</w:t>
      </w:r>
      <w:r w:rsidRPr="00C16F22">
        <w:rPr>
          <w:rFonts w:ascii="Arial" w:hAnsi="Arial" w:cs="Arial"/>
          <w:sz w:val="26"/>
          <w:szCs w:val="26"/>
        </w:rPr>
        <w:t>, las autoridades obtienen datos personales sensibles de los integrantes</w:t>
      </w:r>
      <w:r>
        <w:rPr>
          <w:rFonts w:ascii="Arial" w:hAnsi="Arial" w:cs="Arial"/>
          <w:sz w:val="26"/>
          <w:szCs w:val="26"/>
        </w:rPr>
        <w:t xml:space="preserve"> de la Fiscalía de </w:t>
      </w:r>
      <w:r>
        <w:rPr>
          <w:rFonts w:ascii="Arial" w:hAnsi="Arial" w:cs="Arial"/>
          <w:sz w:val="26"/>
          <w:szCs w:val="26"/>
        </w:rPr>
        <w:lastRenderedPageBreak/>
        <w:t>Tamaulipas</w:t>
      </w:r>
      <w:r w:rsidRPr="00C16F22">
        <w:rPr>
          <w:rFonts w:ascii="Arial" w:hAnsi="Arial" w:cs="Arial"/>
          <w:sz w:val="26"/>
          <w:szCs w:val="26"/>
        </w:rPr>
        <w:t>, los cuales deben ser considerados como información confidencial de conformidad con la normatividad aplicable.</w:t>
      </w:r>
    </w:p>
    <w:p w14:paraId="2FCD51F6" w14:textId="10B5A3E6" w:rsidR="00D16EEB" w:rsidRPr="00C223C8" w:rsidRDefault="009E21BD" w:rsidP="009E21BD">
      <w:pPr>
        <w:pStyle w:val="corte4fondo"/>
        <w:spacing w:before="240" w:after="240"/>
        <w:ind w:firstLine="0"/>
        <w:rPr>
          <w:rFonts w:cs="Arial"/>
          <w:sz w:val="26"/>
          <w:szCs w:val="26"/>
        </w:rPr>
      </w:pPr>
      <w:r>
        <w:rPr>
          <w:rFonts w:cs="Arial"/>
          <w:sz w:val="26"/>
          <w:szCs w:val="26"/>
        </w:rPr>
        <w:t xml:space="preserve">Por lo anterior, </w:t>
      </w:r>
      <w:r w:rsidRPr="00C16F22">
        <w:rPr>
          <w:rFonts w:cs="Arial"/>
          <w:sz w:val="26"/>
          <w:szCs w:val="26"/>
        </w:rPr>
        <w:t xml:space="preserve">considero, respetuosamente, que la sentencia debió partir de que se estaba en presencia de información confidencial y, eventualmente, </w:t>
      </w:r>
      <w:r w:rsidR="000D6819">
        <w:rPr>
          <w:rFonts w:cs="Arial"/>
          <w:sz w:val="26"/>
          <w:szCs w:val="26"/>
        </w:rPr>
        <w:t>dar un tratamiento distinto al tema</w:t>
      </w:r>
      <w:r w:rsidR="00D16EEB" w:rsidRPr="00C223C8">
        <w:rPr>
          <w:rFonts w:cs="Arial"/>
          <w:sz w:val="26"/>
          <w:szCs w:val="26"/>
        </w:rPr>
        <w:t>.</w:t>
      </w:r>
    </w:p>
    <w:p w14:paraId="37511CF7" w14:textId="56C95D87" w:rsidR="00745135" w:rsidRPr="00C223C8" w:rsidRDefault="00745135" w:rsidP="00C223C8">
      <w:pPr>
        <w:shd w:val="clear" w:color="auto" w:fill="FFFFFF" w:themeFill="background1"/>
        <w:spacing w:before="240" w:after="240" w:line="360" w:lineRule="auto"/>
        <w:jc w:val="both"/>
        <w:rPr>
          <w:rFonts w:ascii="Arial" w:hAnsi="Arial" w:cs="Arial"/>
          <w:sz w:val="26"/>
          <w:szCs w:val="26"/>
        </w:rPr>
      </w:pPr>
    </w:p>
    <w:p w14:paraId="0615E501" w14:textId="77777777" w:rsidR="00D16EEB" w:rsidRPr="00C223C8" w:rsidRDefault="00D16EEB" w:rsidP="00C223C8">
      <w:pPr>
        <w:shd w:val="clear" w:color="auto" w:fill="FFFFFF" w:themeFill="background1"/>
        <w:spacing w:before="240" w:after="240" w:line="360" w:lineRule="auto"/>
        <w:jc w:val="both"/>
        <w:rPr>
          <w:rFonts w:ascii="Arial" w:hAnsi="Arial" w:cs="Arial"/>
          <w:sz w:val="26"/>
          <w:szCs w:val="26"/>
        </w:rPr>
      </w:pPr>
    </w:p>
    <w:p w14:paraId="125B49CA" w14:textId="2508CBD4" w:rsidR="003B63A5" w:rsidRPr="00C223C8" w:rsidRDefault="003B63A5" w:rsidP="00C223C8">
      <w:pPr>
        <w:shd w:val="clear" w:color="auto" w:fill="FFFFFF" w:themeFill="background1"/>
        <w:spacing w:before="240" w:after="240" w:line="360" w:lineRule="auto"/>
        <w:jc w:val="center"/>
        <w:rPr>
          <w:rFonts w:ascii="Arial" w:hAnsi="Arial" w:cs="Arial"/>
          <w:b/>
          <w:bCs/>
          <w:sz w:val="26"/>
          <w:szCs w:val="26"/>
        </w:rPr>
      </w:pPr>
      <w:r w:rsidRPr="00C223C8">
        <w:rPr>
          <w:rFonts w:ascii="Arial" w:hAnsi="Arial" w:cs="Arial"/>
          <w:b/>
          <w:bCs/>
          <w:sz w:val="26"/>
          <w:szCs w:val="26"/>
        </w:rPr>
        <w:t>MINISTRA ANA MARGARITA RÍOS FARJAT</w:t>
      </w:r>
    </w:p>
    <w:p w14:paraId="6D571062" w14:textId="77777777" w:rsidR="00531857" w:rsidRPr="00C223C8" w:rsidRDefault="00531857" w:rsidP="00C223C8">
      <w:pPr>
        <w:spacing w:before="240" w:after="240" w:line="360" w:lineRule="auto"/>
        <w:rPr>
          <w:rFonts w:ascii="Arial" w:hAnsi="Arial"/>
          <w:b/>
          <w:sz w:val="26"/>
          <w:szCs w:val="26"/>
          <w:u w:val="single"/>
          <w:lang w:val="es-MX"/>
        </w:rPr>
      </w:pPr>
    </w:p>
    <w:p w14:paraId="5AEA6FCC" w14:textId="77777777" w:rsidR="00DE43C9" w:rsidRPr="00C223C8" w:rsidRDefault="00DE43C9" w:rsidP="00C223C8">
      <w:pPr>
        <w:spacing w:before="240" w:after="240" w:line="360" w:lineRule="auto"/>
        <w:jc w:val="center"/>
        <w:rPr>
          <w:rFonts w:ascii="Arial" w:hAnsi="Arial" w:cs="Arial"/>
          <w:b/>
          <w:color w:val="000000" w:themeColor="text1"/>
          <w:sz w:val="26"/>
          <w:szCs w:val="26"/>
        </w:rPr>
      </w:pPr>
      <w:r w:rsidRPr="00C223C8">
        <w:rPr>
          <w:rFonts w:ascii="Arial" w:hAnsi="Arial" w:cs="Arial"/>
          <w:b/>
          <w:color w:val="000000" w:themeColor="text1"/>
          <w:sz w:val="26"/>
          <w:szCs w:val="26"/>
        </w:rPr>
        <w:t>SECRETARIO GENERAL DE ACUERDOS</w:t>
      </w:r>
    </w:p>
    <w:p w14:paraId="523D64B2" w14:textId="77777777" w:rsidR="007A773D" w:rsidRDefault="007A773D" w:rsidP="00C223C8">
      <w:pPr>
        <w:spacing w:before="240" w:after="240" w:line="360" w:lineRule="auto"/>
        <w:jc w:val="center"/>
        <w:rPr>
          <w:rFonts w:ascii="Arial" w:hAnsi="Arial" w:cs="Arial"/>
          <w:b/>
          <w:color w:val="000000" w:themeColor="text1"/>
          <w:sz w:val="26"/>
          <w:szCs w:val="26"/>
        </w:rPr>
      </w:pPr>
    </w:p>
    <w:p w14:paraId="0CF7FEF3" w14:textId="5D651563" w:rsidR="00614BC4" w:rsidRPr="00C223C8" w:rsidRDefault="007A773D" w:rsidP="00C223C8">
      <w:pPr>
        <w:spacing w:before="240" w:after="240" w:line="360" w:lineRule="auto"/>
        <w:jc w:val="center"/>
        <w:rPr>
          <w:rFonts w:ascii="Arial" w:hAnsi="Arial" w:cs="Arial"/>
          <w:i/>
          <w:sz w:val="26"/>
          <w:szCs w:val="26"/>
        </w:rPr>
      </w:pPr>
      <w:r>
        <w:rPr>
          <w:rFonts w:ascii="Arial" w:hAnsi="Arial" w:cs="Arial"/>
          <w:b/>
          <w:color w:val="000000" w:themeColor="text1"/>
          <w:sz w:val="26"/>
          <w:szCs w:val="26"/>
        </w:rPr>
        <w:t>LIC. R</w:t>
      </w:r>
      <w:r w:rsidR="00DE43C9" w:rsidRPr="00C223C8">
        <w:rPr>
          <w:rFonts w:ascii="Arial" w:hAnsi="Arial" w:cs="Arial"/>
          <w:b/>
          <w:color w:val="000000" w:themeColor="text1"/>
          <w:sz w:val="26"/>
          <w:szCs w:val="26"/>
        </w:rPr>
        <w:t>AFAEL COELLO CETINA</w:t>
      </w:r>
    </w:p>
    <w:sectPr w:rsidR="00614BC4" w:rsidRPr="00C223C8"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11C" w14:textId="77777777" w:rsidR="00352AC6" w:rsidRDefault="00352AC6" w:rsidP="007C3C9B">
      <w:r>
        <w:separator/>
      </w:r>
    </w:p>
  </w:endnote>
  <w:endnote w:type="continuationSeparator" w:id="0">
    <w:p w14:paraId="7E5B9524" w14:textId="77777777" w:rsidR="00352AC6" w:rsidRDefault="00352AC6"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77777777"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A55E0E" w:rsidRPr="00846103">
          <w:rPr>
            <w:rFonts w:ascii="Arial" w:hAnsi="Arial" w:cs="Arial"/>
            <w:b/>
            <w:noProof/>
            <w:color w:val="0070C0"/>
            <w:sz w:val="22"/>
            <w:szCs w:val="22"/>
            <w:lang w:val="es-ES"/>
          </w:rPr>
          <w:t>2</w:t>
        </w:r>
        <w:r w:rsidRPr="00846103">
          <w:rPr>
            <w:rFonts w:ascii="Arial" w:hAnsi="Arial" w:cs="Arial"/>
            <w:b/>
            <w:color w:val="0070C0"/>
            <w:sz w:val="22"/>
            <w:szCs w:val="22"/>
          </w:rPr>
          <w:fldChar w:fldCharType="end"/>
        </w:r>
      </w:p>
    </w:sdtContent>
  </w:sdt>
  <w:p w14:paraId="608A7FE5" w14:textId="77777777" w:rsidR="009F4463" w:rsidRDefault="00352A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77777777"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A55E0E" w:rsidRPr="00846103">
          <w:rPr>
            <w:rFonts w:ascii="Arial" w:hAnsi="Arial" w:cs="Arial"/>
            <w:b/>
            <w:noProof/>
            <w:color w:val="0070C0"/>
            <w:sz w:val="22"/>
            <w:szCs w:val="22"/>
            <w:lang w:val="es-ES"/>
          </w:rPr>
          <w:t>3</w:t>
        </w:r>
        <w:r w:rsidRPr="00846103">
          <w:rPr>
            <w:rFonts w:ascii="Arial" w:hAnsi="Arial" w:cs="Arial"/>
            <w:b/>
            <w:color w:val="0070C0"/>
            <w:sz w:val="22"/>
            <w:szCs w:val="22"/>
          </w:rPr>
          <w:fldChar w:fldCharType="end"/>
        </w:r>
      </w:p>
    </w:sdtContent>
  </w:sdt>
  <w:p w14:paraId="238A8A8B" w14:textId="77777777" w:rsidR="009F4463" w:rsidRDefault="00352A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9FFB" w14:textId="77777777" w:rsidR="00352AC6" w:rsidRDefault="00352AC6" w:rsidP="007C3C9B">
      <w:r>
        <w:separator/>
      </w:r>
    </w:p>
  </w:footnote>
  <w:footnote w:type="continuationSeparator" w:id="0">
    <w:p w14:paraId="4351664E" w14:textId="77777777" w:rsidR="00352AC6" w:rsidRDefault="00352AC6" w:rsidP="007C3C9B">
      <w:r>
        <w:continuationSeparator/>
      </w:r>
    </w:p>
  </w:footnote>
  <w:footnote w:id="1">
    <w:p w14:paraId="5642EE70" w14:textId="5E314CAC" w:rsidR="009E21BD" w:rsidRPr="007C0AB1" w:rsidRDefault="009E21BD" w:rsidP="009E21BD">
      <w:pPr>
        <w:pStyle w:val="Textonotapie"/>
        <w:ind w:left="284" w:hanging="284"/>
        <w:jc w:val="both"/>
        <w:rPr>
          <w:sz w:val="22"/>
          <w:szCs w:val="22"/>
        </w:rPr>
      </w:pPr>
      <w:r>
        <w:rPr>
          <w:rStyle w:val="Refdenotaalpie"/>
        </w:rPr>
        <w:footnoteRef/>
      </w:r>
      <w:r>
        <w:t xml:space="preserve"> </w:t>
      </w:r>
      <w:r w:rsidRPr="007C0AB1">
        <w:rPr>
          <w:b/>
          <w:bCs/>
          <w:sz w:val="22"/>
          <w:szCs w:val="22"/>
        </w:rPr>
        <w:t>Artículo 21.-</w:t>
      </w:r>
      <w:r w:rsidRPr="007C0AB1">
        <w:rPr>
          <w:sz w:val="22"/>
          <w:szCs w:val="22"/>
        </w:rPr>
        <w:t xml:space="preserve"> Para ser designado Vicefiscal, se requiere cumplir con los siguientes requisitos: (…)</w:t>
      </w:r>
    </w:p>
    <w:p w14:paraId="60C22377" w14:textId="77777777" w:rsidR="009E21BD" w:rsidRDefault="009E21BD" w:rsidP="009E21BD">
      <w:pPr>
        <w:pStyle w:val="Textonotapie"/>
        <w:ind w:left="426" w:hanging="284"/>
        <w:jc w:val="both"/>
        <w:rPr>
          <w:sz w:val="22"/>
          <w:szCs w:val="22"/>
        </w:rPr>
      </w:pPr>
      <w:r w:rsidRPr="007C0AB1">
        <w:rPr>
          <w:b/>
          <w:bCs/>
          <w:sz w:val="22"/>
          <w:szCs w:val="22"/>
        </w:rPr>
        <w:t>IV.</w:t>
      </w:r>
      <w:r w:rsidRPr="007C0AB1">
        <w:rPr>
          <w:sz w:val="22"/>
          <w:szCs w:val="22"/>
        </w:rPr>
        <w:t xml:space="preserve"> Gozar de buena reputación </w:t>
      </w:r>
      <w:r w:rsidRPr="007C0AB1">
        <w:rPr>
          <w:sz w:val="22"/>
          <w:szCs w:val="22"/>
          <w:u w:val="single"/>
        </w:rPr>
        <w:t>y no haber sido condenado por la comisión de delito doloso mediante sentencia que haya causado ejecutoria</w:t>
      </w:r>
      <w:r w:rsidRPr="007C0AB1">
        <w:rPr>
          <w:sz w:val="22"/>
          <w:szCs w:val="22"/>
        </w:rPr>
        <w:t>, o estar sujeto a proceso penal; (…)</w:t>
      </w:r>
      <w:r>
        <w:rPr>
          <w:sz w:val="22"/>
          <w:szCs w:val="22"/>
        </w:rPr>
        <w:t xml:space="preserve"> </w:t>
      </w:r>
    </w:p>
    <w:p w14:paraId="12D771D6" w14:textId="77777777" w:rsidR="009E21BD" w:rsidRPr="007C0AB1" w:rsidRDefault="009E21BD" w:rsidP="009E21BD">
      <w:pPr>
        <w:pStyle w:val="Textonotapie"/>
        <w:ind w:left="567" w:hanging="425"/>
        <w:jc w:val="both"/>
        <w:rPr>
          <w:sz w:val="22"/>
          <w:szCs w:val="22"/>
        </w:rPr>
      </w:pPr>
      <w:r w:rsidRPr="007C0AB1">
        <w:rPr>
          <w:b/>
          <w:bCs/>
          <w:sz w:val="22"/>
          <w:szCs w:val="22"/>
        </w:rPr>
        <w:t>VI.</w:t>
      </w:r>
      <w:r w:rsidRPr="007C0AB1">
        <w:rPr>
          <w:sz w:val="22"/>
          <w:szCs w:val="22"/>
        </w:rPr>
        <w:t xml:space="preserve"> No haber sido suspendido, destituido ni inhabilitado por resolución firme, en los términos de las normas relativas a las responsabilidades administrativas de los servidores públicos; (…)</w:t>
      </w:r>
    </w:p>
    <w:p w14:paraId="6E36DDE7" w14:textId="13527A7A" w:rsidR="009E21BD" w:rsidRPr="007C0AB1" w:rsidRDefault="003D4579" w:rsidP="003D4579">
      <w:pPr>
        <w:pStyle w:val="Textonotapie"/>
        <w:ind w:left="142" w:hanging="284"/>
        <w:jc w:val="both"/>
        <w:rPr>
          <w:sz w:val="22"/>
          <w:szCs w:val="22"/>
        </w:rPr>
      </w:pPr>
      <w:r>
        <w:rPr>
          <w:b/>
          <w:bCs/>
          <w:sz w:val="22"/>
          <w:szCs w:val="22"/>
        </w:rPr>
        <w:t xml:space="preserve">     </w:t>
      </w:r>
      <w:r w:rsidR="009E21BD" w:rsidRPr="007C0AB1">
        <w:rPr>
          <w:b/>
          <w:bCs/>
          <w:sz w:val="22"/>
          <w:szCs w:val="22"/>
        </w:rPr>
        <w:t>Artículo</w:t>
      </w:r>
      <w:r w:rsidR="009E21BD" w:rsidRPr="007C0AB1">
        <w:rPr>
          <w:sz w:val="22"/>
          <w:szCs w:val="22"/>
        </w:rPr>
        <w:t xml:space="preserve"> </w:t>
      </w:r>
      <w:r w:rsidR="009E21BD" w:rsidRPr="007C0AB1">
        <w:rPr>
          <w:b/>
          <w:bCs/>
          <w:sz w:val="22"/>
          <w:szCs w:val="22"/>
        </w:rPr>
        <w:t>24.-</w:t>
      </w:r>
      <w:r w:rsidR="009E21BD" w:rsidRPr="007C0AB1">
        <w:rPr>
          <w:sz w:val="22"/>
          <w:szCs w:val="22"/>
        </w:rPr>
        <w:t xml:space="preserve"> Para ser titular de una Fiscalía Especializada, se requiere cumplir con los siguientes requisitos: […]</w:t>
      </w:r>
    </w:p>
    <w:p w14:paraId="49EBEBD7" w14:textId="77777777" w:rsidR="009E21BD" w:rsidRDefault="009E21BD" w:rsidP="009E21BD">
      <w:pPr>
        <w:pStyle w:val="Textonotapie"/>
        <w:ind w:left="567" w:hanging="425"/>
        <w:jc w:val="both"/>
        <w:rPr>
          <w:sz w:val="22"/>
          <w:szCs w:val="22"/>
        </w:rPr>
      </w:pPr>
      <w:r w:rsidRPr="007C0AB1">
        <w:rPr>
          <w:b/>
          <w:bCs/>
          <w:sz w:val="22"/>
          <w:szCs w:val="22"/>
        </w:rPr>
        <w:t>IV.</w:t>
      </w:r>
      <w:r w:rsidRPr="007C0AB1">
        <w:rPr>
          <w:b/>
          <w:bCs/>
          <w:sz w:val="22"/>
          <w:szCs w:val="22"/>
        </w:rPr>
        <w:tab/>
      </w:r>
      <w:r w:rsidRPr="007C0AB1">
        <w:rPr>
          <w:sz w:val="22"/>
          <w:szCs w:val="22"/>
        </w:rPr>
        <w:t xml:space="preserve">Gozar de buena reputación </w:t>
      </w:r>
      <w:r w:rsidRPr="007C0AB1">
        <w:rPr>
          <w:sz w:val="22"/>
          <w:szCs w:val="22"/>
          <w:u w:val="single"/>
        </w:rPr>
        <w:t>y no haber sido condenado por la comisión de delito doloso mediante sentencia que haya causado ejecutoria</w:t>
      </w:r>
      <w:r w:rsidRPr="007C0AB1">
        <w:rPr>
          <w:sz w:val="22"/>
          <w:szCs w:val="22"/>
        </w:rPr>
        <w:t>, o estar sujeto a proceso penal; (…)</w:t>
      </w:r>
    </w:p>
    <w:p w14:paraId="7AC379EF" w14:textId="77777777" w:rsidR="009E21BD" w:rsidRPr="00E57872" w:rsidRDefault="009E21BD" w:rsidP="009E21BD">
      <w:pPr>
        <w:pStyle w:val="Textonotapie"/>
        <w:ind w:left="567" w:hanging="425"/>
        <w:jc w:val="both"/>
        <w:rPr>
          <w:sz w:val="22"/>
          <w:szCs w:val="22"/>
        </w:rPr>
      </w:pPr>
      <w:r w:rsidRPr="007C0AB1">
        <w:rPr>
          <w:b/>
          <w:bCs/>
          <w:sz w:val="22"/>
          <w:szCs w:val="22"/>
        </w:rPr>
        <w:t>VI.</w:t>
      </w:r>
      <w:r w:rsidRPr="007C0AB1">
        <w:rPr>
          <w:sz w:val="22"/>
          <w:szCs w:val="22"/>
        </w:rPr>
        <w:t xml:space="preserve"> No haber sido suspendido, destituido ni inhabilitado por resolución firme, en los términos de las normas relativas a las responsabilidades administrativas de los servidores públicos; (…)</w:t>
      </w:r>
    </w:p>
  </w:footnote>
  <w:footnote w:id="2">
    <w:p w14:paraId="3829B611" w14:textId="77777777" w:rsidR="009E21BD" w:rsidRPr="00E57872" w:rsidRDefault="009E21BD" w:rsidP="003D4579">
      <w:pPr>
        <w:pStyle w:val="Textonotapie"/>
        <w:ind w:left="142" w:hanging="142"/>
        <w:jc w:val="both"/>
        <w:rPr>
          <w:sz w:val="22"/>
          <w:szCs w:val="22"/>
        </w:rPr>
      </w:pPr>
      <w:r>
        <w:rPr>
          <w:rStyle w:val="Refdenotaalpie"/>
        </w:rPr>
        <w:footnoteRef/>
      </w:r>
      <w:r>
        <w:t xml:space="preserve"> </w:t>
      </w:r>
      <w:r w:rsidRPr="007C0AB1">
        <w:rPr>
          <w:b/>
          <w:bCs/>
          <w:sz w:val="22"/>
          <w:szCs w:val="22"/>
        </w:rPr>
        <w:t>Artículo 67.-</w:t>
      </w:r>
      <w:r w:rsidRPr="007C0AB1">
        <w:rPr>
          <w:sz w:val="22"/>
          <w:szCs w:val="22"/>
        </w:rPr>
        <w:t xml:space="preserve"> La información contenida en los expedientes y reportes de resultados de los exámenes de evaluación, será considerada como información reservada salvo que sean requeridos por la autoridad competente para ser presentados en procedimientos administrativos o procesos judiciales.</w:t>
      </w:r>
    </w:p>
  </w:footnote>
  <w:footnote w:id="3">
    <w:p w14:paraId="333A87EA" w14:textId="767D5F32" w:rsidR="009E21BD" w:rsidRDefault="009E21BD" w:rsidP="00823FD4">
      <w:pPr>
        <w:pStyle w:val="Textonotapie"/>
        <w:ind w:left="142" w:hanging="142"/>
        <w:jc w:val="both"/>
        <w:rPr>
          <w:sz w:val="22"/>
          <w:szCs w:val="22"/>
        </w:rPr>
      </w:pPr>
      <w:r w:rsidRPr="007C0AB1">
        <w:rPr>
          <w:rStyle w:val="Refdenotaalpie"/>
          <w:sz w:val="22"/>
          <w:szCs w:val="22"/>
        </w:rPr>
        <w:footnoteRef/>
      </w:r>
      <w:r w:rsidRPr="007C0AB1">
        <w:rPr>
          <w:sz w:val="22"/>
          <w:szCs w:val="22"/>
        </w:rPr>
        <w:t xml:space="preserve"> </w:t>
      </w:r>
      <w:r>
        <w:rPr>
          <w:sz w:val="22"/>
          <w:szCs w:val="22"/>
        </w:rPr>
        <w:t>El reconocimiento de validez de</w:t>
      </w:r>
      <w:r w:rsidR="00580662">
        <w:rPr>
          <w:sz w:val="22"/>
          <w:szCs w:val="22"/>
        </w:rPr>
        <w:t xml:space="preserve"> </w:t>
      </w:r>
      <w:r>
        <w:rPr>
          <w:sz w:val="22"/>
          <w:szCs w:val="22"/>
        </w:rPr>
        <w:t>l</w:t>
      </w:r>
      <w:r w:rsidR="00580662">
        <w:rPr>
          <w:sz w:val="22"/>
          <w:szCs w:val="22"/>
        </w:rPr>
        <w:t>os</w:t>
      </w:r>
      <w:r>
        <w:rPr>
          <w:sz w:val="22"/>
          <w:szCs w:val="22"/>
        </w:rPr>
        <w:t xml:space="preserve"> artículo</w:t>
      </w:r>
      <w:r w:rsidR="00580662">
        <w:rPr>
          <w:sz w:val="22"/>
          <w:szCs w:val="22"/>
        </w:rPr>
        <w:t>s</w:t>
      </w:r>
      <w:r>
        <w:rPr>
          <w:sz w:val="22"/>
          <w:szCs w:val="22"/>
        </w:rPr>
        <w:t xml:space="preserve"> 21, fracción IV y 24, fracción IV, se determinó por mayoría de </w:t>
      </w:r>
      <w:r w:rsidRPr="007C0AB1">
        <w:rPr>
          <w:sz w:val="22"/>
          <w:szCs w:val="22"/>
        </w:rPr>
        <w:t xml:space="preserve">seis votos a favor de las señoras </w:t>
      </w:r>
      <w:proofErr w:type="gramStart"/>
      <w:r w:rsidRPr="007C0AB1">
        <w:rPr>
          <w:sz w:val="22"/>
          <w:szCs w:val="22"/>
        </w:rPr>
        <w:t>Ministras</w:t>
      </w:r>
      <w:proofErr w:type="gramEnd"/>
      <w:r w:rsidRPr="007C0AB1">
        <w:rPr>
          <w:sz w:val="22"/>
          <w:szCs w:val="22"/>
        </w:rPr>
        <w:t xml:space="preserve"> Esquivel Mossa, Piña Hernández y la suscrita, y de los señores Ministros Franco González Salas, Pérez Dayán y Laynez Potisek; con voto en contra y por la invalidez de los señores Ministros Gutiérrez Ortiz Mena, González Alcántara Carrancá, Aguilar Morales, Pardo Rebolledo y Presidente Zaldívar Lelo de Larrea.</w:t>
      </w:r>
    </w:p>
    <w:p w14:paraId="677CD866" w14:textId="16B34BC7" w:rsidR="009E21BD" w:rsidRPr="007C0AB1" w:rsidRDefault="009E729E" w:rsidP="00823FD4">
      <w:pPr>
        <w:pStyle w:val="Textonotapie"/>
        <w:ind w:left="142" w:hanging="142"/>
        <w:jc w:val="both"/>
        <w:rPr>
          <w:sz w:val="22"/>
          <w:szCs w:val="22"/>
        </w:rPr>
      </w:pPr>
      <w:r>
        <w:rPr>
          <w:sz w:val="22"/>
          <w:szCs w:val="22"/>
        </w:rPr>
        <w:t xml:space="preserve">  </w:t>
      </w:r>
      <w:r w:rsidR="009E21BD">
        <w:rPr>
          <w:sz w:val="22"/>
          <w:szCs w:val="22"/>
        </w:rPr>
        <w:t>El reconocimiento de validez del artículo 67, se determinó por mayoría de d</w:t>
      </w:r>
      <w:r w:rsidR="009E21BD" w:rsidRPr="007C0AB1">
        <w:rPr>
          <w:sz w:val="22"/>
          <w:szCs w:val="22"/>
        </w:rPr>
        <w:t xml:space="preserve">iez votos de las señoras </w:t>
      </w:r>
      <w:proofErr w:type="gramStart"/>
      <w:r w:rsidR="009E21BD" w:rsidRPr="007C0AB1">
        <w:rPr>
          <w:sz w:val="22"/>
          <w:szCs w:val="22"/>
        </w:rPr>
        <w:t>Ministras</w:t>
      </w:r>
      <w:proofErr w:type="gramEnd"/>
      <w:r w:rsidR="009E21BD" w:rsidRPr="007C0AB1">
        <w:rPr>
          <w:sz w:val="22"/>
          <w:szCs w:val="22"/>
        </w:rPr>
        <w:t xml:space="preserve"> Esquivel Mossa, Piña Hernández y la suscrita, y de los señores Ministros Gutiérrez Ortiz Mena, Franco González Salas, Aguilar Morales, Pardo Rebolledo, Laynez Potisek, Pérez Dayán y </w:t>
      </w:r>
      <w:r w:rsidR="00580662">
        <w:rPr>
          <w:sz w:val="22"/>
          <w:szCs w:val="22"/>
        </w:rPr>
        <w:t xml:space="preserve">Presidente </w:t>
      </w:r>
      <w:r w:rsidR="009E21BD" w:rsidRPr="007C0AB1">
        <w:rPr>
          <w:sz w:val="22"/>
          <w:szCs w:val="22"/>
        </w:rPr>
        <w:t>Zaldívar Lelo de Larrea</w:t>
      </w:r>
      <w:r w:rsidR="00580662">
        <w:rPr>
          <w:sz w:val="22"/>
          <w:szCs w:val="22"/>
        </w:rPr>
        <w:t>.</w:t>
      </w:r>
      <w:r w:rsidR="009E21BD" w:rsidRPr="007C0AB1">
        <w:rPr>
          <w:sz w:val="22"/>
          <w:szCs w:val="22"/>
        </w:rPr>
        <w:t xml:space="preserve"> </w:t>
      </w:r>
      <w:r w:rsidR="00580662">
        <w:rPr>
          <w:sz w:val="22"/>
          <w:szCs w:val="22"/>
        </w:rPr>
        <w:t>E</w:t>
      </w:r>
      <w:r w:rsidR="009E21BD" w:rsidRPr="007C0AB1">
        <w:rPr>
          <w:sz w:val="22"/>
          <w:szCs w:val="22"/>
        </w:rPr>
        <w:t xml:space="preserve">l señor </w:t>
      </w:r>
      <w:proofErr w:type="gramStart"/>
      <w:r w:rsidR="009E21BD" w:rsidRPr="007C0AB1">
        <w:rPr>
          <w:sz w:val="22"/>
          <w:szCs w:val="22"/>
        </w:rPr>
        <w:t>Ministro</w:t>
      </w:r>
      <w:proofErr w:type="gramEnd"/>
      <w:r w:rsidR="009E21BD" w:rsidRPr="007C0AB1">
        <w:rPr>
          <w:sz w:val="22"/>
          <w:szCs w:val="22"/>
        </w:rPr>
        <w:t xml:space="preserve"> González Alcántara Carrancá votó en contra.</w:t>
      </w:r>
    </w:p>
  </w:footnote>
  <w:footnote w:id="4">
    <w:p w14:paraId="3B86AA54" w14:textId="66933781" w:rsidR="009E21BD" w:rsidRPr="00E57872" w:rsidRDefault="009E21BD" w:rsidP="00823FD4">
      <w:pPr>
        <w:pStyle w:val="Textonotapie"/>
        <w:ind w:left="142" w:hanging="142"/>
        <w:jc w:val="both"/>
        <w:rPr>
          <w:sz w:val="22"/>
          <w:szCs w:val="22"/>
        </w:rPr>
      </w:pPr>
      <w:r>
        <w:rPr>
          <w:rStyle w:val="Refdenotaalpie"/>
        </w:rPr>
        <w:footnoteRef/>
      </w:r>
      <w:r>
        <w:t xml:space="preserve"> </w:t>
      </w:r>
      <w:r>
        <w:rPr>
          <w:sz w:val="22"/>
          <w:szCs w:val="22"/>
        </w:rPr>
        <w:t>La declaración de invalidez del artículo 21, fracción VI y 24 fracción VI, se determinó por mayoría d</w:t>
      </w:r>
      <w:r w:rsidRPr="007C0AB1">
        <w:rPr>
          <w:sz w:val="22"/>
          <w:szCs w:val="22"/>
        </w:rPr>
        <w:t xml:space="preserve">e diez votos de las señoras </w:t>
      </w:r>
      <w:proofErr w:type="gramStart"/>
      <w:r w:rsidRPr="007C0AB1">
        <w:rPr>
          <w:sz w:val="22"/>
          <w:szCs w:val="22"/>
        </w:rPr>
        <w:t>Ministras</w:t>
      </w:r>
      <w:proofErr w:type="gramEnd"/>
      <w:r w:rsidRPr="007C0AB1">
        <w:rPr>
          <w:sz w:val="22"/>
          <w:szCs w:val="22"/>
        </w:rPr>
        <w:t xml:space="preserve"> Esquivel Mossa y la suscrita, y de los señores Ministros Gutiérrez Ortiz Mena, González Alcántara Carrancá, Franco González Salas, Aguilar Morales, Pardo Rebolledo, Laynez Potisek, Pérez Dayán y Presidente Zaldívar Lelo de Larrea</w:t>
      </w:r>
      <w:r w:rsidR="00580662">
        <w:rPr>
          <w:sz w:val="22"/>
          <w:szCs w:val="22"/>
        </w:rPr>
        <w:t>.</w:t>
      </w:r>
      <w:r w:rsidRPr="007C0AB1">
        <w:rPr>
          <w:sz w:val="22"/>
          <w:szCs w:val="22"/>
        </w:rPr>
        <w:t xml:space="preserve"> </w:t>
      </w:r>
      <w:r w:rsidR="00580662">
        <w:rPr>
          <w:sz w:val="22"/>
          <w:szCs w:val="22"/>
        </w:rPr>
        <w:t>L</w:t>
      </w:r>
      <w:r w:rsidRPr="007C0AB1">
        <w:rPr>
          <w:sz w:val="22"/>
          <w:szCs w:val="22"/>
        </w:rPr>
        <w:t xml:space="preserve">a señora </w:t>
      </w:r>
      <w:proofErr w:type="gramStart"/>
      <w:r w:rsidRPr="007C0AB1">
        <w:rPr>
          <w:sz w:val="22"/>
          <w:szCs w:val="22"/>
        </w:rPr>
        <w:t>Ministra</w:t>
      </w:r>
      <w:proofErr w:type="gramEnd"/>
      <w:r w:rsidRPr="007C0AB1">
        <w:rPr>
          <w:sz w:val="22"/>
          <w:szCs w:val="22"/>
        </w:rPr>
        <w:t xml:space="preserve"> Piña Hernández votó en contra.</w:t>
      </w:r>
    </w:p>
  </w:footnote>
  <w:footnote w:id="5">
    <w:p w14:paraId="38413A39" w14:textId="77777777"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Pr="007C0AB1">
        <w:rPr>
          <w:b/>
          <w:bCs/>
          <w:sz w:val="22"/>
          <w:szCs w:val="22"/>
        </w:rPr>
        <w:t>Artículo 102.</w:t>
      </w:r>
      <w:r w:rsidRPr="007C0AB1">
        <w:rPr>
          <w:sz w:val="22"/>
          <w:szCs w:val="22"/>
        </w:rPr>
        <w:t xml:space="preserve"> (…)</w:t>
      </w:r>
    </w:p>
    <w:p w14:paraId="39637127" w14:textId="77777777" w:rsidR="009E21BD" w:rsidRPr="007C0AB1" w:rsidRDefault="009E21BD" w:rsidP="009E21BD">
      <w:pPr>
        <w:pStyle w:val="Textonotapie"/>
        <w:ind w:left="284" w:hanging="142"/>
        <w:jc w:val="both"/>
        <w:rPr>
          <w:sz w:val="22"/>
          <w:szCs w:val="22"/>
        </w:rPr>
      </w:pPr>
      <w:r w:rsidRPr="007C0AB1">
        <w:rPr>
          <w:b/>
          <w:bCs/>
          <w:sz w:val="22"/>
          <w:szCs w:val="22"/>
        </w:rPr>
        <w:t>A.</w:t>
      </w:r>
      <w:r w:rsidRPr="007C0AB1">
        <w:rPr>
          <w:sz w:val="22"/>
          <w:szCs w:val="22"/>
        </w:rPr>
        <w:t xml:space="preserve"> </w:t>
      </w:r>
      <w:proofErr w:type="gramStart"/>
      <w:r w:rsidRPr="007C0AB1">
        <w:rPr>
          <w:sz w:val="22"/>
          <w:szCs w:val="22"/>
        </w:rPr>
        <w:t>(….</w:t>
      </w:r>
      <w:proofErr w:type="gramEnd"/>
      <w:r w:rsidRPr="007C0AB1">
        <w:rPr>
          <w:sz w:val="22"/>
          <w:szCs w:val="22"/>
        </w:rPr>
        <w:t>)</w:t>
      </w:r>
    </w:p>
    <w:p w14:paraId="36F8B3D8" w14:textId="77777777" w:rsidR="009E21BD" w:rsidRPr="007C0AB1" w:rsidRDefault="009E21BD" w:rsidP="0045339C">
      <w:pPr>
        <w:pStyle w:val="Textonotapie"/>
        <w:ind w:left="142"/>
        <w:jc w:val="both"/>
        <w:rPr>
          <w:sz w:val="22"/>
          <w:szCs w:val="22"/>
        </w:rPr>
      </w:pPr>
      <w:r w:rsidRPr="007C0AB1">
        <w:rPr>
          <w:sz w:val="22"/>
          <w:szCs w:val="22"/>
        </w:rPr>
        <w:t xml:space="preserve">Para ser </w:t>
      </w:r>
      <w:proofErr w:type="gramStart"/>
      <w:r w:rsidRPr="007C0AB1">
        <w:rPr>
          <w:sz w:val="22"/>
          <w:szCs w:val="22"/>
        </w:rPr>
        <w:t>Fiscal General</w:t>
      </w:r>
      <w:proofErr w:type="gramEnd"/>
      <w:r w:rsidRPr="007C0AB1">
        <w:rPr>
          <w:sz w:val="22"/>
          <w:szCs w:val="22"/>
        </w:rPr>
        <w:t xml:space="preserve">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footnote>
  <w:footnote w:id="6">
    <w:p w14:paraId="7E1834AA" w14:textId="05AA867F"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003D4579">
        <w:rPr>
          <w:sz w:val="22"/>
          <w:szCs w:val="22"/>
        </w:rPr>
        <w:t xml:space="preserve"> </w:t>
      </w:r>
      <w:r w:rsidRPr="007C0AB1">
        <w:rPr>
          <w:b/>
          <w:bCs/>
          <w:sz w:val="22"/>
          <w:szCs w:val="22"/>
        </w:rPr>
        <w:t>Artículo 40.</w:t>
      </w:r>
      <w:r w:rsidRPr="007C0AB1">
        <w:rPr>
          <w:sz w:val="22"/>
          <w:szCs w:val="22"/>
        </w:rP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 w:id="7">
    <w:p w14:paraId="01A95DBD" w14:textId="7712614A"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003D4579">
        <w:rPr>
          <w:sz w:val="22"/>
          <w:szCs w:val="22"/>
        </w:rPr>
        <w:t xml:space="preserve">  </w:t>
      </w:r>
      <w:r w:rsidRPr="007C0AB1">
        <w:rPr>
          <w:b/>
          <w:bCs/>
          <w:sz w:val="22"/>
          <w:szCs w:val="22"/>
        </w:rPr>
        <w:t>Artículo 124.</w:t>
      </w:r>
      <w:r w:rsidRPr="007C0AB1">
        <w:rPr>
          <w:sz w:val="22"/>
          <w:szCs w:val="22"/>
        </w:rPr>
        <w:t xml:space="preserve"> Las facultades que no están expresamente concedidas por esta Constitución a los funcionarios </w:t>
      </w:r>
      <w:proofErr w:type="gramStart"/>
      <w:r w:rsidRPr="007C0AB1">
        <w:rPr>
          <w:sz w:val="22"/>
          <w:szCs w:val="22"/>
        </w:rPr>
        <w:t>federales,</w:t>
      </w:r>
      <w:proofErr w:type="gramEnd"/>
      <w:r w:rsidRPr="007C0AB1">
        <w:rPr>
          <w:sz w:val="22"/>
          <w:szCs w:val="22"/>
        </w:rPr>
        <w:t xml:space="preserve"> se entienden reservadas a los Estados o a la Ciudad de México, en los ámbitos de sus respectivas competencias.</w:t>
      </w:r>
    </w:p>
  </w:footnote>
  <w:footnote w:id="8">
    <w:p w14:paraId="597DD86D" w14:textId="75457627"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003D4579">
        <w:rPr>
          <w:sz w:val="22"/>
          <w:szCs w:val="22"/>
        </w:rPr>
        <w:t xml:space="preserve">  </w:t>
      </w:r>
      <w:r w:rsidRPr="007C0AB1">
        <w:rPr>
          <w:b/>
          <w:bCs/>
          <w:sz w:val="22"/>
          <w:szCs w:val="22"/>
        </w:rPr>
        <w:t>Artículo 116.</w:t>
      </w:r>
      <w:r w:rsidRPr="007C0AB1">
        <w:rPr>
          <w:sz w:val="22"/>
          <w:szCs w:val="22"/>
        </w:rPr>
        <w:t xml:space="preserve"> (…)</w:t>
      </w:r>
    </w:p>
    <w:p w14:paraId="4BE4B35A" w14:textId="1F60F23A" w:rsidR="009E21BD" w:rsidRPr="007C0AB1" w:rsidRDefault="003D4579" w:rsidP="009E21BD">
      <w:pPr>
        <w:pStyle w:val="Textonotapie"/>
        <w:ind w:left="284" w:hanging="142"/>
        <w:jc w:val="both"/>
        <w:rPr>
          <w:sz w:val="22"/>
          <w:szCs w:val="22"/>
        </w:rPr>
      </w:pPr>
      <w:r>
        <w:rPr>
          <w:sz w:val="22"/>
          <w:szCs w:val="22"/>
        </w:rPr>
        <w:t xml:space="preserve">  </w:t>
      </w:r>
      <w:r w:rsidR="009E21BD" w:rsidRPr="007C0AB1">
        <w:rPr>
          <w:sz w:val="22"/>
          <w:szCs w:val="22"/>
        </w:rPr>
        <w:t>Los poderes de los Estados se organizarán conforme a la Constitución de cada uno de ellos, con sujeción a las siguientes normas: (…)</w:t>
      </w:r>
    </w:p>
    <w:p w14:paraId="1FC15C43" w14:textId="77777777" w:rsidR="009E21BD" w:rsidRPr="007C0AB1" w:rsidRDefault="009E21BD" w:rsidP="009E21BD">
      <w:pPr>
        <w:pStyle w:val="Textonotapie"/>
        <w:ind w:left="284"/>
        <w:jc w:val="both"/>
        <w:rPr>
          <w:sz w:val="22"/>
          <w:szCs w:val="22"/>
        </w:rPr>
      </w:pPr>
      <w:r w:rsidRPr="007C0AB1">
        <w:rPr>
          <w:b/>
          <w:bCs/>
          <w:sz w:val="22"/>
          <w:szCs w:val="22"/>
        </w:rPr>
        <w:t>IX.</w:t>
      </w:r>
      <w:r w:rsidRPr="007C0AB1">
        <w:rPr>
          <w:sz w:val="22"/>
          <w:szCs w:val="22"/>
        </w:rPr>
        <w:t xml:space="preserve"> Las Constituciones de los Estados garantizarán que las funciones de procuración de justicia se realicen con base en los principios de autonomía, eficiencia, imparcialidad, legalidad, objetividad, profesionalismo, responsabilidad y respeto a los derechos humanos.</w:t>
      </w:r>
    </w:p>
  </w:footnote>
  <w:footnote w:id="9">
    <w:p w14:paraId="57FD44A4" w14:textId="11ADA021" w:rsidR="009E21BD" w:rsidRPr="007C0AB1" w:rsidRDefault="009E21BD" w:rsidP="00586D2C">
      <w:pPr>
        <w:pStyle w:val="Textonotapie"/>
        <w:ind w:left="142" w:hanging="142"/>
        <w:jc w:val="both"/>
        <w:rPr>
          <w:sz w:val="22"/>
          <w:szCs w:val="22"/>
        </w:rPr>
      </w:pPr>
      <w:r w:rsidRPr="007C0AB1">
        <w:rPr>
          <w:rStyle w:val="Refdenotaalpie"/>
          <w:sz w:val="22"/>
          <w:szCs w:val="22"/>
        </w:rPr>
        <w:footnoteRef/>
      </w:r>
      <w:r w:rsidRPr="007C0AB1">
        <w:rPr>
          <w:sz w:val="22"/>
          <w:szCs w:val="22"/>
        </w:rPr>
        <w:t xml:space="preserve"> Esto es especialmente relevante en entidades federativas como Tamaulipas, donde, de acuerdo con la edición dos mil veinte de la Encuesta Nacional de Victimización y Percepción sobre Seguridad Pública, realizada por el INEGI, solo el 58.5% (cincuenta y </w:t>
      </w:r>
      <w:proofErr w:type="gramStart"/>
      <w:r w:rsidRPr="007C0AB1">
        <w:rPr>
          <w:sz w:val="22"/>
          <w:szCs w:val="22"/>
        </w:rPr>
        <w:t>ocho punto</w:t>
      </w:r>
      <w:proofErr w:type="gramEnd"/>
      <w:r w:rsidRPr="007C0AB1">
        <w:rPr>
          <w:sz w:val="22"/>
          <w:szCs w:val="22"/>
        </w:rPr>
        <w:t xml:space="preserve"> cinco por ciento) de la población de dieciocho años o más identifica a los ministerios públicos y fiscalía estatal como autoridades que le inspiran confianza.</w:t>
      </w:r>
    </w:p>
  </w:footnote>
  <w:footnote w:id="10">
    <w:p w14:paraId="2A3F1A4D" w14:textId="77777777"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Pr="007C0AB1">
        <w:rPr>
          <w:b/>
          <w:bCs/>
          <w:sz w:val="22"/>
          <w:szCs w:val="22"/>
        </w:rPr>
        <w:t>Artículo 123.</w:t>
      </w:r>
      <w:r w:rsidRPr="007C0AB1">
        <w:rPr>
          <w:sz w:val="22"/>
          <w:szCs w:val="22"/>
        </w:rPr>
        <w:t xml:space="preserve"> (…)</w:t>
      </w:r>
    </w:p>
    <w:p w14:paraId="51E0C3D4" w14:textId="77777777" w:rsidR="009E21BD" w:rsidRPr="007C0AB1" w:rsidRDefault="009E21BD" w:rsidP="009E21BD">
      <w:pPr>
        <w:pStyle w:val="Textonotapie"/>
        <w:ind w:left="284" w:hanging="142"/>
        <w:jc w:val="both"/>
        <w:rPr>
          <w:sz w:val="22"/>
          <w:szCs w:val="22"/>
        </w:rPr>
      </w:pPr>
      <w:r w:rsidRPr="007C0AB1">
        <w:rPr>
          <w:b/>
          <w:bCs/>
          <w:sz w:val="22"/>
          <w:szCs w:val="22"/>
        </w:rPr>
        <w:t>B.</w:t>
      </w:r>
      <w:r w:rsidRPr="007C0AB1">
        <w:rPr>
          <w:sz w:val="22"/>
          <w:szCs w:val="22"/>
        </w:rPr>
        <w:t xml:space="preserve"> (…)</w:t>
      </w:r>
    </w:p>
    <w:p w14:paraId="36C57D46" w14:textId="77777777" w:rsidR="009E21BD" w:rsidRPr="007C0AB1" w:rsidRDefault="009E21BD" w:rsidP="009E21BD">
      <w:pPr>
        <w:pStyle w:val="Textonotapie"/>
        <w:ind w:left="284" w:hanging="142"/>
        <w:jc w:val="both"/>
        <w:rPr>
          <w:sz w:val="22"/>
          <w:szCs w:val="22"/>
        </w:rPr>
      </w:pPr>
      <w:r w:rsidRPr="007C0AB1">
        <w:rPr>
          <w:b/>
          <w:bCs/>
          <w:sz w:val="22"/>
          <w:szCs w:val="22"/>
        </w:rPr>
        <w:t>XIII.</w:t>
      </w:r>
      <w:r w:rsidRPr="007C0AB1">
        <w:rPr>
          <w:sz w:val="22"/>
          <w:szCs w:val="22"/>
        </w:rPr>
        <w:t xml:space="preserve"> </w:t>
      </w:r>
      <w:proofErr w:type="gramStart"/>
      <w:r w:rsidRPr="007C0AB1">
        <w:rPr>
          <w:sz w:val="22"/>
          <w:szCs w:val="22"/>
        </w:rPr>
        <w:t>(….</w:t>
      </w:r>
      <w:proofErr w:type="gramEnd"/>
      <w:r w:rsidRPr="007C0AB1">
        <w:rPr>
          <w:sz w:val="22"/>
          <w:szCs w:val="22"/>
        </w:rPr>
        <w:t>)</w:t>
      </w:r>
    </w:p>
    <w:p w14:paraId="5163B76D" w14:textId="77777777" w:rsidR="009E21BD" w:rsidRPr="007C0AB1" w:rsidRDefault="009E21BD" w:rsidP="00F219E9">
      <w:pPr>
        <w:pStyle w:val="Textonotapie"/>
        <w:ind w:left="142"/>
        <w:jc w:val="both"/>
        <w:rPr>
          <w:sz w:val="22"/>
          <w:szCs w:val="22"/>
        </w:rPr>
      </w:pPr>
      <w:r w:rsidRPr="007C0AB1">
        <w:rPr>
          <w:sz w:val="22"/>
          <w:szCs w:val="22"/>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footnote>
  <w:footnote w:id="11">
    <w:p w14:paraId="7980B7FF" w14:textId="317F8E09"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00A606EC">
        <w:rPr>
          <w:sz w:val="22"/>
          <w:szCs w:val="22"/>
        </w:rPr>
        <w:t xml:space="preserve"> </w:t>
      </w:r>
      <w:r w:rsidRPr="007C0AB1">
        <w:rPr>
          <w:sz w:val="22"/>
          <w:szCs w:val="22"/>
        </w:rPr>
        <w:t xml:space="preserve">Resuelta el veinte de octubre de dos mil veinte por mayoría de diez votos de las señoras </w:t>
      </w:r>
      <w:proofErr w:type="gramStart"/>
      <w:r w:rsidRPr="007C0AB1">
        <w:rPr>
          <w:sz w:val="22"/>
          <w:szCs w:val="22"/>
        </w:rPr>
        <w:t>Ministras</w:t>
      </w:r>
      <w:proofErr w:type="gramEnd"/>
      <w:r w:rsidRPr="007C0AB1">
        <w:rPr>
          <w:sz w:val="22"/>
          <w:szCs w:val="22"/>
        </w:rPr>
        <w:t xml:space="preserve"> Esquivel Mossa, Piña Hernández y la suscrita, y de los señores Ministros Gutiérrez Ortiz Mena, Franco González Salas, Aguilar Morales, Pardo Rebolledo, Laynez Potisek, Pérez Dayán y </w:t>
      </w:r>
      <w:r w:rsidR="00A606EC">
        <w:rPr>
          <w:sz w:val="22"/>
          <w:szCs w:val="22"/>
        </w:rPr>
        <w:t xml:space="preserve">Presidente </w:t>
      </w:r>
      <w:r w:rsidRPr="007C0AB1">
        <w:rPr>
          <w:sz w:val="22"/>
          <w:szCs w:val="22"/>
        </w:rPr>
        <w:t>Zald</w:t>
      </w:r>
      <w:r w:rsidR="00A606EC">
        <w:rPr>
          <w:sz w:val="22"/>
          <w:szCs w:val="22"/>
        </w:rPr>
        <w:t>í</w:t>
      </w:r>
      <w:r w:rsidRPr="007C0AB1">
        <w:rPr>
          <w:sz w:val="22"/>
          <w:szCs w:val="22"/>
        </w:rPr>
        <w:t>var Lelo de Larrea</w:t>
      </w:r>
      <w:r w:rsidR="00A278B6">
        <w:rPr>
          <w:sz w:val="22"/>
          <w:szCs w:val="22"/>
        </w:rPr>
        <w:t>.</w:t>
      </w:r>
      <w:r w:rsidRPr="007C0AB1">
        <w:rPr>
          <w:sz w:val="22"/>
          <w:szCs w:val="22"/>
        </w:rPr>
        <w:t xml:space="preserve"> </w:t>
      </w:r>
      <w:r w:rsidR="00A278B6">
        <w:rPr>
          <w:sz w:val="22"/>
          <w:szCs w:val="22"/>
        </w:rPr>
        <w:t>E</w:t>
      </w:r>
      <w:r w:rsidRPr="007C0AB1">
        <w:rPr>
          <w:sz w:val="22"/>
          <w:szCs w:val="22"/>
        </w:rPr>
        <w:t xml:space="preserve">l señor </w:t>
      </w:r>
      <w:proofErr w:type="gramStart"/>
      <w:r w:rsidRPr="007C0AB1">
        <w:rPr>
          <w:sz w:val="22"/>
          <w:szCs w:val="22"/>
        </w:rPr>
        <w:t>Ministro</w:t>
      </w:r>
      <w:proofErr w:type="gramEnd"/>
      <w:r w:rsidRPr="007C0AB1">
        <w:rPr>
          <w:sz w:val="22"/>
          <w:szCs w:val="22"/>
        </w:rPr>
        <w:t xml:space="preserve"> González Alcántara Carrancá votó en contra.</w:t>
      </w:r>
    </w:p>
  </w:footnote>
  <w:footnote w:id="12">
    <w:p w14:paraId="5A1FA4F3" w14:textId="181E92F8"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007A773D">
        <w:rPr>
          <w:sz w:val="22"/>
          <w:szCs w:val="22"/>
        </w:rPr>
        <w:t xml:space="preserve"> </w:t>
      </w:r>
      <w:r w:rsidRPr="007C0AB1">
        <w:rPr>
          <w:sz w:val="22"/>
          <w:szCs w:val="22"/>
        </w:rPr>
        <w:t>En efecto, el artículo 6° de la Constitución Política de los Estados Unidos Mexicanos consagra el derecho de acceso a la información y establece que toda la información en posesión de cualquier autoridad es pública, la cual solo podrá ser reservada temporalmente por razones de interés público y seguridad nacional, en los términos que fijen las leyes, y de conformidad con el principio de máxima publicidad. De igual forma señala que la información que se refiere a la vida privada y los datos personales será protegida en los términos y con las excepciones que fijen las leyes.</w:t>
      </w:r>
    </w:p>
    <w:p w14:paraId="0B07ED1A" w14:textId="77777777" w:rsidR="009E21BD" w:rsidRPr="007C0AB1" w:rsidRDefault="009E21BD" w:rsidP="00E77A35">
      <w:pPr>
        <w:pStyle w:val="Textonotapie"/>
        <w:ind w:left="284"/>
        <w:jc w:val="both"/>
        <w:rPr>
          <w:sz w:val="22"/>
          <w:szCs w:val="22"/>
        </w:rPr>
      </w:pPr>
      <w:r w:rsidRPr="007C0AB1">
        <w:rPr>
          <w:sz w:val="22"/>
          <w:szCs w:val="22"/>
        </w:rPr>
        <w:t>Por su parte, la Ley General de Transparencia y Acceso a la Información Pública señala que el principio de máxima publicidad implica que toda la información en posesión de los sujetos obligados será pública, completa, oportuna y accesible, sujeta a un claro régimen de excepciones que deberán estar definidas y ser además legítimas y estrictamente necesarias en una sociedad democrática. Es decir, la publicidad de la información en posesión de los sujetos obligados está sujeta a un régimen de restricciones, en el cual la autoridad puede clasificar la información como reservada o confidencial en los términos señalados por la ley.</w:t>
      </w:r>
    </w:p>
  </w:footnote>
  <w:footnote w:id="13">
    <w:p w14:paraId="4A1FA45C" w14:textId="77777777" w:rsidR="009E21BD" w:rsidRPr="007C0AB1" w:rsidRDefault="009E21BD" w:rsidP="009E21BD">
      <w:pPr>
        <w:pStyle w:val="Textonotapie"/>
        <w:ind w:left="284" w:hanging="284"/>
        <w:jc w:val="both"/>
        <w:rPr>
          <w:sz w:val="22"/>
          <w:szCs w:val="22"/>
        </w:rPr>
      </w:pPr>
      <w:r w:rsidRPr="007C0AB1">
        <w:rPr>
          <w:rStyle w:val="Refdenotaalpie"/>
          <w:sz w:val="22"/>
          <w:szCs w:val="22"/>
        </w:rPr>
        <w:footnoteRef/>
      </w:r>
      <w:r w:rsidRPr="007C0AB1">
        <w:rPr>
          <w:sz w:val="22"/>
          <w:szCs w:val="22"/>
        </w:rPr>
        <w:t xml:space="preserve"> </w:t>
      </w:r>
      <w:r w:rsidRPr="007C0AB1">
        <w:rPr>
          <w:b/>
          <w:bCs/>
          <w:sz w:val="22"/>
          <w:szCs w:val="22"/>
        </w:rPr>
        <w:t>Artículo 64.</w:t>
      </w:r>
      <w:r w:rsidRPr="007C0AB1">
        <w:rPr>
          <w:sz w:val="22"/>
          <w:szCs w:val="22"/>
        </w:rPr>
        <w:t xml:space="preserve"> El personal de la Fiscalía General en su totalidad, deberá sujetarse a las evaluaciones de control de confianza, del desempeño y de conocimientos o competencias, así como a la profesionalización que establezcan las disposiciones legales y reglamentarias aplicables.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B953" w14:textId="2D85C491" w:rsidR="0007069A" w:rsidRPr="00645CA1" w:rsidRDefault="0007069A" w:rsidP="00272D37">
    <w:pPr>
      <w:pBdr>
        <w:bottom w:val="single" w:sz="4" w:space="1" w:color="auto"/>
      </w:pBdr>
      <w:tabs>
        <w:tab w:val="left" w:pos="6804"/>
        <w:tab w:val="left" w:pos="7230"/>
      </w:tabs>
      <w:spacing w:line="360" w:lineRule="auto"/>
      <w:ind w:right="2319"/>
      <w:rPr>
        <w:rFonts w:ascii="Arial" w:hAnsi="Arial" w:cs="Arial"/>
        <w:b/>
        <w:color w:val="0070C0"/>
        <w:sz w:val="18"/>
        <w:szCs w:val="18"/>
      </w:rPr>
    </w:pPr>
    <w:r w:rsidRPr="00645CA1">
      <w:rPr>
        <w:rFonts w:ascii="Arial" w:hAnsi="Arial" w:cs="Arial"/>
        <w:b/>
        <w:color w:val="0070C0"/>
        <w:sz w:val="18"/>
        <w:szCs w:val="18"/>
      </w:rPr>
      <w:t xml:space="preserve">VOTO </w:t>
    </w:r>
    <w:r w:rsidR="00272D37">
      <w:rPr>
        <w:rFonts w:ascii="Arial" w:hAnsi="Arial" w:cs="Arial"/>
        <w:b/>
        <w:color w:val="0070C0"/>
        <w:sz w:val="18"/>
        <w:szCs w:val="18"/>
      </w:rPr>
      <w:t>CONCURRENTE</w:t>
    </w:r>
    <w:r w:rsidRPr="00645CA1">
      <w:rPr>
        <w:rFonts w:ascii="Arial" w:hAnsi="Arial" w:cs="Arial"/>
        <w:b/>
        <w:color w:val="0070C0"/>
        <w:sz w:val="18"/>
        <w:szCs w:val="18"/>
      </w:rPr>
      <w:t xml:space="preserve"> QUE FORMULA LA MINISTRA ANA MARGARITA RÍOS FARJAT EN LA ACCIÓN DE INCONSTITUCIONALIDAD </w:t>
    </w:r>
    <w:r w:rsidR="00272D37">
      <w:rPr>
        <w:rFonts w:ascii="Arial" w:hAnsi="Arial" w:cs="Arial"/>
        <w:b/>
        <w:color w:val="0070C0"/>
        <w:sz w:val="18"/>
        <w:szCs w:val="18"/>
      </w:rPr>
      <w:t>106/2019</w:t>
    </w:r>
  </w:p>
  <w:p w14:paraId="79C0E146" w14:textId="1405582A" w:rsidR="009F4463" w:rsidRPr="00F53D4E" w:rsidRDefault="00352AC6" w:rsidP="00F53D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7BAD" w14:textId="77777777" w:rsidR="00272D37" w:rsidRDefault="00BE5C07" w:rsidP="00205B5A">
    <w:pPr>
      <w:pBdr>
        <w:bottom w:val="single" w:sz="4" w:space="1" w:color="auto"/>
      </w:pBdr>
      <w:spacing w:line="360" w:lineRule="auto"/>
      <w:ind w:left="567"/>
      <w:jc w:val="right"/>
      <w:rPr>
        <w:rFonts w:ascii="Arial" w:hAnsi="Arial" w:cs="Arial"/>
        <w:b/>
        <w:color w:val="0070C0"/>
        <w:sz w:val="18"/>
        <w:szCs w:val="18"/>
      </w:rPr>
    </w:pPr>
    <w:r w:rsidRPr="00205B5A">
      <w:rPr>
        <w:rFonts w:cs="Arial"/>
        <w:b/>
        <w:noProof/>
        <w:sz w:val="16"/>
        <w:szCs w:val="16"/>
        <w:lang w:val="es-MX" w:eastAsia="es-MX"/>
      </w:rPr>
      <mc:AlternateContent>
        <mc:Choice Requires="wps">
          <w:drawing>
            <wp:anchor distT="0" distB="0" distL="114300" distR="114300" simplePos="0" relativeHeight="251659776"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5197" id="Rectángulo 6" o:spid="_x0000_s1026" style="position:absolute;margin-left:-66.8pt;margin-top:-16.45pt;width:164.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" stroked="f">
              <w10:wrap type="tight"/>
            </v:rect>
          </w:pict>
        </mc:Fallback>
      </mc:AlternateContent>
    </w:r>
    <w:r w:rsidR="00205B5A" w:rsidRPr="00205B5A">
      <w:rPr>
        <w:rFonts w:ascii="Arial" w:hAnsi="Arial" w:cs="Arial"/>
        <w:b/>
        <w:color w:val="0070C0"/>
        <w:sz w:val="18"/>
        <w:szCs w:val="18"/>
      </w:rPr>
      <w:t xml:space="preserve"> VOTO CONCURRENTE QUE FORMULA LA MINISTRA ANA MARGARITA </w:t>
    </w:r>
  </w:p>
  <w:p w14:paraId="6E5DD7C3" w14:textId="5EBB083A" w:rsidR="00205B5A" w:rsidRPr="00205B5A" w:rsidRDefault="00205B5A" w:rsidP="00205B5A">
    <w:pPr>
      <w:pBdr>
        <w:bottom w:val="single" w:sz="4" w:space="1" w:color="auto"/>
      </w:pBdr>
      <w:spacing w:line="360" w:lineRule="auto"/>
      <w:ind w:left="567"/>
      <w:jc w:val="right"/>
      <w:rPr>
        <w:rFonts w:ascii="Arial" w:hAnsi="Arial" w:cs="Arial"/>
        <w:b/>
        <w:color w:val="0070C0"/>
        <w:sz w:val="18"/>
        <w:szCs w:val="18"/>
      </w:rPr>
    </w:pPr>
    <w:r w:rsidRPr="00205B5A">
      <w:rPr>
        <w:rFonts w:ascii="Arial" w:hAnsi="Arial" w:cs="Arial"/>
        <w:b/>
        <w:color w:val="0070C0"/>
        <w:sz w:val="18"/>
        <w:szCs w:val="18"/>
      </w:rPr>
      <w:t>RÍOS FARJAT EN LA ACCIÓN DE INCONSTITUCIONALIDAD 106/2019</w:t>
    </w:r>
  </w:p>
  <w:p w14:paraId="5DA90CA8" w14:textId="77777777" w:rsidR="005D3FB3" w:rsidRPr="0084170B" w:rsidRDefault="005D3FB3" w:rsidP="00645CA1">
    <w:pPr>
      <w:pStyle w:val="corte6cintilloypie"/>
      <w:ind w:right="51"/>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0"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5"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7"/>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1"/>
  </w:num>
  <w:num w:numId="10">
    <w:abstractNumId w:val="14"/>
  </w:num>
  <w:num w:numId="11">
    <w:abstractNumId w:val="25"/>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num>
  <w:num w:numId="16">
    <w:abstractNumId w:val="11"/>
  </w:num>
  <w:num w:numId="17">
    <w:abstractNumId w:val="18"/>
  </w:num>
  <w:num w:numId="18">
    <w:abstractNumId w:val="9"/>
  </w:num>
  <w:num w:numId="19">
    <w:abstractNumId w:val="2"/>
  </w:num>
  <w:num w:numId="20">
    <w:abstractNumId w:val="6"/>
  </w:num>
  <w:num w:numId="21">
    <w:abstractNumId w:val="13"/>
  </w:num>
  <w:num w:numId="22">
    <w:abstractNumId w:val="29"/>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3"/>
  </w:num>
  <w:num w:numId="27">
    <w:abstractNumId w:val="17"/>
  </w:num>
  <w:num w:numId="28">
    <w:abstractNumId w:val="21"/>
  </w:num>
  <w:num w:numId="29">
    <w:abstractNumId w:val="15"/>
  </w:num>
  <w:num w:numId="30">
    <w:abstractNumId w:val="20"/>
  </w:num>
  <w:num w:numId="31">
    <w:abstractNumId w:val="2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4672"/>
    <w:rsid w:val="0001773F"/>
    <w:rsid w:val="000237CB"/>
    <w:rsid w:val="0002788E"/>
    <w:rsid w:val="00035646"/>
    <w:rsid w:val="00041F75"/>
    <w:rsid w:val="00042EBF"/>
    <w:rsid w:val="00046CD7"/>
    <w:rsid w:val="00056023"/>
    <w:rsid w:val="00056FC9"/>
    <w:rsid w:val="00060D04"/>
    <w:rsid w:val="0007069A"/>
    <w:rsid w:val="000A5706"/>
    <w:rsid w:val="000A7AD2"/>
    <w:rsid w:val="000B2492"/>
    <w:rsid w:val="000B2F4E"/>
    <w:rsid w:val="000B405B"/>
    <w:rsid w:val="000B6B2C"/>
    <w:rsid w:val="000C2F4F"/>
    <w:rsid w:val="000C376C"/>
    <w:rsid w:val="000D0847"/>
    <w:rsid w:val="000D6819"/>
    <w:rsid w:val="000E3F66"/>
    <w:rsid w:val="000E4604"/>
    <w:rsid w:val="000E54F2"/>
    <w:rsid w:val="000E5C3A"/>
    <w:rsid w:val="001006FB"/>
    <w:rsid w:val="00102544"/>
    <w:rsid w:val="0011146F"/>
    <w:rsid w:val="00130685"/>
    <w:rsid w:val="00130C9E"/>
    <w:rsid w:val="0013540E"/>
    <w:rsid w:val="00137061"/>
    <w:rsid w:val="00140B7A"/>
    <w:rsid w:val="00141296"/>
    <w:rsid w:val="00150AAE"/>
    <w:rsid w:val="00161136"/>
    <w:rsid w:val="00177ADD"/>
    <w:rsid w:val="00183CEC"/>
    <w:rsid w:val="001901AB"/>
    <w:rsid w:val="00190753"/>
    <w:rsid w:val="00194169"/>
    <w:rsid w:val="001941FD"/>
    <w:rsid w:val="00194BB8"/>
    <w:rsid w:val="001A0B56"/>
    <w:rsid w:val="001A0EEF"/>
    <w:rsid w:val="001A150B"/>
    <w:rsid w:val="001B15F6"/>
    <w:rsid w:val="001C23F9"/>
    <w:rsid w:val="001E1353"/>
    <w:rsid w:val="001E4162"/>
    <w:rsid w:val="001F33DE"/>
    <w:rsid w:val="00205B5A"/>
    <w:rsid w:val="00207510"/>
    <w:rsid w:val="00207DF1"/>
    <w:rsid w:val="00225ECF"/>
    <w:rsid w:val="00226A6B"/>
    <w:rsid w:val="002305C1"/>
    <w:rsid w:val="00231CF9"/>
    <w:rsid w:val="0023639B"/>
    <w:rsid w:val="0024300C"/>
    <w:rsid w:val="00263E31"/>
    <w:rsid w:val="00272723"/>
    <w:rsid w:val="00272882"/>
    <w:rsid w:val="00272D37"/>
    <w:rsid w:val="002925EC"/>
    <w:rsid w:val="00295F80"/>
    <w:rsid w:val="002A6A15"/>
    <w:rsid w:val="002B0391"/>
    <w:rsid w:val="002B0A6F"/>
    <w:rsid w:val="002B11D6"/>
    <w:rsid w:val="002B39F1"/>
    <w:rsid w:val="002C02E0"/>
    <w:rsid w:val="002C05C9"/>
    <w:rsid w:val="002C1454"/>
    <w:rsid w:val="002C5BB9"/>
    <w:rsid w:val="002D0FD0"/>
    <w:rsid w:val="002E438A"/>
    <w:rsid w:val="002E4D38"/>
    <w:rsid w:val="002E6A51"/>
    <w:rsid w:val="002F25AE"/>
    <w:rsid w:val="002F34FC"/>
    <w:rsid w:val="003230D7"/>
    <w:rsid w:val="00323194"/>
    <w:rsid w:val="003254CA"/>
    <w:rsid w:val="00342A05"/>
    <w:rsid w:val="003448A4"/>
    <w:rsid w:val="00347440"/>
    <w:rsid w:val="00351D07"/>
    <w:rsid w:val="00352AC6"/>
    <w:rsid w:val="00354D26"/>
    <w:rsid w:val="00356A54"/>
    <w:rsid w:val="00361ED8"/>
    <w:rsid w:val="00367D68"/>
    <w:rsid w:val="00383770"/>
    <w:rsid w:val="00393391"/>
    <w:rsid w:val="003A0ABA"/>
    <w:rsid w:val="003A3474"/>
    <w:rsid w:val="003B63A5"/>
    <w:rsid w:val="003C025D"/>
    <w:rsid w:val="003C03CC"/>
    <w:rsid w:val="003C0A41"/>
    <w:rsid w:val="003C370C"/>
    <w:rsid w:val="003C65B8"/>
    <w:rsid w:val="003C6D1C"/>
    <w:rsid w:val="003C75D0"/>
    <w:rsid w:val="003D25A6"/>
    <w:rsid w:val="003D4579"/>
    <w:rsid w:val="00417AA4"/>
    <w:rsid w:val="0042201D"/>
    <w:rsid w:val="00424913"/>
    <w:rsid w:val="00432B99"/>
    <w:rsid w:val="00440A72"/>
    <w:rsid w:val="00441079"/>
    <w:rsid w:val="00442C93"/>
    <w:rsid w:val="00450845"/>
    <w:rsid w:val="004513E0"/>
    <w:rsid w:val="0045339C"/>
    <w:rsid w:val="00462F97"/>
    <w:rsid w:val="00466FC2"/>
    <w:rsid w:val="004712C6"/>
    <w:rsid w:val="00473C64"/>
    <w:rsid w:val="004749C0"/>
    <w:rsid w:val="00476480"/>
    <w:rsid w:val="004913A8"/>
    <w:rsid w:val="004A2E5C"/>
    <w:rsid w:val="004A5C7D"/>
    <w:rsid w:val="004B27B3"/>
    <w:rsid w:val="004C2226"/>
    <w:rsid w:val="004C3065"/>
    <w:rsid w:val="004D3CE2"/>
    <w:rsid w:val="004D5100"/>
    <w:rsid w:val="004D69F6"/>
    <w:rsid w:val="004E44E3"/>
    <w:rsid w:val="004F5224"/>
    <w:rsid w:val="00500B6B"/>
    <w:rsid w:val="00502E5D"/>
    <w:rsid w:val="00506EE9"/>
    <w:rsid w:val="0051020A"/>
    <w:rsid w:val="00510333"/>
    <w:rsid w:val="00511E26"/>
    <w:rsid w:val="00531857"/>
    <w:rsid w:val="005526E5"/>
    <w:rsid w:val="0055740D"/>
    <w:rsid w:val="00563945"/>
    <w:rsid w:val="00567400"/>
    <w:rsid w:val="005744C9"/>
    <w:rsid w:val="00580662"/>
    <w:rsid w:val="00586D2C"/>
    <w:rsid w:val="005937A7"/>
    <w:rsid w:val="00596F53"/>
    <w:rsid w:val="005A28F3"/>
    <w:rsid w:val="005A3D15"/>
    <w:rsid w:val="005A44D2"/>
    <w:rsid w:val="005C62CC"/>
    <w:rsid w:val="005C7A9A"/>
    <w:rsid w:val="005D34EC"/>
    <w:rsid w:val="005D3FB3"/>
    <w:rsid w:val="005D77DA"/>
    <w:rsid w:val="005F1611"/>
    <w:rsid w:val="00600B7E"/>
    <w:rsid w:val="00600DB3"/>
    <w:rsid w:val="00611FD4"/>
    <w:rsid w:val="006122F2"/>
    <w:rsid w:val="0061364E"/>
    <w:rsid w:val="00614BC4"/>
    <w:rsid w:val="00615A46"/>
    <w:rsid w:val="00617DBC"/>
    <w:rsid w:val="00620E11"/>
    <w:rsid w:val="00625523"/>
    <w:rsid w:val="006262F6"/>
    <w:rsid w:val="006301AC"/>
    <w:rsid w:val="00635B37"/>
    <w:rsid w:val="00645CA1"/>
    <w:rsid w:val="006506A8"/>
    <w:rsid w:val="00652342"/>
    <w:rsid w:val="00652F45"/>
    <w:rsid w:val="00686CB6"/>
    <w:rsid w:val="00687EED"/>
    <w:rsid w:val="006B4FCD"/>
    <w:rsid w:val="006C0DEA"/>
    <w:rsid w:val="006C1757"/>
    <w:rsid w:val="006C615F"/>
    <w:rsid w:val="006D2A3C"/>
    <w:rsid w:val="006E0992"/>
    <w:rsid w:val="006E0DBB"/>
    <w:rsid w:val="006E5121"/>
    <w:rsid w:val="006E6775"/>
    <w:rsid w:val="006F047C"/>
    <w:rsid w:val="006F77F3"/>
    <w:rsid w:val="00707DBA"/>
    <w:rsid w:val="00732690"/>
    <w:rsid w:val="00745135"/>
    <w:rsid w:val="0075028B"/>
    <w:rsid w:val="00755132"/>
    <w:rsid w:val="0076012C"/>
    <w:rsid w:val="00767EC0"/>
    <w:rsid w:val="00774CCF"/>
    <w:rsid w:val="007829ED"/>
    <w:rsid w:val="00782F67"/>
    <w:rsid w:val="00795E83"/>
    <w:rsid w:val="007A1C04"/>
    <w:rsid w:val="007A7630"/>
    <w:rsid w:val="007A773D"/>
    <w:rsid w:val="007A7E4C"/>
    <w:rsid w:val="007B4E54"/>
    <w:rsid w:val="007C3C9B"/>
    <w:rsid w:val="007C643D"/>
    <w:rsid w:val="007C7BF2"/>
    <w:rsid w:val="007D5115"/>
    <w:rsid w:val="007F2C0C"/>
    <w:rsid w:val="007F38D4"/>
    <w:rsid w:val="007F5435"/>
    <w:rsid w:val="0080798A"/>
    <w:rsid w:val="00813209"/>
    <w:rsid w:val="00816F73"/>
    <w:rsid w:val="00823FD4"/>
    <w:rsid w:val="0083289A"/>
    <w:rsid w:val="00845400"/>
    <w:rsid w:val="00846103"/>
    <w:rsid w:val="008620EC"/>
    <w:rsid w:val="0086276A"/>
    <w:rsid w:val="00874E83"/>
    <w:rsid w:val="00884389"/>
    <w:rsid w:val="00895E23"/>
    <w:rsid w:val="008A421D"/>
    <w:rsid w:val="008C0DB5"/>
    <w:rsid w:val="008C4DC7"/>
    <w:rsid w:val="008F13FC"/>
    <w:rsid w:val="008F7FFC"/>
    <w:rsid w:val="00905FA7"/>
    <w:rsid w:val="00912DD5"/>
    <w:rsid w:val="00923757"/>
    <w:rsid w:val="00926CA7"/>
    <w:rsid w:val="009276AC"/>
    <w:rsid w:val="0092780B"/>
    <w:rsid w:val="00934261"/>
    <w:rsid w:val="00940B9D"/>
    <w:rsid w:val="009417C5"/>
    <w:rsid w:val="00957DAB"/>
    <w:rsid w:val="00963BDA"/>
    <w:rsid w:val="00970D98"/>
    <w:rsid w:val="00973177"/>
    <w:rsid w:val="00975420"/>
    <w:rsid w:val="0098146C"/>
    <w:rsid w:val="00983FC4"/>
    <w:rsid w:val="009A39AA"/>
    <w:rsid w:val="009B0076"/>
    <w:rsid w:val="009B2FAD"/>
    <w:rsid w:val="009B56BF"/>
    <w:rsid w:val="009E21BD"/>
    <w:rsid w:val="009E28DD"/>
    <w:rsid w:val="009E4280"/>
    <w:rsid w:val="009E729E"/>
    <w:rsid w:val="009F0AE0"/>
    <w:rsid w:val="00A06B72"/>
    <w:rsid w:val="00A2059D"/>
    <w:rsid w:val="00A253BD"/>
    <w:rsid w:val="00A266E6"/>
    <w:rsid w:val="00A278B6"/>
    <w:rsid w:val="00A43AB3"/>
    <w:rsid w:val="00A465CC"/>
    <w:rsid w:val="00A47401"/>
    <w:rsid w:val="00A519F1"/>
    <w:rsid w:val="00A53C45"/>
    <w:rsid w:val="00A55E0E"/>
    <w:rsid w:val="00A6043D"/>
    <w:rsid w:val="00A606EC"/>
    <w:rsid w:val="00A60A51"/>
    <w:rsid w:val="00A764A5"/>
    <w:rsid w:val="00A90FC7"/>
    <w:rsid w:val="00A97A93"/>
    <w:rsid w:val="00AA4BF4"/>
    <w:rsid w:val="00AA5EFA"/>
    <w:rsid w:val="00AC2033"/>
    <w:rsid w:val="00AC3518"/>
    <w:rsid w:val="00AC4BA3"/>
    <w:rsid w:val="00AD0B37"/>
    <w:rsid w:val="00AD0F97"/>
    <w:rsid w:val="00AD5BE6"/>
    <w:rsid w:val="00AD7DCF"/>
    <w:rsid w:val="00AF7171"/>
    <w:rsid w:val="00B00DDB"/>
    <w:rsid w:val="00B04291"/>
    <w:rsid w:val="00B07570"/>
    <w:rsid w:val="00B1345B"/>
    <w:rsid w:val="00B20903"/>
    <w:rsid w:val="00B25040"/>
    <w:rsid w:val="00B256B8"/>
    <w:rsid w:val="00B26794"/>
    <w:rsid w:val="00B276EB"/>
    <w:rsid w:val="00B27F45"/>
    <w:rsid w:val="00B441E0"/>
    <w:rsid w:val="00B549ED"/>
    <w:rsid w:val="00B57259"/>
    <w:rsid w:val="00B669EB"/>
    <w:rsid w:val="00B71082"/>
    <w:rsid w:val="00B84ACB"/>
    <w:rsid w:val="00B86A25"/>
    <w:rsid w:val="00B96B0B"/>
    <w:rsid w:val="00B96D34"/>
    <w:rsid w:val="00BC1E66"/>
    <w:rsid w:val="00BC4A81"/>
    <w:rsid w:val="00BD4859"/>
    <w:rsid w:val="00BE5C07"/>
    <w:rsid w:val="00BF60AC"/>
    <w:rsid w:val="00C06A5A"/>
    <w:rsid w:val="00C1187B"/>
    <w:rsid w:val="00C11ED1"/>
    <w:rsid w:val="00C223C8"/>
    <w:rsid w:val="00C2670C"/>
    <w:rsid w:val="00C332C8"/>
    <w:rsid w:val="00C52634"/>
    <w:rsid w:val="00C54ED3"/>
    <w:rsid w:val="00C6426E"/>
    <w:rsid w:val="00C66C11"/>
    <w:rsid w:val="00C77694"/>
    <w:rsid w:val="00C8220C"/>
    <w:rsid w:val="00C9018A"/>
    <w:rsid w:val="00C93BF5"/>
    <w:rsid w:val="00C94959"/>
    <w:rsid w:val="00CA1670"/>
    <w:rsid w:val="00CC3D14"/>
    <w:rsid w:val="00CC61FE"/>
    <w:rsid w:val="00CF486B"/>
    <w:rsid w:val="00CF6B69"/>
    <w:rsid w:val="00D01E05"/>
    <w:rsid w:val="00D06592"/>
    <w:rsid w:val="00D06EA0"/>
    <w:rsid w:val="00D12D12"/>
    <w:rsid w:val="00D16EEB"/>
    <w:rsid w:val="00D22E60"/>
    <w:rsid w:val="00D24265"/>
    <w:rsid w:val="00D30900"/>
    <w:rsid w:val="00D37DDE"/>
    <w:rsid w:val="00D4193E"/>
    <w:rsid w:val="00D43ED8"/>
    <w:rsid w:val="00D44185"/>
    <w:rsid w:val="00D509C9"/>
    <w:rsid w:val="00D542F1"/>
    <w:rsid w:val="00D545CD"/>
    <w:rsid w:val="00D57AF6"/>
    <w:rsid w:val="00D64521"/>
    <w:rsid w:val="00D646BF"/>
    <w:rsid w:val="00D65F3B"/>
    <w:rsid w:val="00D714EC"/>
    <w:rsid w:val="00D7493D"/>
    <w:rsid w:val="00D76753"/>
    <w:rsid w:val="00D81107"/>
    <w:rsid w:val="00D90880"/>
    <w:rsid w:val="00DA40F0"/>
    <w:rsid w:val="00DB1854"/>
    <w:rsid w:val="00DD2996"/>
    <w:rsid w:val="00DE2DF6"/>
    <w:rsid w:val="00DE43C9"/>
    <w:rsid w:val="00DE5939"/>
    <w:rsid w:val="00E03416"/>
    <w:rsid w:val="00E03BD9"/>
    <w:rsid w:val="00E20466"/>
    <w:rsid w:val="00E26C59"/>
    <w:rsid w:val="00E34C82"/>
    <w:rsid w:val="00E34CA0"/>
    <w:rsid w:val="00E4656C"/>
    <w:rsid w:val="00E52557"/>
    <w:rsid w:val="00E64B12"/>
    <w:rsid w:val="00E65BD9"/>
    <w:rsid w:val="00E71EFA"/>
    <w:rsid w:val="00E74021"/>
    <w:rsid w:val="00E77A35"/>
    <w:rsid w:val="00E87BC4"/>
    <w:rsid w:val="00E9166A"/>
    <w:rsid w:val="00E93B14"/>
    <w:rsid w:val="00E95F9F"/>
    <w:rsid w:val="00EA5B4B"/>
    <w:rsid w:val="00EC4567"/>
    <w:rsid w:val="00ED35AA"/>
    <w:rsid w:val="00EF5081"/>
    <w:rsid w:val="00F06155"/>
    <w:rsid w:val="00F10084"/>
    <w:rsid w:val="00F13131"/>
    <w:rsid w:val="00F219E9"/>
    <w:rsid w:val="00F245A3"/>
    <w:rsid w:val="00F251E1"/>
    <w:rsid w:val="00F53231"/>
    <w:rsid w:val="00F53D4E"/>
    <w:rsid w:val="00F60D92"/>
    <w:rsid w:val="00F63F2E"/>
    <w:rsid w:val="00F8388E"/>
    <w:rsid w:val="00F903B8"/>
    <w:rsid w:val="00F92017"/>
    <w:rsid w:val="00FA21B8"/>
    <w:rsid w:val="00FA40AB"/>
    <w:rsid w:val="00FB5173"/>
    <w:rsid w:val="00FC40F2"/>
    <w:rsid w:val="00FD5D63"/>
    <w:rsid w:val="00FE1E79"/>
    <w:rsid w:val="00FE3559"/>
    <w:rsid w:val="00FE38C4"/>
    <w:rsid w:val="00FE3E12"/>
    <w:rsid w:val="00FE5522"/>
    <w:rsid w:val="00FF2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uiPriority w:val="99"/>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uiPriority w:val="99"/>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PARRAFO"/>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3.xml><?xml version="1.0" encoding="utf-8"?>
<ds:datastoreItem xmlns:ds="http://schemas.openxmlformats.org/officeDocument/2006/customXml" ds:itemID="{3E7F2E7A-7808-4666-BA67-FCD8048994A0}">
  <ds:schemaRefs>
    <ds:schemaRef ds:uri="http://schemas.openxmlformats.org/officeDocument/2006/bibliography"/>
  </ds:schemaRefs>
</ds:datastoreItem>
</file>

<file path=customXml/itemProps4.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1469</Words>
  <Characters>8082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20</cp:revision>
  <cp:lastPrinted>2020-07-31T19:08:00Z</cp:lastPrinted>
  <dcterms:created xsi:type="dcterms:W3CDTF">2021-10-15T21:40:00Z</dcterms:created>
  <dcterms:modified xsi:type="dcterms:W3CDTF">2021-10-16T04:25:00Z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