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BDD5" w14:textId="74AD92CC" w:rsidR="00253879" w:rsidRPr="00EF6562" w:rsidRDefault="00253879" w:rsidP="007D1A78">
      <w:pPr>
        <w:pStyle w:val="corte4fondoCar"/>
        <w:spacing w:line="240" w:lineRule="auto"/>
        <w:ind w:firstLine="0"/>
        <w:rPr>
          <w:rFonts w:cs="Arial"/>
          <w:b/>
          <w:sz w:val="28"/>
          <w:szCs w:val="28"/>
        </w:rPr>
      </w:pPr>
      <w:r w:rsidRPr="00EF6562">
        <w:rPr>
          <w:rFonts w:cs="Arial"/>
          <w:b/>
          <w:sz w:val="28"/>
          <w:szCs w:val="28"/>
        </w:rPr>
        <w:t xml:space="preserve">VOTO </w:t>
      </w:r>
      <w:r w:rsidR="001A490F" w:rsidRPr="00EF6562">
        <w:rPr>
          <w:rFonts w:cs="Arial"/>
          <w:b/>
          <w:sz w:val="28"/>
          <w:szCs w:val="28"/>
        </w:rPr>
        <w:t xml:space="preserve">PARTICULAR </w:t>
      </w:r>
      <w:r w:rsidRPr="00EF6562">
        <w:rPr>
          <w:rFonts w:cs="Arial"/>
          <w:b/>
          <w:sz w:val="28"/>
          <w:szCs w:val="28"/>
        </w:rPr>
        <w:t xml:space="preserve">QUE FORMULA EL SEÑOR MINISTRO LUIS MARÍA AGUILAR MORALES, EN RELACIÓN CON LA ACCIÓN DE INCONSTITUCIONALIDAD </w:t>
      </w:r>
      <w:r w:rsidR="008D40BE" w:rsidRPr="00EF6562">
        <w:rPr>
          <w:rFonts w:cs="Arial"/>
          <w:b/>
          <w:sz w:val="28"/>
          <w:szCs w:val="28"/>
        </w:rPr>
        <w:t>69</w:t>
      </w:r>
      <w:r w:rsidR="004600F9" w:rsidRPr="00EF6562">
        <w:rPr>
          <w:rFonts w:cs="Arial"/>
          <w:b/>
          <w:sz w:val="28"/>
          <w:szCs w:val="28"/>
        </w:rPr>
        <w:t>/20</w:t>
      </w:r>
      <w:r w:rsidR="00380517" w:rsidRPr="00EF6562">
        <w:rPr>
          <w:rFonts w:cs="Arial"/>
          <w:b/>
          <w:sz w:val="28"/>
          <w:szCs w:val="28"/>
        </w:rPr>
        <w:t>19</w:t>
      </w:r>
      <w:r w:rsidR="00EF6562" w:rsidRPr="00EF6562">
        <w:rPr>
          <w:rFonts w:cs="Arial"/>
          <w:b/>
          <w:sz w:val="28"/>
          <w:szCs w:val="28"/>
        </w:rPr>
        <w:t xml:space="preserve"> Y SUS ACUMULADAS 71/2019 Y 75/2019</w:t>
      </w:r>
    </w:p>
    <w:p w14:paraId="3B25DAA7" w14:textId="77777777" w:rsidR="007D1A78" w:rsidRPr="001A490F" w:rsidRDefault="007D1A78" w:rsidP="00B679B9">
      <w:pPr>
        <w:pStyle w:val="corte4fondoCar"/>
        <w:ind w:firstLine="0"/>
        <w:rPr>
          <w:rFonts w:cs="Arial"/>
          <w:sz w:val="28"/>
          <w:szCs w:val="28"/>
        </w:rPr>
      </w:pPr>
    </w:p>
    <w:p w14:paraId="5A3A0737" w14:textId="1791EC29" w:rsidR="00366868" w:rsidRPr="001A490F" w:rsidRDefault="001C6B98" w:rsidP="001A490F">
      <w:pPr>
        <w:pStyle w:val="TEXTONORMAL"/>
        <w:ind w:firstLine="0"/>
      </w:pPr>
      <w:r w:rsidRPr="001A490F">
        <w:t xml:space="preserve">En sesión virtual celebrada el </w:t>
      </w:r>
      <w:r w:rsidR="008D40BE" w:rsidRPr="001A490F">
        <w:t>uno de marzo de</w:t>
      </w:r>
      <w:r w:rsidRPr="001A490F">
        <w:t xml:space="preserve"> dos mil veintiuno, e</w:t>
      </w:r>
      <w:r w:rsidR="00253879" w:rsidRPr="001A490F">
        <w:t>l Tribunal Pleno de esta Suprema Corte Justicia de la Nación</w:t>
      </w:r>
      <w:r w:rsidR="001E4A39" w:rsidRPr="001A490F">
        <w:t>,</w:t>
      </w:r>
      <w:r w:rsidR="00253879" w:rsidRPr="001A490F">
        <w:t xml:space="preserve"> </w:t>
      </w:r>
      <w:r w:rsidR="008D40BE" w:rsidRPr="001A490F">
        <w:t>al resolver la acción de inconstitucionalidad citada al rubro</w:t>
      </w:r>
      <w:r w:rsidR="0003017E">
        <w:t xml:space="preserve"> y sus acumuladas</w:t>
      </w:r>
      <w:r w:rsidR="008D40BE" w:rsidRPr="001A490F">
        <w:t>, analizó di</w:t>
      </w:r>
      <w:r w:rsidR="001A490F" w:rsidRPr="001A490F">
        <w:t>versas</w:t>
      </w:r>
      <w:r w:rsidR="008D40BE" w:rsidRPr="001A490F">
        <w:t xml:space="preserve"> normas </w:t>
      </w:r>
      <w:r w:rsidR="008D40BE" w:rsidRPr="001A490F">
        <w:rPr>
          <w:bCs/>
        </w:rPr>
        <w:t>de la Ley de Responsabilidades Administrativas del Estado de Nuevo León,</w:t>
      </w:r>
      <w:r w:rsidR="00380517" w:rsidRPr="001A490F">
        <w:t xml:space="preserve"> </w:t>
      </w:r>
      <w:r w:rsidR="008D40BE" w:rsidRPr="001A490F">
        <w:t>publicada en el Periódico</w:t>
      </w:r>
      <w:r w:rsidR="00366868" w:rsidRPr="001A490F">
        <w:t xml:space="preserve"> </w:t>
      </w:r>
      <w:r w:rsidR="008D40BE" w:rsidRPr="001A490F">
        <w:t>Oficial de</w:t>
      </w:r>
      <w:r w:rsidR="00366868" w:rsidRPr="001A490F">
        <w:t xml:space="preserve"> </w:t>
      </w:r>
      <w:r w:rsidR="005A6249">
        <w:t>esa</w:t>
      </w:r>
      <w:r w:rsidR="008D40BE" w:rsidRPr="001A490F">
        <w:t xml:space="preserve"> </w:t>
      </w:r>
      <w:r w:rsidR="00366868" w:rsidRPr="001A490F">
        <w:t xml:space="preserve">entidad el </w:t>
      </w:r>
      <w:r w:rsidR="008D40BE" w:rsidRPr="001A490F">
        <w:t>día siete de</w:t>
      </w:r>
      <w:r w:rsidR="00366868" w:rsidRPr="001A490F">
        <w:t xml:space="preserve"> </w:t>
      </w:r>
      <w:r w:rsidR="008D40BE" w:rsidRPr="001A490F">
        <w:t>junio de dos mil diecinueve</w:t>
      </w:r>
      <w:r w:rsidR="00366868" w:rsidRPr="001A490F">
        <w:t>.</w:t>
      </w:r>
    </w:p>
    <w:p w14:paraId="7BD1BA42" w14:textId="77777777" w:rsidR="00366868" w:rsidRPr="001A490F" w:rsidRDefault="00366868" w:rsidP="00366868">
      <w:pPr>
        <w:pStyle w:val="TEXTONORMAL"/>
      </w:pPr>
    </w:p>
    <w:p w14:paraId="650A1F14" w14:textId="507EA153" w:rsidR="001A490F" w:rsidRPr="001A490F" w:rsidRDefault="00366868" w:rsidP="001A490F">
      <w:pPr>
        <w:pStyle w:val="corte4fondo"/>
        <w:ind w:right="48" w:firstLine="0"/>
        <w:rPr>
          <w:rFonts w:cs="Arial"/>
          <w:iCs/>
          <w:sz w:val="28"/>
          <w:szCs w:val="28"/>
          <w:lang w:val="es-ES"/>
        </w:rPr>
      </w:pPr>
      <w:r w:rsidRPr="001A490F">
        <w:rPr>
          <w:sz w:val="28"/>
          <w:szCs w:val="28"/>
        </w:rPr>
        <w:t>E</w:t>
      </w:r>
      <w:r w:rsidR="00CB36F1" w:rsidRPr="001A490F">
        <w:rPr>
          <w:sz w:val="28"/>
          <w:szCs w:val="28"/>
        </w:rPr>
        <w:t xml:space="preserve">n </w:t>
      </w:r>
      <w:r w:rsidRPr="001A490F">
        <w:rPr>
          <w:sz w:val="28"/>
          <w:szCs w:val="28"/>
        </w:rPr>
        <w:t>el Considerando Octavo</w:t>
      </w:r>
      <w:r w:rsidR="00CB36F1" w:rsidRPr="001A490F">
        <w:rPr>
          <w:sz w:val="28"/>
          <w:szCs w:val="28"/>
        </w:rPr>
        <w:t>, relativo al estudio de fondo</w:t>
      </w:r>
      <w:r w:rsidRPr="001A490F">
        <w:rPr>
          <w:sz w:val="28"/>
          <w:szCs w:val="28"/>
        </w:rPr>
        <w:t xml:space="preserve"> de la cuestión B [Seguridad Jurídica y Legalidad: Parámetro diferenciado]</w:t>
      </w:r>
      <w:r w:rsidR="00CB36F1" w:rsidRPr="001A490F">
        <w:rPr>
          <w:sz w:val="28"/>
          <w:szCs w:val="28"/>
        </w:rPr>
        <w:t xml:space="preserve">, </w:t>
      </w:r>
      <w:r w:rsidR="003F0F50" w:rsidRPr="001A490F">
        <w:rPr>
          <w:sz w:val="28"/>
          <w:szCs w:val="28"/>
        </w:rPr>
        <w:t xml:space="preserve">concretamente en el </w:t>
      </w:r>
      <w:r w:rsidR="00CB36F1" w:rsidRPr="001A490F">
        <w:rPr>
          <w:sz w:val="28"/>
          <w:szCs w:val="28"/>
        </w:rPr>
        <w:t xml:space="preserve">Tema </w:t>
      </w:r>
      <w:r w:rsidR="008D40BE" w:rsidRPr="001A490F">
        <w:rPr>
          <w:sz w:val="28"/>
          <w:szCs w:val="28"/>
        </w:rPr>
        <w:t>16</w:t>
      </w:r>
      <w:r w:rsidR="00CB36F1" w:rsidRPr="001A490F">
        <w:rPr>
          <w:sz w:val="28"/>
          <w:szCs w:val="28"/>
        </w:rPr>
        <w:t>, denominado</w:t>
      </w:r>
      <w:r w:rsidRPr="001A490F">
        <w:rPr>
          <w:sz w:val="28"/>
          <w:szCs w:val="28"/>
        </w:rPr>
        <w:t xml:space="preserve"> VARIACIÓN DE SANCIONES A PARTICULARES COMO LA “SUSPENSIÓN DE ACTIVIDADES”, LA “DISOLUCIÓN DE SOCIEDADES SANCIONADAS” Y LA ADICIÓN DE LA “INHABILITACIÓN DEFINITIVA”</w:t>
      </w:r>
      <w:r w:rsidR="00CB36F1" w:rsidRPr="001A490F">
        <w:rPr>
          <w:sz w:val="28"/>
          <w:szCs w:val="28"/>
        </w:rPr>
        <w:t xml:space="preserve">, </w:t>
      </w:r>
      <w:r w:rsidRPr="001A490F">
        <w:rPr>
          <w:sz w:val="28"/>
          <w:szCs w:val="28"/>
        </w:rPr>
        <w:t>la mayoría</w:t>
      </w:r>
      <w:r w:rsidRPr="001A490F">
        <w:rPr>
          <w:rStyle w:val="Refdenotaalpie"/>
          <w:rFonts w:cs="Arial"/>
          <w:sz w:val="28"/>
          <w:szCs w:val="28"/>
        </w:rPr>
        <w:footnoteReference w:id="1"/>
      </w:r>
      <w:r w:rsidRPr="001A490F">
        <w:rPr>
          <w:sz w:val="28"/>
          <w:szCs w:val="28"/>
        </w:rPr>
        <w:t xml:space="preserve"> del Pleno de la Suprema Corte de Justicia de la Nación </w:t>
      </w:r>
      <w:r w:rsidR="003457B2">
        <w:rPr>
          <w:sz w:val="28"/>
          <w:szCs w:val="28"/>
        </w:rPr>
        <w:t xml:space="preserve">determinó </w:t>
      </w:r>
      <w:r w:rsidR="005A4A22" w:rsidRPr="001A490F">
        <w:rPr>
          <w:b/>
          <w:bCs/>
          <w:sz w:val="28"/>
          <w:szCs w:val="28"/>
        </w:rPr>
        <w:t>declar</w:t>
      </w:r>
      <w:r w:rsidR="003457B2">
        <w:rPr>
          <w:b/>
          <w:bCs/>
          <w:sz w:val="28"/>
          <w:szCs w:val="28"/>
        </w:rPr>
        <w:t>ar</w:t>
      </w:r>
      <w:r w:rsidR="005A4A22" w:rsidRPr="001A490F">
        <w:rPr>
          <w:b/>
          <w:bCs/>
          <w:sz w:val="28"/>
          <w:szCs w:val="28"/>
        </w:rPr>
        <w:t xml:space="preserve"> la invalidez</w:t>
      </w:r>
      <w:r w:rsidR="008846A8">
        <w:rPr>
          <w:b/>
          <w:bCs/>
          <w:sz w:val="28"/>
          <w:szCs w:val="28"/>
        </w:rPr>
        <w:t xml:space="preserve"> </w:t>
      </w:r>
      <w:r w:rsidR="001A490F" w:rsidRPr="001A490F">
        <w:rPr>
          <w:sz w:val="28"/>
          <w:szCs w:val="28"/>
        </w:rPr>
        <w:t>de</w:t>
      </w:r>
      <w:r w:rsidR="001A490F" w:rsidRPr="001A490F">
        <w:rPr>
          <w:iCs/>
          <w:sz w:val="28"/>
          <w:szCs w:val="28"/>
          <w:lang w:val="es-ES"/>
        </w:rPr>
        <w:t xml:space="preserve"> la totalidad del inciso d) de la fracción II del </w:t>
      </w:r>
      <w:r w:rsidR="001A490F" w:rsidRPr="001A490F">
        <w:rPr>
          <w:rFonts w:cs="Arial"/>
          <w:iCs/>
          <w:sz w:val="28"/>
          <w:szCs w:val="28"/>
          <w:lang w:val="es-ES"/>
        </w:rPr>
        <w:t>artículo 81</w:t>
      </w:r>
      <w:r w:rsidR="001A490F" w:rsidRPr="001A490F">
        <w:rPr>
          <w:iCs/>
          <w:sz w:val="28"/>
          <w:szCs w:val="28"/>
          <w:lang w:val="es-ES"/>
        </w:rPr>
        <w:t xml:space="preserve">, así como el </w:t>
      </w:r>
      <w:r w:rsidR="001A490F" w:rsidRPr="001A490F">
        <w:rPr>
          <w:rFonts w:cs="Arial"/>
          <w:iCs/>
          <w:sz w:val="28"/>
          <w:szCs w:val="28"/>
          <w:lang w:val="es-ES"/>
        </w:rPr>
        <w:t>párrafo séptimo</w:t>
      </w:r>
      <w:r w:rsidR="001A490F" w:rsidRPr="001A490F">
        <w:rPr>
          <w:iCs/>
          <w:sz w:val="28"/>
          <w:szCs w:val="28"/>
          <w:lang w:val="es-ES"/>
        </w:rPr>
        <w:t xml:space="preserve"> de dicho </w:t>
      </w:r>
      <w:r w:rsidR="008846A8">
        <w:rPr>
          <w:iCs/>
          <w:sz w:val="28"/>
          <w:szCs w:val="28"/>
          <w:lang w:val="es-ES"/>
        </w:rPr>
        <w:t>precepto</w:t>
      </w:r>
      <w:r w:rsidR="001A490F" w:rsidRPr="001A490F">
        <w:rPr>
          <w:rFonts w:cs="Arial"/>
          <w:iCs/>
          <w:sz w:val="28"/>
          <w:szCs w:val="28"/>
          <w:lang w:val="es-ES"/>
        </w:rPr>
        <w:t xml:space="preserve"> y el último párrafo del artículo 227</w:t>
      </w:r>
      <w:r w:rsidR="00C33A2F" w:rsidRPr="001A490F">
        <w:rPr>
          <w:sz w:val="28"/>
          <w:szCs w:val="28"/>
        </w:rPr>
        <w:t xml:space="preserve">, al considerar </w:t>
      </w:r>
      <w:r w:rsidR="001A490F" w:rsidRPr="001A490F">
        <w:rPr>
          <w:rFonts w:cs="Arial"/>
          <w:iCs/>
          <w:sz w:val="28"/>
          <w:szCs w:val="28"/>
          <w:lang w:val="es-ES"/>
        </w:rPr>
        <w:t>que en dichas porciones el legislador local adicionó sanciones no previstas en la Ley General o varió las previstas en dicho ordenamiento.</w:t>
      </w:r>
    </w:p>
    <w:p w14:paraId="3D19B8BA" w14:textId="77777777" w:rsidR="001A490F" w:rsidRPr="001A490F" w:rsidRDefault="001A490F" w:rsidP="001A490F">
      <w:pPr>
        <w:pStyle w:val="corte4fondo"/>
        <w:ind w:right="48" w:firstLine="0"/>
        <w:rPr>
          <w:rFonts w:cs="Arial"/>
          <w:iCs/>
          <w:sz w:val="28"/>
          <w:szCs w:val="28"/>
          <w:lang w:val="es-ES"/>
        </w:rPr>
      </w:pPr>
    </w:p>
    <w:p w14:paraId="52D9BE8F" w14:textId="7A257712" w:rsidR="001A490F" w:rsidRDefault="003457B2" w:rsidP="003457B2">
      <w:pPr>
        <w:pStyle w:val="corte4fondoCar"/>
        <w:tabs>
          <w:tab w:val="left" w:pos="1843"/>
        </w:tabs>
        <w:ind w:firstLine="0"/>
        <w:rPr>
          <w:rFonts w:cs="Arial"/>
          <w:iCs/>
          <w:sz w:val="28"/>
          <w:szCs w:val="28"/>
          <w:lang w:val="es-ES"/>
        </w:rPr>
      </w:pPr>
      <w:r>
        <w:rPr>
          <w:rFonts w:cs="Arial"/>
          <w:iCs/>
          <w:sz w:val="28"/>
          <w:szCs w:val="28"/>
          <w:lang w:val="es-ES"/>
        </w:rPr>
        <w:t xml:space="preserve">Si bien compartí la </w:t>
      </w:r>
      <w:r w:rsidR="001A490F">
        <w:rPr>
          <w:rFonts w:cs="Arial"/>
          <w:iCs/>
          <w:sz w:val="28"/>
          <w:szCs w:val="28"/>
          <w:lang w:val="es-ES"/>
        </w:rPr>
        <w:t>determinación de declarar la invalidez del párrafo séptimo del artículo 81 y el último párrafo del artículo 227</w:t>
      </w:r>
      <w:r>
        <w:rPr>
          <w:rFonts w:cs="Arial"/>
          <w:iCs/>
          <w:sz w:val="28"/>
          <w:szCs w:val="28"/>
          <w:lang w:val="es-ES"/>
        </w:rPr>
        <w:t xml:space="preserve">, en virtud de que </w:t>
      </w:r>
      <w:r w:rsidRPr="00006271">
        <w:rPr>
          <w:rFonts w:cs="Arial"/>
          <w:sz w:val="28"/>
          <w:szCs w:val="28"/>
        </w:rPr>
        <w:t xml:space="preserve">alteran el parámetro de </w:t>
      </w:r>
      <w:r>
        <w:rPr>
          <w:rFonts w:cs="Arial"/>
          <w:sz w:val="28"/>
          <w:szCs w:val="28"/>
        </w:rPr>
        <w:t>sanciones</w:t>
      </w:r>
      <w:r w:rsidRPr="00006271">
        <w:rPr>
          <w:rFonts w:cs="Arial"/>
          <w:sz w:val="28"/>
          <w:szCs w:val="28"/>
        </w:rPr>
        <w:t xml:space="preserve"> diseñado por </w:t>
      </w:r>
      <w:r>
        <w:rPr>
          <w:rFonts w:cs="Arial"/>
          <w:sz w:val="28"/>
          <w:szCs w:val="28"/>
        </w:rPr>
        <w:t xml:space="preserve">el </w:t>
      </w:r>
      <w:r w:rsidRPr="00006271">
        <w:rPr>
          <w:rFonts w:cs="Arial"/>
          <w:sz w:val="28"/>
          <w:szCs w:val="28"/>
        </w:rPr>
        <w:t>legislador federal</w:t>
      </w:r>
      <w:r>
        <w:rPr>
          <w:rFonts w:cs="Arial"/>
          <w:sz w:val="28"/>
          <w:szCs w:val="28"/>
        </w:rPr>
        <w:t>,</w:t>
      </w:r>
      <w:r>
        <w:rPr>
          <w:rFonts w:cs="Arial"/>
          <w:iCs/>
          <w:sz w:val="28"/>
          <w:szCs w:val="28"/>
          <w:lang w:val="es-ES"/>
        </w:rPr>
        <w:t xml:space="preserve"> </w:t>
      </w:r>
      <w:r w:rsidR="005A6249" w:rsidRPr="005A6249">
        <w:rPr>
          <w:rFonts w:cs="Arial"/>
          <w:b/>
          <w:bCs/>
          <w:iCs/>
          <w:sz w:val="28"/>
          <w:szCs w:val="28"/>
          <w:lang w:val="es-ES"/>
        </w:rPr>
        <w:t>no concuerdo</w:t>
      </w:r>
      <w:r>
        <w:rPr>
          <w:rFonts w:cs="Arial"/>
          <w:iCs/>
          <w:sz w:val="28"/>
          <w:szCs w:val="28"/>
          <w:lang w:val="es-ES"/>
        </w:rPr>
        <w:t xml:space="preserve"> </w:t>
      </w:r>
      <w:r w:rsidRPr="005A6249">
        <w:rPr>
          <w:rFonts w:cs="Arial"/>
          <w:iCs/>
          <w:sz w:val="28"/>
          <w:szCs w:val="28"/>
          <w:u w:val="single"/>
          <w:lang w:val="es-ES"/>
        </w:rPr>
        <w:t xml:space="preserve">con </w:t>
      </w:r>
      <w:r w:rsidR="001A490F" w:rsidRPr="005A6249">
        <w:rPr>
          <w:rFonts w:cs="Arial"/>
          <w:iCs/>
          <w:sz w:val="28"/>
          <w:szCs w:val="28"/>
          <w:u w:val="single"/>
          <w:lang w:val="es-ES"/>
        </w:rPr>
        <w:t xml:space="preserve">la declaración de invalidez de la totalidad </w:t>
      </w:r>
      <w:r w:rsidR="001A490F" w:rsidRPr="005A6249">
        <w:rPr>
          <w:rFonts w:cs="Arial"/>
          <w:iCs/>
          <w:sz w:val="28"/>
          <w:szCs w:val="28"/>
          <w:u w:val="single"/>
          <w:lang w:val="es-ES"/>
        </w:rPr>
        <w:lastRenderedPageBreak/>
        <w:t xml:space="preserve">del inciso d) </w:t>
      </w:r>
      <w:r w:rsidR="008D1DC4">
        <w:rPr>
          <w:rFonts w:cs="Arial"/>
          <w:iCs/>
          <w:sz w:val="28"/>
          <w:szCs w:val="28"/>
          <w:u w:val="single"/>
          <w:lang w:val="es-ES"/>
        </w:rPr>
        <w:t xml:space="preserve">de la fracción II </w:t>
      </w:r>
      <w:r w:rsidR="001A490F" w:rsidRPr="005A6249">
        <w:rPr>
          <w:rFonts w:cs="Arial"/>
          <w:iCs/>
          <w:sz w:val="28"/>
          <w:szCs w:val="28"/>
          <w:u w:val="single"/>
          <w:lang w:val="es-ES"/>
        </w:rPr>
        <w:t>del artículo 81</w:t>
      </w:r>
      <w:r w:rsidR="001A490F">
        <w:rPr>
          <w:rFonts w:cs="Arial"/>
          <w:iCs/>
          <w:sz w:val="28"/>
          <w:szCs w:val="28"/>
          <w:lang w:val="es-ES"/>
        </w:rPr>
        <w:t xml:space="preserve">, pues en comparación con lo previsto en la Ley General, </w:t>
      </w:r>
      <w:r w:rsidRPr="00287A2D">
        <w:rPr>
          <w:rFonts w:cs="Arial"/>
          <w:iCs/>
          <w:sz w:val="28"/>
          <w:szCs w:val="28"/>
          <w:u w:val="single"/>
          <w:lang w:val="es-ES"/>
        </w:rPr>
        <w:t xml:space="preserve">esta porción </w:t>
      </w:r>
      <w:r w:rsidR="001A490F" w:rsidRPr="00287A2D">
        <w:rPr>
          <w:rFonts w:cs="Arial"/>
          <w:iCs/>
          <w:sz w:val="28"/>
          <w:szCs w:val="28"/>
          <w:u w:val="single"/>
          <w:lang w:val="es-ES"/>
        </w:rPr>
        <w:t>ú</w:t>
      </w:r>
      <w:r w:rsidR="001A490F" w:rsidRPr="005A6249">
        <w:rPr>
          <w:rFonts w:cs="Arial"/>
          <w:iCs/>
          <w:sz w:val="28"/>
          <w:szCs w:val="28"/>
          <w:u w:val="single"/>
          <w:lang w:val="es-ES"/>
        </w:rPr>
        <w:t>nicamente modifica el período de la sanción de suspensión de actividades tratándose de personas morales</w:t>
      </w:r>
      <w:r w:rsidR="001A490F">
        <w:rPr>
          <w:rFonts w:cs="Arial"/>
          <w:iCs/>
          <w:sz w:val="28"/>
          <w:szCs w:val="28"/>
          <w:lang w:val="es-ES"/>
        </w:rPr>
        <w:t xml:space="preserve">. </w:t>
      </w:r>
    </w:p>
    <w:p w14:paraId="06705DD4" w14:textId="77777777" w:rsidR="001A490F" w:rsidRDefault="001A490F" w:rsidP="001A490F">
      <w:pPr>
        <w:pStyle w:val="corte4fondo"/>
        <w:ind w:right="48" w:firstLine="0"/>
        <w:rPr>
          <w:rFonts w:cs="Arial"/>
          <w:iCs/>
          <w:sz w:val="28"/>
          <w:szCs w:val="28"/>
          <w:lang w:val="es-ES"/>
        </w:rPr>
      </w:pPr>
    </w:p>
    <w:p w14:paraId="1FCC3462" w14:textId="4852AEB5" w:rsidR="001A490F" w:rsidRDefault="003457B2" w:rsidP="001A490F">
      <w:pPr>
        <w:pStyle w:val="corte4fondoCar"/>
        <w:tabs>
          <w:tab w:val="left" w:pos="1843"/>
        </w:tabs>
        <w:ind w:firstLine="0"/>
        <w:rPr>
          <w:rFonts w:cs="Arial"/>
          <w:sz w:val="28"/>
          <w:szCs w:val="28"/>
        </w:rPr>
      </w:pPr>
      <w:r>
        <w:rPr>
          <w:rFonts w:cs="Arial"/>
          <w:iCs/>
          <w:sz w:val="28"/>
          <w:szCs w:val="28"/>
          <w:lang w:val="es-ES"/>
        </w:rPr>
        <w:t xml:space="preserve">En efecto, </w:t>
      </w:r>
      <w:r w:rsidR="001A490F">
        <w:rPr>
          <w:rFonts w:cs="Arial"/>
          <w:sz w:val="28"/>
          <w:szCs w:val="28"/>
        </w:rPr>
        <w:t>mientras que el legislador federal en la Ley General</w:t>
      </w:r>
      <w:r w:rsidR="00FF291B">
        <w:rPr>
          <w:rFonts w:cs="Arial"/>
          <w:sz w:val="28"/>
          <w:szCs w:val="28"/>
        </w:rPr>
        <w:t>, artículo 81, fracción II, inciso c)</w:t>
      </w:r>
      <w:r w:rsidRPr="001A490F">
        <w:rPr>
          <w:rStyle w:val="Refdenotaalpie"/>
          <w:rFonts w:cs="Arial"/>
          <w:sz w:val="28"/>
          <w:szCs w:val="28"/>
        </w:rPr>
        <w:footnoteReference w:id="2"/>
      </w:r>
      <w:r w:rsidR="001A490F">
        <w:rPr>
          <w:rFonts w:cs="Arial"/>
          <w:sz w:val="28"/>
          <w:szCs w:val="28"/>
        </w:rPr>
        <w:t xml:space="preserve">, previó la sanción de </w:t>
      </w:r>
      <w:r w:rsidR="001A490F" w:rsidRPr="00D04BA2">
        <w:rPr>
          <w:rFonts w:cs="Arial"/>
          <w:iCs/>
          <w:sz w:val="28"/>
          <w:szCs w:val="28"/>
          <w:lang w:val="es-ES"/>
        </w:rPr>
        <w:t>suspensión de actividades</w:t>
      </w:r>
      <w:r w:rsidR="001A490F">
        <w:rPr>
          <w:rFonts w:cs="Arial"/>
          <w:iCs/>
          <w:sz w:val="28"/>
          <w:szCs w:val="28"/>
          <w:lang w:val="es-ES"/>
        </w:rPr>
        <w:t xml:space="preserve"> de las personas morales</w:t>
      </w:r>
      <w:r w:rsidR="001A490F" w:rsidRPr="00D04BA2">
        <w:rPr>
          <w:rFonts w:cs="Arial"/>
          <w:iCs/>
          <w:sz w:val="28"/>
          <w:szCs w:val="28"/>
          <w:lang w:val="es-ES"/>
        </w:rPr>
        <w:t>, por un per</w:t>
      </w:r>
      <w:r w:rsidR="001A490F">
        <w:rPr>
          <w:rFonts w:cs="Arial"/>
          <w:iCs/>
          <w:sz w:val="28"/>
          <w:szCs w:val="28"/>
          <w:lang w:val="es-ES"/>
        </w:rPr>
        <w:t>í</w:t>
      </w:r>
      <w:r w:rsidR="001A490F" w:rsidRPr="00D04BA2">
        <w:rPr>
          <w:rFonts w:cs="Arial"/>
          <w:iCs/>
          <w:sz w:val="28"/>
          <w:szCs w:val="28"/>
          <w:lang w:val="es-ES"/>
        </w:rPr>
        <w:t xml:space="preserve">odo que no será </w:t>
      </w:r>
      <w:r w:rsidR="001A490F" w:rsidRPr="003457B2">
        <w:rPr>
          <w:rFonts w:cs="Arial"/>
          <w:iCs/>
          <w:sz w:val="28"/>
          <w:szCs w:val="28"/>
          <w:u w:val="single"/>
          <w:lang w:val="es-ES"/>
        </w:rPr>
        <w:t>menor de tres meses ni mayor de tres años</w:t>
      </w:r>
      <w:r w:rsidR="001A490F" w:rsidRPr="00D04BA2">
        <w:rPr>
          <w:rFonts w:cs="Arial"/>
          <w:iCs/>
          <w:sz w:val="28"/>
          <w:szCs w:val="28"/>
          <w:lang w:val="es-ES"/>
        </w:rPr>
        <w:t>,</w:t>
      </w:r>
      <w:r w:rsidR="001A490F">
        <w:rPr>
          <w:rFonts w:cs="Arial"/>
          <w:iCs/>
          <w:sz w:val="28"/>
          <w:szCs w:val="28"/>
          <w:lang w:val="es-ES"/>
        </w:rPr>
        <w:t xml:space="preserve"> </w:t>
      </w:r>
      <w:r w:rsidR="001A490F">
        <w:rPr>
          <w:rFonts w:cs="Arial"/>
          <w:sz w:val="28"/>
          <w:szCs w:val="28"/>
        </w:rPr>
        <w:t xml:space="preserve">el </w:t>
      </w:r>
      <w:r w:rsidR="001A490F" w:rsidRPr="005A6249">
        <w:rPr>
          <w:rFonts w:cs="Arial"/>
          <w:sz w:val="28"/>
          <w:szCs w:val="28"/>
        </w:rPr>
        <w:t>legislador local,</w:t>
      </w:r>
      <w:r w:rsidR="001A490F">
        <w:rPr>
          <w:rFonts w:cs="Arial"/>
          <w:sz w:val="28"/>
          <w:szCs w:val="28"/>
        </w:rPr>
        <w:t xml:space="preserve"> estableció</w:t>
      </w:r>
      <w:r w:rsidR="00FF291B">
        <w:rPr>
          <w:rFonts w:cs="Arial"/>
          <w:sz w:val="28"/>
          <w:szCs w:val="28"/>
        </w:rPr>
        <w:t xml:space="preserve"> en el numeral 81, fracción II, inciso d)</w:t>
      </w:r>
      <w:r w:rsidR="00FF291B" w:rsidRPr="001A490F">
        <w:rPr>
          <w:rStyle w:val="Refdenotaalpie"/>
          <w:rFonts w:cs="Arial"/>
          <w:sz w:val="28"/>
          <w:szCs w:val="28"/>
        </w:rPr>
        <w:footnoteReference w:id="3"/>
      </w:r>
      <w:r w:rsidR="001A490F">
        <w:rPr>
          <w:rFonts w:cs="Arial"/>
          <w:sz w:val="28"/>
          <w:szCs w:val="28"/>
        </w:rPr>
        <w:t xml:space="preserve">, </w:t>
      </w:r>
      <w:r w:rsidR="001A490F" w:rsidRPr="00D04BA2">
        <w:rPr>
          <w:rFonts w:cs="Arial"/>
          <w:sz w:val="28"/>
          <w:szCs w:val="28"/>
          <w:u w:val="single"/>
        </w:rPr>
        <w:t>que el referido período no será menor de un año ni mayor de cinco años</w:t>
      </w:r>
      <w:r w:rsidR="001A490F">
        <w:rPr>
          <w:rFonts w:cs="Arial"/>
          <w:sz w:val="28"/>
          <w:szCs w:val="28"/>
        </w:rPr>
        <w:t xml:space="preserve">, por lo que estimo que </w:t>
      </w:r>
      <w:r w:rsidR="00FF291B" w:rsidRPr="005A6249">
        <w:rPr>
          <w:rFonts w:cs="Arial"/>
          <w:b/>
          <w:bCs/>
          <w:sz w:val="28"/>
          <w:szCs w:val="28"/>
        </w:rPr>
        <w:t xml:space="preserve">sólo </w:t>
      </w:r>
      <w:r w:rsidR="001A490F" w:rsidRPr="005A6249">
        <w:rPr>
          <w:rFonts w:cs="Arial"/>
          <w:b/>
          <w:bCs/>
          <w:sz w:val="28"/>
          <w:szCs w:val="28"/>
        </w:rPr>
        <w:t>es esa parte la que contraviene lo dispuesto en la norma emitida por el legislador federal</w:t>
      </w:r>
      <w:r w:rsidR="001A490F">
        <w:rPr>
          <w:rFonts w:cs="Arial"/>
          <w:sz w:val="28"/>
          <w:szCs w:val="28"/>
        </w:rPr>
        <w:t xml:space="preserve">. </w:t>
      </w:r>
    </w:p>
    <w:p w14:paraId="78024713" w14:textId="77777777" w:rsidR="001A490F" w:rsidRDefault="001A490F" w:rsidP="001A490F">
      <w:pPr>
        <w:pStyle w:val="corte4fondoCar"/>
        <w:tabs>
          <w:tab w:val="left" w:pos="1843"/>
        </w:tabs>
        <w:ind w:firstLine="0"/>
        <w:rPr>
          <w:rFonts w:cs="Arial"/>
          <w:sz w:val="28"/>
          <w:szCs w:val="28"/>
        </w:rPr>
      </w:pPr>
    </w:p>
    <w:p w14:paraId="0A6D9BF1" w14:textId="58B7C99A" w:rsidR="001A490F" w:rsidRDefault="00FF291B" w:rsidP="001A490F">
      <w:pPr>
        <w:pStyle w:val="corte4fondoCar"/>
        <w:tabs>
          <w:tab w:val="left" w:pos="1843"/>
        </w:tabs>
        <w:ind w:firstLine="0"/>
        <w:rPr>
          <w:rFonts w:cs="Arial"/>
          <w:sz w:val="28"/>
          <w:szCs w:val="28"/>
        </w:rPr>
      </w:pPr>
      <w:r>
        <w:rPr>
          <w:rFonts w:cs="Arial"/>
          <w:sz w:val="28"/>
          <w:szCs w:val="28"/>
        </w:rPr>
        <w:t xml:space="preserve">Por tanto, a mi parecer, </w:t>
      </w:r>
      <w:r w:rsidR="001A490F">
        <w:rPr>
          <w:rFonts w:cs="Arial"/>
          <w:sz w:val="28"/>
          <w:szCs w:val="28"/>
        </w:rPr>
        <w:t>no se justifica la invalidez de todo el inciso d) de la fracción II del artículo 81 impugnado</w:t>
      </w:r>
      <w:r>
        <w:rPr>
          <w:rFonts w:cs="Arial"/>
          <w:sz w:val="28"/>
          <w:szCs w:val="28"/>
        </w:rPr>
        <w:t>, como lo determinó la mayoría de este Tribunal Pleno.</w:t>
      </w:r>
    </w:p>
    <w:p w14:paraId="298A1E2A" w14:textId="77777777" w:rsidR="00FF291B" w:rsidRDefault="00FF291B" w:rsidP="00FF291B">
      <w:pPr>
        <w:pStyle w:val="Prrafodelista"/>
        <w:autoSpaceDE w:val="0"/>
        <w:autoSpaceDN w:val="0"/>
        <w:adjustRightInd w:val="0"/>
        <w:spacing w:line="360" w:lineRule="auto"/>
        <w:ind w:left="0" w:right="48"/>
        <w:contextualSpacing w:val="0"/>
        <w:rPr>
          <w:rFonts w:ascii="Arial" w:eastAsia="Calibri" w:hAnsi="Arial" w:cs="Arial"/>
          <w:sz w:val="28"/>
          <w:szCs w:val="28"/>
          <w:shd w:val="clear" w:color="auto" w:fill="FFFFFF" w:themeFill="background1"/>
        </w:rPr>
      </w:pPr>
    </w:p>
    <w:p w14:paraId="7B41FEBB" w14:textId="3061F561" w:rsidR="001A490F" w:rsidRDefault="001A490F" w:rsidP="001A490F">
      <w:pPr>
        <w:pStyle w:val="corte4fondo"/>
        <w:ind w:right="49" w:firstLine="0"/>
        <w:contextualSpacing/>
        <w:rPr>
          <w:rFonts w:cs="Arial"/>
          <w:sz w:val="28"/>
          <w:szCs w:val="28"/>
        </w:rPr>
      </w:pPr>
      <w:r>
        <w:rPr>
          <w:rFonts w:cs="Arial"/>
          <w:sz w:val="28"/>
          <w:szCs w:val="28"/>
        </w:rPr>
        <w:t xml:space="preserve">Máxime, que al analizar </w:t>
      </w:r>
      <w:r w:rsidR="001E43F8">
        <w:rPr>
          <w:rFonts w:cs="Arial"/>
          <w:sz w:val="28"/>
          <w:szCs w:val="28"/>
        </w:rPr>
        <w:t xml:space="preserve">algunos </w:t>
      </w:r>
      <w:r>
        <w:rPr>
          <w:rFonts w:cs="Arial"/>
          <w:sz w:val="28"/>
          <w:szCs w:val="28"/>
        </w:rPr>
        <w:t xml:space="preserve">temas previos, se determinó </w:t>
      </w:r>
      <w:r w:rsidRPr="00152E84">
        <w:rPr>
          <w:rFonts w:cs="Arial"/>
          <w:sz w:val="28"/>
          <w:szCs w:val="28"/>
        </w:rPr>
        <w:t>que</w:t>
      </w:r>
      <w:r>
        <w:rPr>
          <w:rFonts w:cs="Arial"/>
          <w:sz w:val="28"/>
          <w:szCs w:val="28"/>
        </w:rPr>
        <w:t>,</w:t>
      </w:r>
      <w:r w:rsidRPr="00152E84">
        <w:rPr>
          <w:rFonts w:cs="Arial"/>
          <w:sz w:val="28"/>
          <w:szCs w:val="28"/>
        </w:rPr>
        <w:t xml:space="preserve"> para permitir la operación del sistema de sanciones previsto en la Ley </w:t>
      </w:r>
      <w:r w:rsidRPr="00152E84">
        <w:rPr>
          <w:rFonts w:cs="Arial"/>
          <w:sz w:val="28"/>
          <w:szCs w:val="28"/>
        </w:rPr>
        <w:lastRenderedPageBreak/>
        <w:t xml:space="preserve">General de Responsabilidades Administrativas, </w:t>
      </w:r>
      <w:r>
        <w:rPr>
          <w:rFonts w:cs="Arial"/>
          <w:sz w:val="28"/>
          <w:szCs w:val="28"/>
        </w:rPr>
        <w:t xml:space="preserve">debía </w:t>
      </w:r>
      <w:r w:rsidRPr="00152E84">
        <w:rPr>
          <w:rFonts w:cs="Arial"/>
          <w:sz w:val="28"/>
          <w:szCs w:val="28"/>
        </w:rPr>
        <w:t>mant</w:t>
      </w:r>
      <w:r>
        <w:rPr>
          <w:rFonts w:cs="Arial"/>
          <w:sz w:val="28"/>
          <w:szCs w:val="28"/>
        </w:rPr>
        <w:t xml:space="preserve">enerse </w:t>
      </w:r>
      <w:r w:rsidRPr="00152E84">
        <w:rPr>
          <w:rFonts w:cs="Arial"/>
          <w:sz w:val="28"/>
          <w:szCs w:val="28"/>
        </w:rPr>
        <w:t>en la ley local la posibilidad de</w:t>
      </w:r>
      <w:r>
        <w:rPr>
          <w:rFonts w:cs="Arial"/>
          <w:sz w:val="28"/>
          <w:szCs w:val="28"/>
        </w:rPr>
        <w:t>l tipo de sanción</w:t>
      </w:r>
      <w:r w:rsidRPr="00152E84">
        <w:rPr>
          <w:rFonts w:cs="Arial"/>
          <w:sz w:val="28"/>
          <w:szCs w:val="28"/>
        </w:rPr>
        <w:t>, en el entendido de que, para el parámetro de su aplicación, deb</w:t>
      </w:r>
      <w:r>
        <w:rPr>
          <w:rFonts w:cs="Arial"/>
          <w:sz w:val="28"/>
          <w:szCs w:val="28"/>
        </w:rPr>
        <w:t xml:space="preserve">ía </w:t>
      </w:r>
      <w:r w:rsidRPr="00152E84">
        <w:rPr>
          <w:rFonts w:cs="Arial"/>
          <w:sz w:val="28"/>
          <w:szCs w:val="28"/>
        </w:rPr>
        <w:t>estarse a lo previsto en la propia Ley General, hasta en tanto el Congreso local ajust</w:t>
      </w:r>
      <w:r>
        <w:rPr>
          <w:rFonts w:cs="Arial"/>
          <w:sz w:val="28"/>
          <w:szCs w:val="28"/>
        </w:rPr>
        <w:t xml:space="preserve">ara </w:t>
      </w:r>
      <w:r w:rsidRPr="00152E84">
        <w:rPr>
          <w:rFonts w:cs="Arial"/>
          <w:sz w:val="28"/>
          <w:szCs w:val="28"/>
        </w:rPr>
        <w:t>la ley impugnada</w:t>
      </w:r>
      <w:r>
        <w:rPr>
          <w:rFonts w:cs="Arial"/>
          <w:sz w:val="28"/>
          <w:szCs w:val="28"/>
        </w:rPr>
        <w:t>, lo que resulta</w:t>
      </w:r>
      <w:r w:rsidR="001E43F8">
        <w:rPr>
          <w:rFonts w:cs="Arial"/>
          <w:sz w:val="28"/>
          <w:szCs w:val="28"/>
        </w:rPr>
        <w:t xml:space="preserve">ba </w:t>
      </w:r>
      <w:r>
        <w:rPr>
          <w:rFonts w:cs="Arial"/>
          <w:sz w:val="28"/>
          <w:szCs w:val="28"/>
        </w:rPr>
        <w:t xml:space="preserve">aplicable en este caso en particular, pues </w:t>
      </w:r>
      <w:r w:rsidR="001E43F8">
        <w:rPr>
          <w:rFonts w:cs="Arial"/>
          <w:sz w:val="28"/>
          <w:szCs w:val="28"/>
        </w:rPr>
        <w:t xml:space="preserve">en mi opinión, </w:t>
      </w:r>
      <w:r w:rsidRPr="00287A2D">
        <w:rPr>
          <w:rFonts w:cs="Arial"/>
          <w:sz w:val="28"/>
          <w:szCs w:val="28"/>
          <w:u w:val="single"/>
        </w:rPr>
        <w:t>no existe justificación para eliminar la sanción de suspensión de actividades y su definición, en las que</w:t>
      </w:r>
      <w:r w:rsidR="001E43F8" w:rsidRPr="00287A2D">
        <w:rPr>
          <w:rFonts w:cs="Arial"/>
          <w:sz w:val="28"/>
          <w:szCs w:val="28"/>
          <w:u w:val="single"/>
        </w:rPr>
        <w:t xml:space="preserve"> </w:t>
      </w:r>
      <w:r w:rsidRPr="00287A2D">
        <w:rPr>
          <w:rFonts w:cs="Arial"/>
          <w:sz w:val="28"/>
          <w:szCs w:val="28"/>
          <w:u w:val="single"/>
        </w:rPr>
        <w:t>sí coincide con lo previsto en la Ley General</w:t>
      </w:r>
      <w:r>
        <w:rPr>
          <w:rFonts w:cs="Arial"/>
          <w:sz w:val="28"/>
          <w:szCs w:val="28"/>
        </w:rPr>
        <w:t>.</w:t>
      </w:r>
    </w:p>
    <w:p w14:paraId="50455751" w14:textId="0F339B31" w:rsidR="001E43F8" w:rsidRDefault="001E43F8" w:rsidP="001A490F">
      <w:pPr>
        <w:pStyle w:val="corte4fondo"/>
        <w:ind w:right="49" w:firstLine="0"/>
        <w:contextualSpacing/>
        <w:rPr>
          <w:rFonts w:cs="Arial"/>
          <w:sz w:val="28"/>
          <w:szCs w:val="28"/>
        </w:rPr>
      </w:pPr>
    </w:p>
    <w:p w14:paraId="18377001" w14:textId="7D7AFCCC" w:rsidR="001E43F8" w:rsidRDefault="001E43F8" w:rsidP="001E43F8">
      <w:pPr>
        <w:pStyle w:val="corte4fondoCar"/>
        <w:tabs>
          <w:tab w:val="left" w:pos="1843"/>
        </w:tabs>
        <w:ind w:firstLine="0"/>
        <w:rPr>
          <w:rFonts w:eastAsia="Calibri" w:cs="Arial"/>
          <w:sz w:val="28"/>
          <w:szCs w:val="28"/>
          <w:shd w:val="clear" w:color="auto" w:fill="FFFFFF" w:themeFill="background1"/>
        </w:rPr>
      </w:pPr>
      <w:r>
        <w:rPr>
          <w:rFonts w:eastAsia="Calibri" w:cs="Arial"/>
          <w:sz w:val="28"/>
          <w:szCs w:val="28"/>
          <w:shd w:val="clear" w:color="auto" w:fill="FFFFFF" w:themeFill="background1"/>
        </w:rPr>
        <w:t xml:space="preserve">Derivado de lo anterior, </w:t>
      </w:r>
      <w:r w:rsidRPr="005A6249">
        <w:rPr>
          <w:rFonts w:eastAsia="Calibri" w:cs="Arial"/>
          <w:b/>
          <w:bCs/>
          <w:sz w:val="28"/>
          <w:szCs w:val="28"/>
          <w:shd w:val="clear" w:color="auto" w:fill="FFFFFF" w:themeFill="background1"/>
        </w:rPr>
        <w:t xml:space="preserve">tampoco </w:t>
      </w:r>
      <w:r w:rsidR="005A6249" w:rsidRPr="005A6249">
        <w:rPr>
          <w:rFonts w:eastAsia="Calibri" w:cs="Arial"/>
          <w:b/>
          <w:bCs/>
          <w:sz w:val="28"/>
          <w:szCs w:val="28"/>
          <w:shd w:val="clear" w:color="auto" w:fill="FFFFFF" w:themeFill="background1"/>
        </w:rPr>
        <w:t>comparto</w:t>
      </w:r>
      <w:r w:rsidR="005A6249">
        <w:rPr>
          <w:rFonts w:eastAsia="Calibri" w:cs="Arial"/>
          <w:sz w:val="28"/>
          <w:szCs w:val="28"/>
          <w:shd w:val="clear" w:color="auto" w:fill="FFFFFF" w:themeFill="background1"/>
        </w:rPr>
        <w:t xml:space="preserve"> </w:t>
      </w:r>
      <w:r>
        <w:rPr>
          <w:rFonts w:eastAsia="Calibri" w:cs="Arial"/>
          <w:sz w:val="28"/>
          <w:szCs w:val="28"/>
          <w:shd w:val="clear" w:color="auto" w:fill="FFFFFF" w:themeFill="background1"/>
        </w:rPr>
        <w:t xml:space="preserve">que, en el </w:t>
      </w:r>
      <w:r w:rsidRPr="00FF291B">
        <w:rPr>
          <w:rFonts w:eastAsia="Calibri" w:cs="Arial"/>
          <w:sz w:val="28"/>
          <w:szCs w:val="28"/>
          <w:shd w:val="clear" w:color="auto" w:fill="FFFFFF" w:themeFill="background1"/>
        </w:rPr>
        <w:t>Considerando Décimo</w:t>
      </w:r>
      <w:r>
        <w:rPr>
          <w:rFonts w:eastAsia="Calibri" w:cs="Arial"/>
          <w:sz w:val="28"/>
          <w:szCs w:val="28"/>
          <w:shd w:val="clear" w:color="auto" w:fill="FFFFFF" w:themeFill="background1"/>
        </w:rPr>
        <w:t>, relativo al</w:t>
      </w:r>
      <w:r w:rsidRPr="00FF291B">
        <w:rPr>
          <w:rFonts w:eastAsia="Calibri" w:cs="Arial"/>
          <w:sz w:val="28"/>
          <w:szCs w:val="28"/>
          <w:shd w:val="clear" w:color="auto" w:fill="FFFFFF" w:themeFill="background1"/>
        </w:rPr>
        <w:t xml:space="preserve"> </w:t>
      </w:r>
      <w:r>
        <w:rPr>
          <w:rFonts w:eastAsia="Calibri" w:cs="Arial"/>
          <w:sz w:val="28"/>
          <w:szCs w:val="28"/>
          <w:shd w:val="clear" w:color="auto" w:fill="FFFFFF" w:themeFill="background1"/>
        </w:rPr>
        <w:t>e</w:t>
      </w:r>
      <w:r w:rsidRPr="00FF291B">
        <w:rPr>
          <w:rFonts w:eastAsia="Calibri" w:cs="Arial"/>
          <w:sz w:val="28"/>
          <w:szCs w:val="28"/>
          <w:shd w:val="clear" w:color="auto" w:fill="FFFFFF" w:themeFill="background1"/>
        </w:rPr>
        <w:t>studio de fondo de la cuestión D. [inhabilitación definitiva, suspensión y disolución de las sociedades sancionadas]</w:t>
      </w:r>
      <w:r>
        <w:rPr>
          <w:rFonts w:eastAsia="Calibri" w:cs="Arial"/>
          <w:sz w:val="28"/>
          <w:szCs w:val="28"/>
          <w:shd w:val="clear" w:color="auto" w:fill="FFFFFF" w:themeFill="background1"/>
        </w:rPr>
        <w:t xml:space="preserve"> </w:t>
      </w:r>
      <w:r w:rsidRPr="005A6249">
        <w:rPr>
          <w:rFonts w:eastAsia="Calibri" w:cs="Arial"/>
          <w:sz w:val="28"/>
          <w:szCs w:val="28"/>
          <w:u w:val="single"/>
          <w:shd w:val="clear" w:color="auto" w:fill="FFFFFF" w:themeFill="background1"/>
        </w:rPr>
        <w:t>se estableciera que ante la invalidez de la sanción de “suspensión de actividades”</w:t>
      </w:r>
      <w:r w:rsidRPr="000B3A5C">
        <w:rPr>
          <w:rFonts w:eastAsia="Calibri" w:cs="Arial"/>
          <w:sz w:val="28"/>
          <w:szCs w:val="28"/>
          <w:shd w:val="clear" w:color="auto" w:fill="FFFFFF" w:themeFill="background1"/>
        </w:rPr>
        <w:t xml:space="preserve"> prevista en el artículo 81, fracción II, inciso d)</w:t>
      </w:r>
      <w:r>
        <w:rPr>
          <w:rFonts w:eastAsia="Calibri" w:cs="Arial"/>
          <w:sz w:val="28"/>
          <w:szCs w:val="28"/>
          <w:shd w:val="clear" w:color="auto" w:fill="FFFFFF" w:themeFill="background1"/>
        </w:rPr>
        <w:t xml:space="preserve"> ─decretada </w:t>
      </w:r>
      <w:r w:rsidRPr="000B3A5C">
        <w:rPr>
          <w:rFonts w:eastAsia="Calibri" w:cs="Arial"/>
          <w:sz w:val="28"/>
          <w:szCs w:val="28"/>
          <w:shd w:val="clear" w:color="auto" w:fill="FFFFFF" w:themeFill="background1"/>
        </w:rPr>
        <w:t>en el tema 16 de la cuestión B</w:t>
      </w:r>
      <w:r>
        <w:rPr>
          <w:rFonts w:eastAsia="Calibri" w:cs="Arial"/>
          <w:sz w:val="28"/>
          <w:szCs w:val="28"/>
          <w:shd w:val="clear" w:color="auto" w:fill="FFFFFF" w:themeFill="background1"/>
        </w:rPr>
        <w:t xml:space="preserve">─ </w:t>
      </w:r>
      <w:r w:rsidRPr="005A6249">
        <w:rPr>
          <w:rFonts w:eastAsia="Calibri" w:cs="Arial"/>
          <w:sz w:val="28"/>
          <w:szCs w:val="28"/>
          <w:u w:val="single"/>
          <w:shd w:val="clear" w:color="auto" w:fill="FFFFFF" w:themeFill="background1"/>
        </w:rPr>
        <w:t>resultaba innecesario el estudio de los diversos argumentos que se enderezaban en contra de la sanción de suspensión de actividades, en cuanto a que se trata de una sanción desproporcionada, excesiva e inusitada, así como que vulnera la libertad de trabajo</w:t>
      </w:r>
      <w:r>
        <w:rPr>
          <w:rFonts w:eastAsia="Calibri" w:cs="Arial"/>
          <w:sz w:val="28"/>
          <w:szCs w:val="28"/>
          <w:shd w:val="clear" w:color="auto" w:fill="FFFFFF" w:themeFill="background1"/>
        </w:rPr>
        <w:t xml:space="preserve">, pues </w:t>
      </w:r>
      <w:r w:rsidR="00A17596">
        <w:rPr>
          <w:rFonts w:eastAsia="Calibri" w:cs="Arial"/>
          <w:sz w:val="28"/>
          <w:szCs w:val="28"/>
          <w:shd w:val="clear" w:color="auto" w:fill="FFFFFF" w:themeFill="background1"/>
        </w:rPr>
        <w:t>bajo</w:t>
      </w:r>
      <w:r>
        <w:rPr>
          <w:rFonts w:eastAsia="Calibri" w:cs="Arial"/>
          <w:sz w:val="28"/>
          <w:szCs w:val="28"/>
          <w:shd w:val="clear" w:color="auto" w:fill="FFFFFF" w:themeFill="background1"/>
        </w:rPr>
        <w:t xml:space="preserve"> mi perspectiva, </w:t>
      </w:r>
      <w:r w:rsidR="00A17596" w:rsidRPr="005A6249">
        <w:rPr>
          <w:rFonts w:eastAsia="Calibri" w:cs="Arial"/>
          <w:b/>
          <w:bCs/>
          <w:sz w:val="28"/>
          <w:szCs w:val="28"/>
          <w:shd w:val="clear" w:color="auto" w:fill="FFFFFF" w:themeFill="background1"/>
        </w:rPr>
        <w:t>debió darse respuesta a tales planteamientos</w:t>
      </w:r>
      <w:r w:rsidR="00A17596">
        <w:rPr>
          <w:rFonts w:eastAsia="Calibri" w:cs="Arial"/>
          <w:sz w:val="28"/>
          <w:szCs w:val="28"/>
          <w:shd w:val="clear" w:color="auto" w:fill="FFFFFF" w:themeFill="background1"/>
        </w:rPr>
        <w:t xml:space="preserve">. </w:t>
      </w:r>
    </w:p>
    <w:p w14:paraId="13F97D75" w14:textId="77777777" w:rsidR="001E43F8" w:rsidRDefault="001E43F8" w:rsidP="00CA10ED">
      <w:pPr>
        <w:spacing w:line="360" w:lineRule="auto"/>
        <w:jc w:val="both"/>
        <w:rPr>
          <w:rFonts w:ascii="Arial" w:eastAsiaTheme="minorHAnsi" w:hAnsi="Arial" w:cs="Arial"/>
          <w:sz w:val="28"/>
          <w:szCs w:val="28"/>
          <w:lang w:val="es-MX" w:eastAsia="en-US"/>
        </w:rPr>
      </w:pPr>
    </w:p>
    <w:p w14:paraId="70CB8339" w14:textId="1AA2EE0D" w:rsidR="001E43F8" w:rsidRPr="00015762" w:rsidRDefault="001E43F8" w:rsidP="001E43F8">
      <w:pPr>
        <w:pStyle w:val="Estilo"/>
        <w:spacing w:line="360" w:lineRule="auto"/>
        <w:rPr>
          <w:rFonts w:cs="Arial"/>
          <w:sz w:val="28"/>
          <w:szCs w:val="28"/>
        </w:rPr>
      </w:pPr>
      <w:r w:rsidRPr="00015762">
        <w:rPr>
          <w:rFonts w:cs="Arial"/>
          <w:sz w:val="28"/>
          <w:szCs w:val="28"/>
        </w:rPr>
        <w:t>Consecuentemente, con base en las consideraciones antes referidas, me permito disentir del criterio mayoritario y formular el presente voto.</w:t>
      </w:r>
    </w:p>
    <w:p w14:paraId="2F2B1524" w14:textId="5E918863" w:rsidR="00CA10ED" w:rsidRPr="001A490F" w:rsidRDefault="00CA10ED" w:rsidP="00CA10ED">
      <w:pPr>
        <w:spacing w:line="360" w:lineRule="auto"/>
        <w:jc w:val="both"/>
        <w:rPr>
          <w:rFonts w:ascii="Arial" w:eastAsiaTheme="minorHAnsi" w:hAnsi="Arial" w:cs="Arial"/>
          <w:sz w:val="28"/>
          <w:szCs w:val="28"/>
          <w:lang w:val="es-MX" w:eastAsia="en-US"/>
        </w:rPr>
      </w:pPr>
    </w:p>
    <w:p w14:paraId="102A145C" w14:textId="77777777" w:rsidR="00821583" w:rsidRPr="001A490F" w:rsidRDefault="00821583" w:rsidP="00CA10ED">
      <w:pPr>
        <w:spacing w:line="360" w:lineRule="auto"/>
        <w:jc w:val="both"/>
        <w:rPr>
          <w:rFonts w:ascii="Arial" w:eastAsiaTheme="minorHAnsi" w:hAnsi="Arial" w:cs="Arial"/>
          <w:sz w:val="28"/>
          <w:szCs w:val="28"/>
          <w:lang w:val="es-MX" w:eastAsia="en-US"/>
        </w:rPr>
      </w:pPr>
    </w:p>
    <w:p w14:paraId="16A5CCEB" w14:textId="77777777" w:rsidR="00CB36F1" w:rsidRPr="001A490F" w:rsidRDefault="00CB36F1" w:rsidP="00CB36F1">
      <w:pPr>
        <w:pStyle w:val="TEXTONORMAL"/>
        <w:jc w:val="center"/>
        <w:rPr>
          <w:b/>
          <w:bCs/>
        </w:rPr>
      </w:pPr>
      <w:r w:rsidRPr="001A490F">
        <w:rPr>
          <w:b/>
          <w:bCs/>
        </w:rPr>
        <w:t>MINISTRO</w:t>
      </w:r>
    </w:p>
    <w:p w14:paraId="71B3195A" w14:textId="77777777" w:rsidR="00CB36F1" w:rsidRPr="001A490F" w:rsidRDefault="00CB36F1" w:rsidP="00821583">
      <w:pPr>
        <w:pStyle w:val="TEXTONORMAL"/>
        <w:jc w:val="center"/>
        <w:rPr>
          <w:b/>
          <w:bCs/>
        </w:rPr>
      </w:pPr>
    </w:p>
    <w:p w14:paraId="064A4D53" w14:textId="77777777" w:rsidR="00CB36F1" w:rsidRPr="001A490F" w:rsidRDefault="00CB36F1" w:rsidP="00821583">
      <w:pPr>
        <w:pStyle w:val="TEXTONORMAL"/>
        <w:jc w:val="center"/>
        <w:rPr>
          <w:b/>
          <w:bCs/>
        </w:rPr>
      </w:pPr>
    </w:p>
    <w:p w14:paraId="6B8527DD" w14:textId="77777777" w:rsidR="00CB36F1" w:rsidRPr="001A490F" w:rsidRDefault="00CB36F1" w:rsidP="00CB36F1">
      <w:pPr>
        <w:pStyle w:val="TEXTONORMAL"/>
        <w:jc w:val="center"/>
        <w:rPr>
          <w:b/>
          <w:bCs/>
        </w:rPr>
      </w:pPr>
      <w:r w:rsidRPr="001A490F">
        <w:rPr>
          <w:b/>
          <w:bCs/>
        </w:rPr>
        <w:t>LUIS MARÍA AGUILAR MORALES</w:t>
      </w:r>
    </w:p>
    <w:p w14:paraId="513578C8" w14:textId="3F9600BE" w:rsidR="007467EC" w:rsidRPr="001A490F" w:rsidRDefault="007467EC" w:rsidP="005A6249">
      <w:pPr>
        <w:pStyle w:val="TEXTONORMAL"/>
        <w:tabs>
          <w:tab w:val="left" w:pos="6060"/>
        </w:tabs>
        <w:ind w:firstLine="0"/>
        <w:jc w:val="right"/>
        <w:rPr>
          <w:rFonts w:asciiTheme="majorHAnsi" w:hAnsiTheme="majorHAnsi" w:cstheme="majorHAnsi"/>
          <w:i/>
          <w:iCs/>
        </w:rPr>
      </w:pPr>
      <w:r w:rsidRPr="001A490F">
        <w:rPr>
          <w:rFonts w:asciiTheme="majorHAnsi" w:hAnsiTheme="majorHAnsi" w:cstheme="majorHAnsi"/>
          <w:i/>
          <w:iCs/>
        </w:rPr>
        <w:t>MCVO/SVJ</w:t>
      </w:r>
    </w:p>
    <w:sectPr w:rsidR="007467EC" w:rsidRPr="001A490F" w:rsidSect="003D06CA">
      <w:headerReference w:type="even" r:id="rId6"/>
      <w:headerReference w:type="default" r:id="rId7"/>
      <w:footerReference w:type="even" r:id="rId8"/>
      <w:footerReference w:type="default" r:id="rId9"/>
      <w:headerReference w:type="first" r:id="rId10"/>
      <w:pgSz w:w="12242" w:h="19442" w:code="10001"/>
      <w:pgMar w:top="2268" w:right="1701" w:bottom="1701" w:left="1701" w:header="1134" w:footer="7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4F3A" w14:textId="77777777" w:rsidR="00FD58BC" w:rsidRDefault="00FD58BC" w:rsidP="00253879">
      <w:r>
        <w:separator/>
      </w:r>
    </w:p>
  </w:endnote>
  <w:endnote w:type="continuationSeparator" w:id="0">
    <w:p w14:paraId="4EA93E4B" w14:textId="77777777" w:rsidR="00FD58BC" w:rsidRDefault="00FD58BC" w:rsidP="0025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6"/>
        <w:szCs w:val="26"/>
      </w:rPr>
      <w:id w:val="883529167"/>
      <w:docPartObj>
        <w:docPartGallery w:val="Page Numbers (Bottom of Page)"/>
        <w:docPartUnique/>
      </w:docPartObj>
    </w:sdtPr>
    <w:sdtEndPr>
      <w:rPr>
        <w:b/>
      </w:rPr>
    </w:sdtEndPr>
    <w:sdtContent>
      <w:p w14:paraId="67473263" w14:textId="77777777" w:rsidR="00B55D14" w:rsidRPr="003D06CA" w:rsidRDefault="00A4521F" w:rsidP="003D06CA">
        <w:pPr>
          <w:pStyle w:val="Piedepgina"/>
          <w:jc w:val="center"/>
          <w:rPr>
            <w:rFonts w:ascii="Arial" w:hAnsi="Arial" w:cs="Arial"/>
            <w:b/>
            <w:sz w:val="26"/>
            <w:szCs w:val="26"/>
          </w:rPr>
        </w:pPr>
        <w:r w:rsidRPr="003D06CA">
          <w:rPr>
            <w:rFonts w:ascii="Arial" w:hAnsi="Arial" w:cs="Arial"/>
            <w:b/>
            <w:sz w:val="26"/>
            <w:szCs w:val="26"/>
          </w:rPr>
          <w:fldChar w:fldCharType="begin"/>
        </w:r>
        <w:r w:rsidRPr="003D06CA">
          <w:rPr>
            <w:rFonts w:ascii="Arial" w:hAnsi="Arial" w:cs="Arial"/>
            <w:b/>
            <w:sz w:val="26"/>
            <w:szCs w:val="26"/>
          </w:rPr>
          <w:instrText>PAGE   \* MERGEFORMAT</w:instrText>
        </w:r>
        <w:r w:rsidRPr="003D06CA">
          <w:rPr>
            <w:rFonts w:ascii="Arial" w:hAnsi="Arial" w:cs="Arial"/>
            <w:b/>
            <w:sz w:val="26"/>
            <w:szCs w:val="26"/>
          </w:rPr>
          <w:fldChar w:fldCharType="separate"/>
        </w:r>
        <w:r w:rsidR="00E42A05" w:rsidRPr="00E42A05">
          <w:rPr>
            <w:rFonts w:ascii="Arial" w:hAnsi="Arial" w:cs="Arial"/>
            <w:b/>
            <w:noProof/>
            <w:sz w:val="26"/>
            <w:szCs w:val="26"/>
            <w:lang w:val="es-ES"/>
          </w:rPr>
          <w:t>2</w:t>
        </w:r>
        <w:r w:rsidRPr="003D06CA">
          <w:rPr>
            <w:rFonts w:ascii="Arial" w:hAnsi="Arial" w:cs="Arial"/>
            <w:b/>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53667"/>
      <w:docPartObj>
        <w:docPartGallery w:val="Page Numbers (Bottom of Page)"/>
        <w:docPartUnique/>
      </w:docPartObj>
    </w:sdtPr>
    <w:sdtEndPr>
      <w:rPr>
        <w:rFonts w:ascii="Arial" w:hAnsi="Arial" w:cs="Arial"/>
        <w:b/>
        <w:bCs/>
        <w:sz w:val="26"/>
        <w:szCs w:val="26"/>
      </w:rPr>
    </w:sdtEndPr>
    <w:sdtContent>
      <w:p w14:paraId="4CA966C6" w14:textId="77777777" w:rsidR="00B55D14" w:rsidRPr="003D06CA" w:rsidRDefault="00A4521F" w:rsidP="003D06CA">
        <w:pPr>
          <w:pStyle w:val="Piedepgina"/>
          <w:jc w:val="center"/>
          <w:rPr>
            <w:rFonts w:ascii="Arial" w:hAnsi="Arial" w:cs="Arial"/>
            <w:b/>
            <w:bCs/>
            <w:sz w:val="26"/>
            <w:szCs w:val="26"/>
          </w:rPr>
        </w:pPr>
        <w:r w:rsidRPr="003D06CA">
          <w:rPr>
            <w:rFonts w:ascii="Arial" w:hAnsi="Arial" w:cs="Arial"/>
            <w:b/>
            <w:bCs/>
            <w:sz w:val="26"/>
            <w:szCs w:val="26"/>
          </w:rPr>
          <w:fldChar w:fldCharType="begin"/>
        </w:r>
        <w:r w:rsidRPr="003D06CA">
          <w:rPr>
            <w:rFonts w:ascii="Arial" w:hAnsi="Arial" w:cs="Arial"/>
            <w:b/>
            <w:bCs/>
            <w:sz w:val="26"/>
            <w:szCs w:val="26"/>
          </w:rPr>
          <w:instrText>PAGE   \* MERGEFORMAT</w:instrText>
        </w:r>
        <w:r w:rsidRPr="003D06CA">
          <w:rPr>
            <w:rFonts w:ascii="Arial" w:hAnsi="Arial" w:cs="Arial"/>
            <w:b/>
            <w:bCs/>
            <w:sz w:val="26"/>
            <w:szCs w:val="26"/>
          </w:rPr>
          <w:fldChar w:fldCharType="separate"/>
        </w:r>
        <w:r w:rsidR="00E42A05" w:rsidRPr="00E42A05">
          <w:rPr>
            <w:rFonts w:ascii="Arial" w:hAnsi="Arial" w:cs="Arial"/>
            <w:b/>
            <w:bCs/>
            <w:noProof/>
            <w:sz w:val="26"/>
            <w:szCs w:val="26"/>
            <w:lang w:val="es-ES"/>
          </w:rPr>
          <w:t>3</w:t>
        </w:r>
        <w:r w:rsidRPr="003D06CA">
          <w:rPr>
            <w:rFonts w:ascii="Arial" w:hAnsi="Arial" w:cs="Arial"/>
            <w:b/>
            <w:bCs/>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9BFB" w14:textId="77777777" w:rsidR="00FD58BC" w:rsidRDefault="00FD58BC" w:rsidP="00253879">
      <w:r>
        <w:separator/>
      </w:r>
    </w:p>
  </w:footnote>
  <w:footnote w:type="continuationSeparator" w:id="0">
    <w:p w14:paraId="1237BFE8" w14:textId="77777777" w:rsidR="00FD58BC" w:rsidRDefault="00FD58BC" w:rsidP="00253879">
      <w:r>
        <w:continuationSeparator/>
      </w:r>
    </w:p>
  </w:footnote>
  <w:footnote w:id="1">
    <w:p w14:paraId="0E83A9BD" w14:textId="383EE4CE" w:rsidR="00366868" w:rsidRPr="00116D13" w:rsidRDefault="00366868" w:rsidP="00195E12">
      <w:pPr>
        <w:spacing w:before="100" w:beforeAutospacing="1"/>
        <w:ind w:left="142" w:hanging="142"/>
        <w:jc w:val="both"/>
        <w:rPr>
          <w:rFonts w:ascii="Arial" w:hAnsi="Arial" w:cs="Arial"/>
          <w:sz w:val="22"/>
          <w:szCs w:val="22"/>
          <w:lang w:eastAsia="es-ES"/>
        </w:rPr>
      </w:pPr>
      <w:r w:rsidRPr="00116D13">
        <w:rPr>
          <w:rStyle w:val="Refdenotaalpie"/>
          <w:rFonts w:ascii="Arial" w:hAnsi="Arial" w:cs="Arial"/>
          <w:sz w:val="22"/>
          <w:szCs w:val="22"/>
        </w:rPr>
        <w:footnoteRef/>
      </w:r>
      <w:r w:rsidRPr="00116D13">
        <w:rPr>
          <w:rFonts w:ascii="Arial" w:hAnsi="Arial" w:cs="Arial"/>
          <w:sz w:val="22"/>
          <w:szCs w:val="22"/>
        </w:rPr>
        <w:t xml:space="preserve"> </w:t>
      </w:r>
      <w:r>
        <w:rPr>
          <w:rFonts w:ascii="Arial" w:hAnsi="Arial" w:cs="Arial"/>
          <w:sz w:val="22"/>
          <w:szCs w:val="22"/>
        </w:rPr>
        <w:t>Conformada por</w:t>
      </w:r>
      <w:r w:rsidRPr="00116D13">
        <w:rPr>
          <w:rFonts w:ascii="Arial" w:hAnsi="Arial" w:cs="Arial"/>
          <w:sz w:val="22"/>
          <w:szCs w:val="22"/>
          <w:lang w:eastAsia="es-ES"/>
        </w:rPr>
        <w:t xml:space="preserve"> los </w:t>
      </w:r>
      <w:proofErr w:type="gramStart"/>
      <w:r w:rsidRPr="00116D13">
        <w:rPr>
          <w:rFonts w:ascii="Arial" w:hAnsi="Arial" w:cs="Arial"/>
          <w:sz w:val="22"/>
          <w:szCs w:val="22"/>
          <w:lang w:eastAsia="es-ES"/>
        </w:rPr>
        <w:t>Ministros</w:t>
      </w:r>
      <w:proofErr w:type="gramEnd"/>
      <w:r w:rsidRPr="00116D13">
        <w:rPr>
          <w:rFonts w:ascii="Arial" w:hAnsi="Arial" w:cs="Arial"/>
          <w:sz w:val="22"/>
          <w:szCs w:val="22"/>
          <w:lang w:eastAsia="es-ES"/>
        </w:rPr>
        <w:t xml:space="preserve"> </w:t>
      </w:r>
      <w:r w:rsidR="00195E12">
        <w:rPr>
          <w:rFonts w:ascii="Arial" w:hAnsi="Arial" w:cs="Arial"/>
          <w:sz w:val="22"/>
          <w:szCs w:val="22"/>
          <w:lang w:eastAsia="es-ES"/>
        </w:rPr>
        <w:t xml:space="preserve">y Ministras </w:t>
      </w:r>
      <w:r w:rsidR="00195E12" w:rsidRPr="00195E12">
        <w:rPr>
          <w:rFonts w:ascii="Arial" w:hAnsi="Arial" w:cs="Arial"/>
          <w:sz w:val="22"/>
          <w:szCs w:val="22"/>
          <w:lang w:eastAsia="es-ES"/>
        </w:rPr>
        <w:t>Gutiérrez Ortiz Mena, González Alcántara</w:t>
      </w:r>
      <w:r w:rsidR="00195E12">
        <w:rPr>
          <w:rFonts w:ascii="Arial" w:hAnsi="Arial" w:cs="Arial"/>
          <w:sz w:val="22"/>
          <w:szCs w:val="22"/>
          <w:lang w:eastAsia="es-ES"/>
        </w:rPr>
        <w:t xml:space="preserve"> </w:t>
      </w:r>
      <w:r w:rsidR="00195E12" w:rsidRPr="00195E12">
        <w:rPr>
          <w:rFonts w:ascii="Arial" w:hAnsi="Arial" w:cs="Arial"/>
          <w:sz w:val="22"/>
          <w:szCs w:val="22"/>
          <w:lang w:eastAsia="es-ES"/>
        </w:rPr>
        <w:t>Carrancá apartándose de algunas consideraciones, Esquivel Mossa,</w:t>
      </w:r>
      <w:r w:rsidR="00195E12">
        <w:rPr>
          <w:rFonts w:ascii="Arial" w:hAnsi="Arial" w:cs="Arial"/>
          <w:sz w:val="22"/>
          <w:szCs w:val="22"/>
          <w:lang w:eastAsia="es-ES"/>
        </w:rPr>
        <w:t xml:space="preserve"> </w:t>
      </w:r>
      <w:r w:rsidR="00195E12" w:rsidRPr="00195E12">
        <w:rPr>
          <w:rFonts w:ascii="Arial" w:hAnsi="Arial" w:cs="Arial"/>
          <w:sz w:val="22"/>
          <w:szCs w:val="22"/>
          <w:lang w:eastAsia="es-ES"/>
        </w:rPr>
        <w:t>Franco González Salas, Pardo Rebolledo, Piña Hernández en contra</w:t>
      </w:r>
      <w:r w:rsidR="00195E12">
        <w:rPr>
          <w:rFonts w:ascii="Arial" w:hAnsi="Arial" w:cs="Arial"/>
          <w:sz w:val="22"/>
          <w:szCs w:val="22"/>
          <w:lang w:eastAsia="es-ES"/>
        </w:rPr>
        <w:t xml:space="preserve"> </w:t>
      </w:r>
      <w:r w:rsidR="00195E12" w:rsidRPr="00195E12">
        <w:rPr>
          <w:rFonts w:ascii="Arial" w:hAnsi="Arial" w:cs="Arial"/>
          <w:sz w:val="22"/>
          <w:szCs w:val="22"/>
          <w:lang w:eastAsia="es-ES"/>
        </w:rPr>
        <w:t>del parámetro de regularidad constitucional, Ríos Farjat, Laynez</w:t>
      </w:r>
      <w:r w:rsidR="00195E12">
        <w:rPr>
          <w:rFonts w:ascii="Arial" w:hAnsi="Arial" w:cs="Arial"/>
          <w:sz w:val="22"/>
          <w:szCs w:val="22"/>
          <w:lang w:eastAsia="es-ES"/>
        </w:rPr>
        <w:t xml:space="preserve"> </w:t>
      </w:r>
      <w:r w:rsidR="00195E12" w:rsidRPr="00195E12">
        <w:rPr>
          <w:rFonts w:ascii="Arial" w:hAnsi="Arial" w:cs="Arial"/>
          <w:sz w:val="22"/>
          <w:szCs w:val="22"/>
          <w:lang w:eastAsia="es-ES"/>
        </w:rPr>
        <w:t>Potisek en contra de la metodología, Pérez Dayán y Presidente</w:t>
      </w:r>
      <w:r w:rsidR="00195E12">
        <w:rPr>
          <w:rFonts w:ascii="Arial" w:hAnsi="Arial" w:cs="Arial"/>
          <w:sz w:val="22"/>
          <w:szCs w:val="22"/>
          <w:lang w:eastAsia="es-ES"/>
        </w:rPr>
        <w:t xml:space="preserve"> </w:t>
      </w:r>
      <w:r w:rsidR="00195E12" w:rsidRPr="00195E12">
        <w:rPr>
          <w:rFonts w:ascii="Arial" w:hAnsi="Arial" w:cs="Arial"/>
          <w:sz w:val="22"/>
          <w:szCs w:val="22"/>
          <w:lang w:eastAsia="es-ES"/>
        </w:rPr>
        <w:t>Zaldívar Lelo de Larrea</w:t>
      </w:r>
      <w:r w:rsidRPr="00116D13">
        <w:rPr>
          <w:rFonts w:ascii="Arial" w:hAnsi="Arial" w:cs="Arial"/>
          <w:sz w:val="22"/>
          <w:szCs w:val="22"/>
          <w:lang w:eastAsia="es-ES"/>
        </w:rPr>
        <w:t xml:space="preserve">. </w:t>
      </w:r>
      <w:r w:rsidR="00195E12">
        <w:rPr>
          <w:rFonts w:ascii="Arial" w:hAnsi="Arial" w:cs="Arial"/>
          <w:sz w:val="22"/>
          <w:szCs w:val="22"/>
          <w:lang w:eastAsia="es-ES"/>
        </w:rPr>
        <w:t>Con voto e</w:t>
      </w:r>
      <w:r w:rsidRPr="00116D13">
        <w:rPr>
          <w:rFonts w:ascii="Arial" w:hAnsi="Arial" w:cs="Arial"/>
          <w:sz w:val="22"/>
          <w:szCs w:val="22"/>
          <w:lang w:eastAsia="es-ES"/>
        </w:rPr>
        <w:t>n contra</w:t>
      </w:r>
      <w:r w:rsidR="00195E12">
        <w:rPr>
          <w:rFonts w:ascii="Arial" w:hAnsi="Arial" w:cs="Arial"/>
          <w:sz w:val="22"/>
          <w:szCs w:val="22"/>
          <w:lang w:eastAsia="es-ES"/>
        </w:rPr>
        <w:t xml:space="preserve"> de mi parte</w:t>
      </w:r>
      <w:r w:rsidRPr="00116D13">
        <w:rPr>
          <w:rFonts w:ascii="Arial" w:hAnsi="Arial" w:cs="Arial"/>
          <w:sz w:val="22"/>
          <w:szCs w:val="22"/>
          <w:lang w:eastAsia="es-ES"/>
        </w:rPr>
        <w:t>.</w:t>
      </w:r>
    </w:p>
    <w:p w14:paraId="6C137F5D" w14:textId="77777777" w:rsidR="00366868" w:rsidRPr="00116D13" w:rsidRDefault="00366868" w:rsidP="00366868">
      <w:pPr>
        <w:pStyle w:val="Textonotapie"/>
        <w:rPr>
          <w:rFonts w:ascii="Arial" w:hAnsi="Arial" w:cs="Arial"/>
          <w:sz w:val="22"/>
          <w:szCs w:val="22"/>
          <w:lang w:val="es-MX"/>
        </w:rPr>
      </w:pPr>
    </w:p>
  </w:footnote>
  <w:footnote w:id="2">
    <w:p w14:paraId="40AE63EB" w14:textId="7D3C0788" w:rsidR="003457B2" w:rsidRDefault="003457B2" w:rsidP="003457B2">
      <w:pPr>
        <w:ind w:left="142" w:hanging="142"/>
        <w:jc w:val="both"/>
        <w:rPr>
          <w:rFonts w:ascii="Arial" w:hAnsi="Arial" w:cs="Arial"/>
          <w:sz w:val="22"/>
          <w:szCs w:val="22"/>
        </w:rPr>
      </w:pPr>
      <w:r w:rsidRPr="00116D13">
        <w:rPr>
          <w:rStyle w:val="Refdenotaalpie"/>
          <w:rFonts w:ascii="Arial" w:hAnsi="Arial" w:cs="Arial"/>
          <w:sz w:val="22"/>
          <w:szCs w:val="22"/>
        </w:rPr>
        <w:footnoteRef/>
      </w:r>
      <w:r w:rsidRPr="00116D13">
        <w:rPr>
          <w:rFonts w:ascii="Arial" w:hAnsi="Arial" w:cs="Arial"/>
          <w:sz w:val="22"/>
          <w:szCs w:val="22"/>
        </w:rPr>
        <w:t xml:space="preserve"> </w:t>
      </w:r>
      <w:r w:rsidRPr="00FF291B">
        <w:rPr>
          <w:rFonts w:ascii="Arial" w:hAnsi="Arial" w:cs="Arial"/>
          <w:b/>
          <w:bCs/>
          <w:sz w:val="22"/>
          <w:szCs w:val="22"/>
        </w:rPr>
        <w:t>Artículo 81</w:t>
      </w:r>
      <w:r w:rsidRPr="003457B2">
        <w:rPr>
          <w:rFonts w:ascii="Arial" w:hAnsi="Arial" w:cs="Arial"/>
          <w:sz w:val="22"/>
          <w:szCs w:val="22"/>
        </w:rPr>
        <w:t>. Las sanciones administrativas</w:t>
      </w:r>
      <w:r>
        <w:rPr>
          <w:rFonts w:ascii="Arial" w:hAnsi="Arial" w:cs="Arial"/>
          <w:sz w:val="22"/>
          <w:szCs w:val="22"/>
        </w:rPr>
        <w:t xml:space="preserve"> </w:t>
      </w:r>
      <w:r w:rsidRPr="003457B2">
        <w:rPr>
          <w:rFonts w:ascii="Arial" w:hAnsi="Arial" w:cs="Arial"/>
          <w:sz w:val="22"/>
          <w:szCs w:val="22"/>
        </w:rPr>
        <w:t>que deban imponerse por Faltas de</w:t>
      </w:r>
      <w:r>
        <w:rPr>
          <w:rFonts w:ascii="Arial" w:hAnsi="Arial" w:cs="Arial"/>
          <w:sz w:val="22"/>
          <w:szCs w:val="22"/>
        </w:rPr>
        <w:t xml:space="preserve"> </w:t>
      </w:r>
      <w:r w:rsidRPr="003457B2">
        <w:rPr>
          <w:rFonts w:ascii="Arial" w:hAnsi="Arial" w:cs="Arial"/>
          <w:sz w:val="22"/>
          <w:szCs w:val="22"/>
        </w:rPr>
        <w:t>particulares por comisión de alguna de las</w:t>
      </w:r>
      <w:r>
        <w:rPr>
          <w:rFonts w:ascii="Arial" w:hAnsi="Arial" w:cs="Arial"/>
          <w:sz w:val="22"/>
          <w:szCs w:val="22"/>
        </w:rPr>
        <w:t xml:space="preserve"> </w:t>
      </w:r>
      <w:r w:rsidRPr="003457B2">
        <w:rPr>
          <w:rFonts w:ascii="Arial" w:hAnsi="Arial" w:cs="Arial"/>
          <w:sz w:val="22"/>
          <w:szCs w:val="22"/>
        </w:rPr>
        <w:t>conductas previstas en los Capítulos III y IV</w:t>
      </w:r>
      <w:r>
        <w:rPr>
          <w:rFonts w:ascii="Arial" w:hAnsi="Arial" w:cs="Arial"/>
          <w:sz w:val="22"/>
          <w:szCs w:val="22"/>
        </w:rPr>
        <w:t xml:space="preserve"> </w:t>
      </w:r>
      <w:r w:rsidRPr="003457B2">
        <w:rPr>
          <w:rFonts w:ascii="Arial" w:hAnsi="Arial" w:cs="Arial"/>
          <w:sz w:val="22"/>
          <w:szCs w:val="22"/>
        </w:rPr>
        <w:t>del Título Tercero de esta Ley, consistirán</w:t>
      </w:r>
      <w:r>
        <w:rPr>
          <w:rFonts w:ascii="Arial" w:hAnsi="Arial" w:cs="Arial"/>
          <w:sz w:val="22"/>
          <w:szCs w:val="22"/>
        </w:rPr>
        <w:t xml:space="preserve"> </w:t>
      </w:r>
      <w:r w:rsidRPr="003457B2">
        <w:rPr>
          <w:rFonts w:ascii="Arial" w:hAnsi="Arial" w:cs="Arial"/>
          <w:sz w:val="22"/>
          <w:szCs w:val="22"/>
        </w:rPr>
        <w:t>en:</w:t>
      </w:r>
      <w:r>
        <w:rPr>
          <w:rFonts w:ascii="Arial" w:hAnsi="Arial" w:cs="Arial"/>
          <w:sz w:val="22"/>
          <w:szCs w:val="22"/>
        </w:rPr>
        <w:t xml:space="preserve"> </w:t>
      </w:r>
    </w:p>
    <w:p w14:paraId="19B2F53D" w14:textId="77777777" w:rsidR="003457B2" w:rsidRDefault="003457B2" w:rsidP="003457B2">
      <w:pPr>
        <w:ind w:left="142" w:hanging="142"/>
        <w:jc w:val="both"/>
        <w:rPr>
          <w:rFonts w:ascii="Arial" w:hAnsi="Arial" w:cs="Arial"/>
          <w:sz w:val="22"/>
          <w:szCs w:val="22"/>
        </w:rPr>
      </w:pPr>
      <w:r>
        <w:rPr>
          <w:rFonts w:ascii="Arial" w:hAnsi="Arial" w:cs="Arial"/>
          <w:sz w:val="22"/>
          <w:szCs w:val="22"/>
        </w:rPr>
        <w:t>…</w:t>
      </w:r>
    </w:p>
    <w:p w14:paraId="4D2EFAA1" w14:textId="77777777" w:rsidR="003457B2" w:rsidRDefault="003457B2" w:rsidP="003457B2">
      <w:pPr>
        <w:ind w:left="142" w:hanging="142"/>
        <w:jc w:val="both"/>
        <w:rPr>
          <w:rFonts w:ascii="Arial" w:hAnsi="Arial" w:cs="Arial"/>
          <w:sz w:val="22"/>
          <w:szCs w:val="22"/>
        </w:rPr>
      </w:pPr>
      <w:r w:rsidRPr="003457B2">
        <w:rPr>
          <w:rFonts w:ascii="Arial" w:hAnsi="Arial" w:cs="Arial"/>
          <w:sz w:val="22"/>
          <w:szCs w:val="22"/>
        </w:rPr>
        <w:t>II. Tratándose de personas morales:</w:t>
      </w:r>
    </w:p>
    <w:p w14:paraId="458E07DD" w14:textId="687F13AA" w:rsidR="003457B2" w:rsidRDefault="003457B2" w:rsidP="003457B2">
      <w:pPr>
        <w:ind w:left="142" w:hanging="142"/>
        <w:jc w:val="both"/>
        <w:rPr>
          <w:rFonts w:ascii="Arial" w:hAnsi="Arial" w:cs="Arial"/>
          <w:sz w:val="22"/>
          <w:szCs w:val="22"/>
        </w:rPr>
      </w:pPr>
      <w:r>
        <w:rPr>
          <w:rFonts w:ascii="Arial" w:hAnsi="Arial" w:cs="Arial"/>
          <w:sz w:val="22"/>
          <w:szCs w:val="22"/>
        </w:rPr>
        <w:t>…</w:t>
      </w:r>
    </w:p>
    <w:p w14:paraId="6158C120" w14:textId="3C249647" w:rsidR="003457B2" w:rsidRPr="00116D13" w:rsidRDefault="003457B2" w:rsidP="003457B2">
      <w:pPr>
        <w:ind w:left="142" w:hanging="142"/>
        <w:jc w:val="both"/>
        <w:rPr>
          <w:rFonts w:ascii="Arial" w:hAnsi="Arial" w:cs="Arial"/>
          <w:sz w:val="22"/>
          <w:szCs w:val="22"/>
          <w:lang w:eastAsia="es-ES"/>
        </w:rPr>
      </w:pPr>
      <w:r w:rsidRPr="003457B2">
        <w:rPr>
          <w:rFonts w:ascii="Arial" w:hAnsi="Arial" w:cs="Arial"/>
          <w:sz w:val="22"/>
          <w:szCs w:val="22"/>
        </w:rPr>
        <w:t>c) La suspensión de actividades, por un</w:t>
      </w:r>
      <w:r>
        <w:rPr>
          <w:rFonts w:ascii="Arial" w:hAnsi="Arial" w:cs="Arial"/>
          <w:sz w:val="22"/>
          <w:szCs w:val="22"/>
        </w:rPr>
        <w:t xml:space="preserve"> </w:t>
      </w:r>
      <w:r w:rsidRPr="003457B2">
        <w:rPr>
          <w:rFonts w:ascii="Arial" w:hAnsi="Arial" w:cs="Arial"/>
          <w:sz w:val="22"/>
          <w:szCs w:val="22"/>
        </w:rPr>
        <w:t>periodo que no será menor de tres meses</w:t>
      </w:r>
      <w:r>
        <w:rPr>
          <w:rFonts w:ascii="Arial" w:hAnsi="Arial" w:cs="Arial"/>
          <w:sz w:val="22"/>
          <w:szCs w:val="22"/>
        </w:rPr>
        <w:t xml:space="preserve"> </w:t>
      </w:r>
      <w:r w:rsidRPr="003457B2">
        <w:rPr>
          <w:rFonts w:ascii="Arial" w:hAnsi="Arial" w:cs="Arial"/>
          <w:sz w:val="22"/>
          <w:szCs w:val="22"/>
        </w:rPr>
        <w:t>ni mayor de tres años, la cual consistirá en</w:t>
      </w:r>
      <w:r>
        <w:rPr>
          <w:rFonts w:ascii="Arial" w:hAnsi="Arial" w:cs="Arial"/>
          <w:sz w:val="22"/>
          <w:szCs w:val="22"/>
        </w:rPr>
        <w:t xml:space="preserve"> </w:t>
      </w:r>
      <w:r w:rsidRPr="003457B2">
        <w:rPr>
          <w:rFonts w:ascii="Arial" w:hAnsi="Arial" w:cs="Arial"/>
          <w:sz w:val="22"/>
          <w:szCs w:val="22"/>
        </w:rPr>
        <w:t>detener, diferir o privar temporalmente a los</w:t>
      </w:r>
      <w:r>
        <w:rPr>
          <w:rFonts w:ascii="Arial" w:hAnsi="Arial" w:cs="Arial"/>
          <w:sz w:val="22"/>
          <w:szCs w:val="22"/>
        </w:rPr>
        <w:t xml:space="preserve"> </w:t>
      </w:r>
      <w:r w:rsidRPr="003457B2">
        <w:rPr>
          <w:rFonts w:ascii="Arial" w:hAnsi="Arial" w:cs="Arial"/>
          <w:sz w:val="22"/>
          <w:szCs w:val="22"/>
        </w:rPr>
        <w:t>particulares de sus actividades comerciales,</w:t>
      </w:r>
      <w:r>
        <w:rPr>
          <w:rFonts w:ascii="Arial" w:hAnsi="Arial" w:cs="Arial"/>
          <w:sz w:val="22"/>
          <w:szCs w:val="22"/>
        </w:rPr>
        <w:t xml:space="preserve"> </w:t>
      </w:r>
      <w:r w:rsidRPr="003457B2">
        <w:rPr>
          <w:rFonts w:ascii="Arial" w:hAnsi="Arial" w:cs="Arial"/>
          <w:sz w:val="22"/>
          <w:szCs w:val="22"/>
        </w:rPr>
        <w:t>económicas, contractuales o de negocios</w:t>
      </w:r>
      <w:r>
        <w:rPr>
          <w:rFonts w:ascii="Arial" w:hAnsi="Arial" w:cs="Arial"/>
          <w:sz w:val="22"/>
          <w:szCs w:val="22"/>
        </w:rPr>
        <w:t xml:space="preserve"> </w:t>
      </w:r>
      <w:r w:rsidRPr="003457B2">
        <w:rPr>
          <w:rFonts w:ascii="Arial" w:hAnsi="Arial" w:cs="Arial"/>
          <w:sz w:val="22"/>
          <w:szCs w:val="22"/>
        </w:rPr>
        <w:t>por estar vinculados a faltas administrativas</w:t>
      </w:r>
      <w:r>
        <w:rPr>
          <w:rFonts w:ascii="Arial" w:hAnsi="Arial" w:cs="Arial"/>
          <w:sz w:val="22"/>
          <w:szCs w:val="22"/>
        </w:rPr>
        <w:t xml:space="preserve"> </w:t>
      </w:r>
      <w:r w:rsidRPr="003457B2">
        <w:rPr>
          <w:rFonts w:ascii="Arial" w:hAnsi="Arial" w:cs="Arial"/>
          <w:sz w:val="22"/>
          <w:szCs w:val="22"/>
        </w:rPr>
        <w:t>graves previstas en esta Ley</w:t>
      </w:r>
      <w:r w:rsidRPr="00116D13">
        <w:rPr>
          <w:rFonts w:ascii="Arial" w:hAnsi="Arial" w:cs="Arial"/>
          <w:sz w:val="22"/>
          <w:szCs w:val="22"/>
          <w:lang w:eastAsia="es-ES"/>
        </w:rPr>
        <w:t>.</w:t>
      </w:r>
    </w:p>
    <w:p w14:paraId="24F5D50C" w14:textId="77777777" w:rsidR="003457B2" w:rsidRPr="00116D13" w:rsidRDefault="003457B2" w:rsidP="003457B2">
      <w:pPr>
        <w:pStyle w:val="Textonotapie"/>
        <w:rPr>
          <w:rFonts w:ascii="Arial" w:hAnsi="Arial" w:cs="Arial"/>
          <w:sz w:val="22"/>
          <w:szCs w:val="22"/>
          <w:lang w:val="es-MX"/>
        </w:rPr>
      </w:pPr>
    </w:p>
  </w:footnote>
  <w:footnote w:id="3">
    <w:p w14:paraId="4CBF9990" w14:textId="77777777" w:rsidR="00FF291B" w:rsidRPr="00FF291B" w:rsidRDefault="00FF291B" w:rsidP="00FF291B">
      <w:pPr>
        <w:autoSpaceDE w:val="0"/>
        <w:autoSpaceDN w:val="0"/>
        <w:adjustRightInd w:val="0"/>
        <w:jc w:val="both"/>
        <w:rPr>
          <w:rFonts w:ascii="Arial" w:eastAsiaTheme="minorHAnsi" w:hAnsi="Arial" w:cs="Arial"/>
          <w:sz w:val="22"/>
          <w:szCs w:val="22"/>
          <w:lang w:val="es-MX" w:eastAsia="en-US"/>
        </w:rPr>
      </w:pPr>
      <w:r w:rsidRPr="00116D13">
        <w:rPr>
          <w:rStyle w:val="Refdenotaalpie"/>
          <w:rFonts w:ascii="Arial" w:hAnsi="Arial" w:cs="Arial"/>
          <w:sz w:val="22"/>
          <w:szCs w:val="22"/>
        </w:rPr>
        <w:footnoteRef/>
      </w:r>
      <w:r w:rsidRPr="00116D13">
        <w:rPr>
          <w:rFonts w:ascii="Arial" w:hAnsi="Arial" w:cs="Arial"/>
          <w:sz w:val="22"/>
          <w:szCs w:val="22"/>
        </w:rPr>
        <w:t xml:space="preserve"> </w:t>
      </w:r>
      <w:r w:rsidRPr="00FF291B">
        <w:rPr>
          <w:rFonts w:ascii="Arial" w:eastAsiaTheme="minorHAnsi" w:hAnsi="Arial" w:cs="Arial"/>
          <w:b/>
          <w:bCs/>
          <w:sz w:val="22"/>
          <w:szCs w:val="22"/>
          <w:lang w:val="es-MX" w:eastAsia="en-US"/>
        </w:rPr>
        <w:t xml:space="preserve">Artículo 81. </w:t>
      </w:r>
      <w:r w:rsidRPr="00FF291B">
        <w:rPr>
          <w:rFonts w:ascii="Arial" w:eastAsiaTheme="minorHAnsi" w:hAnsi="Arial" w:cs="Arial"/>
          <w:sz w:val="22"/>
          <w:szCs w:val="22"/>
          <w:lang w:val="es-MX" w:eastAsia="en-US"/>
        </w:rPr>
        <w:t>Las sanciones administrativas que deban imponerse por faltas de particulares por comisión de alguna de las conductas previstas en los Capítulos II, III y IV del Título Tercero de esta Ley, consistirán en:</w:t>
      </w:r>
    </w:p>
    <w:p w14:paraId="6D72F8BC" w14:textId="77777777" w:rsidR="00FF291B" w:rsidRPr="00FF291B" w:rsidRDefault="00FF291B" w:rsidP="00FF291B">
      <w:pPr>
        <w:autoSpaceDE w:val="0"/>
        <w:autoSpaceDN w:val="0"/>
        <w:adjustRightInd w:val="0"/>
        <w:jc w:val="both"/>
        <w:rPr>
          <w:rFonts w:ascii="Arial" w:eastAsiaTheme="minorHAnsi" w:hAnsi="Arial" w:cs="Arial"/>
          <w:sz w:val="22"/>
          <w:szCs w:val="22"/>
          <w:lang w:val="es-MX" w:eastAsia="en-US"/>
        </w:rPr>
      </w:pPr>
      <w:r w:rsidRPr="00FF291B">
        <w:rPr>
          <w:rFonts w:ascii="Arial" w:eastAsiaTheme="minorHAnsi" w:hAnsi="Arial" w:cs="Arial"/>
          <w:sz w:val="22"/>
          <w:szCs w:val="22"/>
          <w:lang w:val="es-MX" w:eastAsia="en-US"/>
        </w:rPr>
        <w:t>…</w:t>
      </w:r>
    </w:p>
    <w:p w14:paraId="6EBD32D0" w14:textId="77777777" w:rsidR="00FF291B" w:rsidRPr="00FF291B" w:rsidRDefault="00FF291B" w:rsidP="00FF291B">
      <w:pPr>
        <w:autoSpaceDE w:val="0"/>
        <w:autoSpaceDN w:val="0"/>
        <w:adjustRightInd w:val="0"/>
        <w:jc w:val="both"/>
        <w:rPr>
          <w:rFonts w:ascii="Arial" w:eastAsiaTheme="minorHAnsi" w:hAnsi="Arial" w:cs="Arial"/>
          <w:sz w:val="22"/>
          <w:szCs w:val="22"/>
          <w:lang w:val="es-MX" w:eastAsia="en-US"/>
        </w:rPr>
      </w:pPr>
      <w:r w:rsidRPr="00FF291B">
        <w:rPr>
          <w:rFonts w:ascii="Arial" w:eastAsiaTheme="minorHAnsi" w:hAnsi="Arial" w:cs="Arial"/>
          <w:b/>
          <w:bCs/>
          <w:sz w:val="22"/>
          <w:szCs w:val="22"/>
          <w:lang w:val="es-MX" w:eastAsia="en-US"/>
        </w:rPr>
        <w:t xml:space="preserve">II. </w:t>
      </w:r>
      <w:r w:rsidRPr="00FF291B">
        <w:rPr>
          <w:rFonts w:ascii="Arial" w:eastAsiaTheme="minorHAnsi" w:hAnsi="Arial" w:cs="Arial"/>
          <w:sz w:val="22"/>
          <w:szCs w:val="22"/>
          <w:lang w:val="es-MX" w:eastAsia="en-US"/>
        </w:rPr>
        <w:t xml:space="preserve">Tratándose de personas morales: </w:t>
      </w:r>
    </w:p>
    <w:p w14:paraId="6B5352C4" w14:textId="77777777" w:rsidR="00FF291B" w:rsidRPr="00FF291B" w:rsidRDefault="00FF291B" w:rsidP="00FF291B">
      <w:pPr>
        <w:autoSpaceDE w:val="0"/>
        <w:autoSpaceDN w:val="0"/>
        <w:adjustRightInd w:val="0"/>
        <w:jc w:val="both"/>
        <w:rPr>
          <w:rFonts w:ascii="Arial" w:eastAsiaTheme="minorHAnsi" w:hAnsi="Arial" w:cs="Arial"/>
          <w:sz w:val="22"/>
          <w:szCs w:val="22"/>
          <w:lang w:val="es-MX" w:eastAsia="en-US"/>
        </w:rPr>
      </w:pPr>
      <w:r w:rsidRPr="00FF291B">
        <w:rPr>
          <w:rFonts w:ascii="Arial" w:eastAsiaTheme="minorHAnsi" w:hAnsi="Arial" w:cs="Arial"/>
          <w:sz w:val="22"/>
          <w:szCs w:val="22"/>
          <w:lang w:val="es-MX" w:eastAsia="en-US"/>
        </w:rPr>
        <w:t>…</w:t>
      </w:r>
    </w:p>
    <w:p w14:paraId="769B171F" w14:textId="77777777" w:rsidR="00FF291B" w:rsidRPr="00FF291B" w:rsidRDefault="00FF291B" w:rsidP="00FF291B">
      <w:pPr>
        <w:autoSpaceDE w:val="0"/>
        <w:autoSpaceDN w:val="0"/>
        <w:adjustRightInd w:val="0"/>
        <w:jc w:val="both"/>
        <w:rPr>
          <w:rFonts w:ascii="Arial" w:hAnsi="Arial" w:cs="Arial"/>
          <w:sz w:val="22"/>
          <w:szCs w:val="22"/>
          <w:lang w:eastAsia="es-ES"/>
        </w:rPr>
      </w:pPr>
      <w:r w:rsidRPr="00FF291B">
        <w:rPr>
          <w:rFonts w:ascii="Arial" w:eastAsiaTheme="minorHAnsi" w:hAnsi="Arial" w:cs="Arial"/>
          <w:b/>
          <w:bCs/>
          <w:sz w:val="22"/>
          <w:szCs w:val="22"/>
          <w:lang w:val="es-MX" w:eastAsia="en-US"/>
        </w:rPr>
        <w:t xml:space="preserve">d) </w:t>
      </w:r>
      <w:r w:rsidRPr="00FF291B">
        <w:rPr>
          <w:rFonts w:ascii="Arial" w:eastAsiaTheme="minorHAnsi" w:hAnsi="Arial" w:cs="Arial"/>
          <w:sz w:val="22"/>
          <w:szCs w:val="22"/>
          <w:lang w:val="es-MX" w:eastAsia="en-US"/>
        </w:rPr>
        <w:t>La suspensión de actividades, por un periodo que no será menor de un año ni mayor de cinco años, la cual consistirá en detener, diferir o privar temporalmente a los particulares de sus actividades comerciales, económicas, contractuales o de negocios por estar vinculados a faltas administrativas graves o hechos de corrupción previstos en esta Ley</w:t>
      </w:r>
      <w:r w:rsidRPr="00FF291B">
        <w:rPr>
          <w:rFonts w:ascii="Arial" w:hAnsi="Arial" w:cs="Arial"/>
          <w:sz w:val="22"/>
          <w:szCs w:val="22"/>
          <w:lang w:eastAsia="es-ES"/>
        </w:rPr>
        <w:t>.</w:t>
      </w:r>
    </w:p>
    <w:p w14:paraId="36D2EC16" w14:textId="77777777" w:rsidR="00FF291B" w:rsidRPr="00116D13" w:rsidRDefault="00FF291B" w:rsidP="00FF291B">
      <w:pPr>
        <w:pStyle w:val="Textonotapie"/>
        <w:rPr>
          <w:rFonts w:ascii="Arial" w:hAnsi="Arial" w:cs="Arial"/>
          <w:sz w:val="22"/>
          <w:szCs w:val="22"/>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FE95" w14:textId="77777777" w:rsidR="00C30DFB" w:rsidRPr="007467EC" w:rsidRDefault="003D06CA" w:rsidP="007467EC">
    <w:pPr>
      <w:pStyle w:val="Encabezado"/>
      <w:tabs>
        <w:tab w:val="clear" w:pos="4419"/>
        <w:tab w:val="center" w:pos="3261"/>
      </w:tabs>
      <w:jc w:val="right"/>
      <w:rPr>
        <w:rFonts w:ascii="Arial" w:hAnsi="Arial" w:cs="Arial"/>
        <w:b/>
        <w:sz w:val="24"/>
        <w:szCs w:val="24"/>
      </w:rPr>
    </w:pPr>
    <w:r w:rsidRPr="007467EC">
      <w:rPr>
        <w:rFonts w:ascii="Arial" w:hAnsi="Arial" w:cs="Arial"/>
        <w:b/>
        <w:sz w:val="24"/>
        <w:szCs w:val="24"/>
      </w:rPr>
      <w:t xml:space="preserve">ACCIÓN DE INCONSTITUCIONALIDAD </w:t>
    </w:r>
  </w:p>
  <w:p w14:paraId="49FAD6E8" w14:textId="223DF702" w:rsidR="003D06CA" w:rsidRPr="007467EC" w:rsidRDefault="00754863" w:rsidP="007467EC">
    <w:pPr>
      <w:pStyle w:val="Encabezado"/>
      <w:tabs>
        <w:tab w:val="clear" w:pos="4419"/>
        <w:tab w:val="center" w:pos="3261"/>
      </w:tabs>
      <w:jc w:val="right"/>
      <w:rPr>
        <w:rFonts w:ascii="Arial" w:hAnsi="Arial" w:cs="Arial"/>
        <w:b/>
        <w:sz w:val="24"/>
        <w:szCs w:val="24"/>
      </w:rPr>
    </w:pPr>
    <w:r>
      <w:rPr>
        <w:rFonts w:ascii="Arial" w:hAnsi="Arial" w:cs="Arial"/>
        <w:b/>
        <w:sz w:val="24"/>
        <w:szCs w:val="24"/>
      </w:rPr>
      <w:t>69</w:t>
    </w:r>
    <w:r w:rsidR="00C30DFB" w:rsidRPr="007467EC">
      <w:rPr>
        <w:rFonts w:ascii="Arial" w:hAnsi="Arial" w:cs="Arial"/>
        <w:b/>
        <w:sz w:val="24"/>
        <w:szCs w:val="24"/>
      </w:rPr>
      <w:t>/20</w:t>
    </w:r>
    <w:r w:rsidR="00C26F9A" w:rsidRPr="007467EC">
      <w:rPr>
        <w:rFonts w:ascii="Arial" w:hAnsi="Arial" w:cs="Arial"/>
        <w:b/>
        <w:sz w:val="24"/>
        <w:szCs w:val="24"/>
      </w:rPr>
      <w:t>19</w:t>
    </w:r>
    <w:r w:rsidR="008D1DC4">
      <w:rPr>
        <w:rFonts w:ascii="Arial" w:hAnsi="Arial" w:cs="Arial"/>
        <w:b/>
        <w:sz w:val="24"/>
        <w:szCs w:val="24"/>
      </w:rPr>
      <w:t xml:space="preserve"> Y SUS ACUMULADAS 71/2019 Y 75/2019</w:t>
    </w:r>
  </w:p>
  <w:p w14:paraId="2A88FC52" w14:textId="596624BF" w:rsidR="00262237" w:rsidRDefault="003D06CA" w:rsidP="007467EC">
    <w:pPr>
      <w:pStyle w:val="Encabezado"/>
      <w:tabs>
        <w:tab w:val="clear" w:pos="4419"/>
        <w:tab w:val="center" w:pos="3261"/>
      </w:tabs>
      <w:jc w:val="right"/>
      <w:rPr>
        <w:rFonts w:ascii="Arial" w:hAnsi="Arial" w:cs="Arial"/>
        <w:b/>
        <w:sz w:val="24"/>
        <w:szCs w:val="24"/>
      </w:rPr>
    </w:pPr>
    <w:r w:rsidRPr="007467EC">
      <w:rPr>
        <w:rFonts w:ascii="Arial" w:hAnsi="Arial" w:cs="Arial"/>
        <w:b/>
        <w:sz w:val="24"/>
        <w:szCs w:val="24"/>
      </w:rPr>
      <w:t xml:space="preserve">VOTO </w:t>
    </w:r>
    <w:r w:rsidR="00754863">
      <w:rPr>
        <w:rFonts w:ascii="Arial" w:hAnsi="Arial" w:cs="Arial"/>
        <w:b/>
        <w:sz w:val="24"/>
        <w:szCs w:val="24"/>
      </w:rPr>
      <w:t>PARTICULAR</w:t>
    </w:r>
  </w:p>
  <w:p w14:paraId="3E9C8D00" w14:textId="77777777" w:rsidR="00754863" w:rsidRPr="007467EC" w:rsidRDefault="00754863" w:rsidP="007467EC">
    <w:pPr>
      <w:pStyle w:val="Encabezado"/>
      <w:tabs>
        <w:tab w:val="clear" w:pos="4419"/>
        <w:tab w:val="center" w:pos="3261"/>
      </w:tabs>
      <w:jc w:val="right"/>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CA3D" w14:textId="77777777" w:rsidR="005A6249" w:rsidRPr="007467EC" w:rsidRDefault="005A6249" w:rsidP="005A6249">
    <w:pPr>
      <w:pStyle w:val="Encabezado"/>
      <w:tabs>
        <w:tab w:val="clear" w:pos="4419"/>
        <w:tab w:val="center" w:pos="3261"/>
      </w:tabs>
      <w:jc w:val="right"/>
      <w:rPr>
        <w:rFonts w:ascii="Arial" w:hAnsi="Arial" w:cs="Arial"/>
        <w:b/>
        <w:sz w:val="24"/>
        <w:szCs w:val="24"/>
      </w:rPr>
    </w:pPr>
    <w:r w:rsidRPr="007467EC">
      <w:rPr>
        <w:rFonts w:ascii="Arial" w:hAnsi="Arial" w:cs="Arial"/>
        <w:b/>
        <w:sz w:val="24"/>
        <w:szCs w:val="24"/>
      </w:rPr>
      <w:t xml:space="preserve">ACCIÓN DE INCONSTITUCIONALIDAD </w:t>
    </w:r>
  </w:p>
  <w:p w14:paraId="5B7066E4" w14:textId="4AADEA4B" w:rsidR="005A6249" w:rsidRPr="007467EC" w:rsidRDefault="005A6249" w:rsidP="005A6249">
    <w:pPr>
      <w:pStyle w:val="Encabezado"/>
      <w:tabs>
        <w:tab w:val="clear" w:pos="4419"/>
        <w:tab w:val="center" w:pos="3261"/>
      </w:tabs>
      <w:jc w:val="right"/>
      <w:rPr>
        <w:rFonts w:ascii="Arial" w:hAnsi="Arial" w:cs="Arial"/>
        <w:b/>
        <w:sz w:val="24"/>
        <w:szCs w:val="24"/>
      </w:rPr>
    </w:pPr>
    <w:r>
      <w:rPr>
        <w:rFonts w:ascii="Arial" w:hAnsi="Arial" w:cs="Arial"/>
        <w:b/>
        <w:sz w:val="24"/>
        <w:szCs w:val="24"/>
      </w:rPr>
      <w:t>69</w:t>
    </w:r>
    <w:r w:rsidRPr="007467EC">
      <w:rPr>
        <w:rFonts w:ascii="Arial" w:hAnsi="Arial" w:cs="Arial"/>
        <w:b/>
        <w:sz w:val="24"/>
        <w:szCs w:val="24"/>
      </w:rPr>
      <w:t>/2019</w:t>
    </w:r>
    <w:r w:rsidR="008D1DC4">
      <w:rPr>
        <w:rFonts w:ascii="Arial" w:hAnsi="Arial" w:cs="Arial"/>
        <w:b/>
        <w:sz w:val="24"/>
        <w:szCs w:val="24"/>
      </w:rPr>
      <w:t xml:space="preserve"> Y SUS ACUMULADAS 71/2019 Y 75/2019</w:t>
    </w:r>
  </w:p>
  <w:p w14:paraId="6D847275" w14:textId="38E12E0A" w:rsidR="003D06CA" w:rsidRPr="00F919FB" w:rsidRDefault="005A6249" w:rsidP="005A6249">
    <w:pPr>
      <w:pStyle w:val="Encabezado"/>
      <w:tabs>
        <w:tab w:val="clear" w:pos="4419"/>
        <w:tab w:val="center" w:pos="3261"/>
      </w:tabs>
      <w:jc w:val="right"/>
      <w:rPr>
        <w:rFonts w:ascii="Arial" w:hAnsi="Arial" w:cs="Arial"/>
        <w:b/>
        <w:sz w:val="24"/>
        <w:szCs w:val="24"/>
      </w:rPr>
    </w:pPr>
    <w:r w:rsidRPr="007467EC">
      <w:rPr>
        <w:rFonts w:ascii="Arial" w:hAnsi="Arial" w:cs="Arial"/>
        <w:b/>
        <w:sz w:val="24"/>
        <w:szCs w:val="24"/>
      </w:rPr>
      <w:t xml:space="preserve">VOTO </w:t>
    </w:r>
    <w:r>
      <w:rPr>
        <w:rFonts w:ascii="Arial" w:hAnsi="Arial" w:cs="Arial"/>
        <w:b/>
        <w:sz w:val="24"/>
        <w:szCs w:val="24"/>
      </w:rPr>
      <w:t>PARTICULAR</w:t>
    </w:r>
    <w:r w:rsidR="00C30DFB" w:rsidRPr="00F84781">
      <w:rPr>
        <w:rFonts w:ascii="Arial" w:hAnsi="Arial" w:cs="Arial"/>
        <w:b/>
        <w:noProof/>
        <w:sz w:val="24"/>
        <w:szCs w:val="24"/>
        <w:lang w:val="es-MX"/>
      </w:rPr>
      <mc:AlternateContent>
        <mc:Choice Requires="wps">
          <w:drawing>
            <wp:anchor distT="0" distB="0" distL="114300" distR="114300" simplePos="0" relativeHeight="251663360" behindDoc="1" locked="0" layoutInCell="1" allowOverlap="1" wp14:anchorId="328B5BB1" wp14:editId="274953CB">
              <wp:simplePos x="0" y="0"/>
              <wp:positionH relativeFrom="column">
                <wp:posOffset>0</wp:posOffset>
              </wp:positionH>
              <wp:positionV relativeFrom="paragraph">
                <wp:posOffset>177165</wp:posOffset>
              </wp:positionV>
              <wp:extent cx="1885315" cy="1715135"/>
              <wp:effectExtent l="0" t="0" r="635" b="0"/>
              <wp:wrapTight wrapText="bothSides">
                <wp:wrapPolygon edited="0">
                  <wp:start x="0" y="0"/>
                  <wp:lineTo x="0" y="21352"/>
                  <wp:lineTo x="21389" y="21352"/>
                  <wp:lineTo x="21389" y="0"/>
                  <wp:lineTo x="0" y="0"/>
                </wp:wrapPolygon>
              </wp:wrapTight>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061CB" w14:textId="77777777" w:rsidR="00C30DFB" w:rsidRDefault="00C30DFB" w:rsidP="00C30D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B5BB1" id="Rectángulo 1" o:spid="_x0000_s1026" style="position:absolute;left:0;text-align:left;margin-left:0;margin-top:13.95pt;width:148.45pt;height:13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" stroked="f">
              <v:textbox>
                <w:txbxContent>
                  <w:p w14:paraId="4FA061CB" w14:textId="77777777" w:rsidR="00C30DFB" w:rsidRDefault="00C30DFB" w:rsidP="00C30DFB">
                    <w:pPr>
                      <w:jc w:val="center"/>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22B0" w14:textId="6FD8C2A8" w:rsidR="003D06CA" w:rsidRDefault="003D06CA">
    <w:pPr>
      <w:pStyle w:val="Encabezado"/>
    </w:pPr>
    <w:r w:rsidRPr="00F84781">
      <w:rPr>
        <w:rFonts w:ascii="Arial" w:hAnsi="Arial" w:cs="Arial"/>
        <w:b/>
        <w:noProof/>
        <w:sz w:val="24"/>
        <w:szCs w:val="24"/>
        <w:lang w:val="es-MX"/>
      </w:rPr>
      <mc:AlternateContent>
        <mc:Choice Requires="wps">
          <w:drawing>
            <wp:anchor distT="0" distB="0" distL="114300" distR="114300" simplePos="0" relativeHeight="251661312" behindDoc="1" locked="0" layoutInCell="1" allowOverlap="1" wp14:anchorId="69B08AD5" wp14:editId="34CB0B7C">
              <wp:simplePos x="0" y="0"/>
              <wp:positionH relativeFrom="column">
                <wp:posOffset>0</wp:posOffset>
              </wp:positionH>
              <wp:positionV relativeFrom="paragraph">
                <wp:posOffset>145415</wp:posOffset>
              </wp:positionV>
              <wp:extent cx="1885315" cy="1715135"/>
              <wp:effectExtent l="0" t="0" r="635" b="0"/>
              <wp:wrapTight wrapText="bothSides">
                <wp:wrapPolygon edited="0">
                  <wp:start x="0" y="0"/>
                  <wp:lineTo x="0" y="21352"/>
                  <wp:lineTo x="21389" y="21352"/>
                  <wp:lineTo x="21389" y="0"/>
                  <wp:lineTo x="0" y="0"/>
                </wp:wrapPolygon>
              </wp:wrapTight>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0F08D" w14:textId="77777777" w:rsidR="003D06CA" w:rsidRDefault="003D06CA" w:rsidP="003D06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08AD5" id="Rectángulo 2" o:spid="_x0000_s1027" style="position:absolute;margin-left:0;margin-top:11.45pt;width:148.45pt;height:13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" stroked="f">
              <v:textbox>
                <w:txbxContent>
                  <w:p w14:paraId="0BE0F08D" w14:textId="77777777" w:rsidR="003D06CA" w:rsidRDefault="003D06CA" w:rsidP="003D06CA">
                    <w:pPr>
                      <w:jc w:val="center"/>
                    </w:pPr>
                  </w:p>
                </w:txbxContent>
              </v:textbox>
              <w10:wrap type="tigh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79"/>
    <w:rsid w:val="0003017E"/>
    <w:rsid w:val="00055305"/>
    <w:rsid w:val="0005737C"/>
    <w:rsid w:val="001111F1"/>
    <w:rsid w:val="001179A4"/>
    <w:rsid w:val="001265FF"/>
    <w:rsid w:val="00177714"/>
    <w:rsid w:val="00195E12"/>
    <w:rsid w:val="001A490F"/>
    <w:rsid w:val="001B2A74"/>
    <w:rsid w:val="001B5C19"/>
    <w:rsid w:val="001C6B98"/>
    <w:rsid w:val="001E093B"/>
    <w:rsid w:val="001E43F8"/>
    <w:rsid w:val="001E4A39"/>
    <w:rsid w:val="001E6D50"/>
    <w:rsid w:val="002115D2"/>
    <w:rsid w:val="002227FE"/>
    <w:rsid w:val="002266F7"/>
    <w:rsid w:val="00233D87"/>
    <w:rsid w:val="00243ACB"/>
    <w:rsid w:val="002475ED"/>
    <w:rsid w:val="00253879"/>
    <w:rsid w:val="00287A2D"/>
    <w:rsid w:val="002B3D60"/>
    <w:rsid w:val="002E63A0"/>
    <w:rsid w:val="00321574"/>
    <w:rsid w:val="0033434F"/>
    <w:rsid w:val="00334AE5"/>
    <w:rsid w:val="003457B2"/>
    <w:rsid w:val="00366868"/>
    <w:rsid w:val="00380517"/>
    <w:rsid w:val="003D06CA"/>
    <w:rsid w:val="003F0F50"/>
    <w:rsid w:val="00432E48"/>
    <w:rsid w:val="004600F9"/>
    <w:rsid w:val="004B6138"/>
    <w:rsid w:val="004E7B1E"/>
    <w:rsid w:val="00504183"/>
    <w:rsid w:val="00512123"/>
    <w:rsid w:val="005228FB"/>
    <w:rsid w:val="005269CB"/>
    <w:rsid w:val="00535B27"/>
    <w:rsid w:val="005360B8"/>
    <w:rsid w:val="00567A90"/>
    <w:rsid w:val="005A4A22"/>
    <w:rsid w:val="005A6249"/>
    <w:rsid w:val="0061738D"/>
    <w:rsid w:val="006D243D"/>
    <w:rsid w:val="006E1B24"/>
    <w:rsid w:val="006E66BD"/>
    <w:rsid w:val="007360AC"/>
    <w:rsid w:val="007467EC"/>
    <w:rsid w:val="00754863"/>
    <w:rsid w:val="00776B22"/>
    <w:rsid w:val="00785143"/>
    <w:rsid w:val="007D1A78"/>
    <w:rsid w:val="008206A7"/>
    <w:rsid w:val="00820B63"/>
    <w:rsid w:val="00821583"/>
    <w:rsid w:val="008846A8"/>
    <w:rsid w:val="00895157"/>
    <w:rsid w:val="008C4BF7"/>
    <w:rsid w:val="008D1DC4"/>
    <w:rsid w:val="008D40BE"/>
    <w:rsid w:val="008E3DBE"/>
    <w:rsid w:val="0091430D"/>
    <w:rsid w:val="009370AE"/>
    <w:rsid w:val="00991494"/>
    <w:rsid w:val="009A0B35"/>
    <w:rsid w:val="009C3A25"/>
    <w:rsid w:val="009E3C7A"/>
    <w:rsid w:val="00A14DF0"/>
    <w:rsid w:val="00A1555D"/>
    <w:rsid w:val="00A17596"/>
    <w:rsid w:val="00A343B7"/>
    <w:rsid w:val="00A4521F"/>
    <w:rsid w:val="00A47B87"/>
    <w:rsid w:val="00A72298"/>
    <w:rsid w:val="00A72CCC"/>
    <w:rsid w:val="00A956B5"/>
    <w:rsid w:val="00AB0D75"/>
    <w:rsid w:val="00AC7554"/>
    <w:rsid w:val="00AD7E3F"/>
    <w:rsid w:val="00B45ACC"/>
    <w:rsid w:val="00B46CE1"/>
    <w:rsid w:val="00B679B9"/>
    <w:rsid w:val="00B721AE"/>
    <w:rsid w:val="00B779DD"/>
    <w:rsid w:val="00B85795"/>
    <w:rsid w:val="00B9075C"/>
    <w:rsid w:val="00C26F9A"/>
    <w:rsid w:val="00C30DFB"/>
    <w:rsid w:val="00C33A2F"/>
    <w:rsid w:val="00C33D8E"/>
    <w:rsid w:val="00C55F03"/>
    <w:rsid w:val="00CA10ED"/>
    <w:rsid w:val="00CA7164"/>
    <w:rsid w:val="00CB36F1"/>
    <w:rsid w:val="00DA48E8"/>
    <w:rsid w:val="00DC5EB6"/>
    <w:rsid w:val="00DC7E5A"/>
    <w:rsid w:val="00E066EC"/>
    <w:rsid w:val="00E42A05"/>
    <w:rsid w:val="00E9149D"/>
    <w:rsid w:val="00EC160E"/>
    <w:rsid w:val="00ED0DBE"/>
    <w:rsid w:val="00EF6562"/>
    <w:rsid w:val="00F10CE3"/>
    <w:rsid w:val="00F1632B"/>
    <w:rsid w:val="00F63DEA"/>
    <w:rsid w:val="00F83DB6"/>
    <w:rsid w:val="00F9757A"/>
    <w:rsid w:val="00FD2054"/>
    <w:rsid w:val="00FD58BC"/>
    <w:rsid w:val="00FF29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B30C"/>
  <w15:docId w15:val="{27ADC160-FE49-4A84-BB30-6D21FEDD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879"/>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1"/>
    <w:qFormat/>
    <w:rsid w:val="00253879"/>
    <w:pPr>
      <w:spacing w:line="360" w:lineRule="auto"/>
      <w:ind w:firstLine="709"/>
      <w:jc w:val="both"/>
    </w:pPr>
    <w:rPr>
      <w:rFonts w:ascii="Arial" w:hAnsi="Arial"/>
      <w:sz w:val="30"/>
    </w:rPr>
  </w:style>
  <w:style w:type="paragraph" w:styleId="Piedepgina">
    <w:name w:val="footer"/>
    <w:basedOn w:val="Normal"/>
    <w:link w:val="PiedepginaCar"/>
    <w:uiPriority w:val="99"/>
    <w:rsid w:val="00253879"/>
    <w:pPr>
      <w:tabs>
        <w:tab w:val="center" w:pos="4252"/>
        <w:tab w:val="right" w:pos="8504"/>
      </w:tabs>
    </w:pPr>
  </w:style>
  <w:style w:type="character" w:customStyle="1" w:styleId="PiedepginaCar">
    <w:name w:val="Pie de página Car"/>
    <w:basedOn w:val="Fuentedeprrafopredeter"/>
    <w:link w:val="Piedepgina"/>
    <w:uiPriority w:val="99"/>
    <w:rsid w:val="00253879"/>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julio,referencia nota al pie,BVI fnr,Footnote number,f,4_G,16 Point,Superscript 6 Point,Texto nota al pie,Footnote Reference Char3,Ref. de nota al"/>
    <w:basedOn w:val="Fuentedeprrafopredeter"/>
    <w:link w:val="4GChar"/>
    <w:qFormat/>
    <w:rsid w:val="00253879"/>
    <w:rPr>
      <w:vertAlign w:val="superscript"/>
    </w:rPr>
  </w:style>
  <w:style w:type="character" w:customStyle="1" w:styleId="corte4fondoCar1">
    <w:name w:val="corte4 fondo Car1"/>
    <w:basedOn w:val="Fuentedeprrafopredeter"/>
    <w:link w:val="corte4fondo"/>
    <w:rsid w:val="00253879"/>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
    <w:rsid w:val="00253879"/>
    <w:pPr>
      <w:spacing w:line="360" w:lineRule="auto"/>
      <w:ind w:firstLine="709"/>
      <w:jc w:val="both"/>
    </w:pPr>
    <w:rPr>
      <w:rFonts w:ascii="Arial" w:hAnsi="Arial"/>
      <w:sz w:val="30"/>
    </w:rPr>
  </w:style>
  <w:style w:type="character" w:customStyle="1" w:styleId="corte4fondoCarCar">
    <w:name w:val="corte4 fondo Car Car"/>
    <w:link w:val="corte4fondoCar"/>
    <w:rsid w:val="00253879"/>
    <w:rPr>
      <w:rFonts w:ascii="Arial" w:eastAsia="Times New Roman" w:hAnsi="Arial" w:cs="Times New Roman"/>
      <w:sz w:val="30"/>
      <w:szCs w:val="20"/>
      <w:lang w:val="es-ES_tradnl" w:eastAsia="es-MX"/>
    </w:rPr>
  </w:style>
  <w:style w:type="paragraph" w:customStyle="1" w:styleId="TEXTONORMAL">
    <w:name w:val="TEXTO NORMAL"/>
    <w:basedOn w:val="Normal"/>
    <w:link w:val="TEXTONORMALCar"/>
    <w:rsid w:val="00253879"/>
    <w:pPr>
      <w:spacing w:line="360" w:lineRule="auto"/>
      <w:ind w:firstLine="709"/>
      <w:jc w:val="both"/>
    </w:pPr>
    <w:rPr>
      <w:rFonts w:ascii="Arial" w:hAnsi="Arial" w:cs="Arial"/>
      <w:sz w:val="28"/>
      <w:szCs w:val="28"/>
      <w:lang w:eastAsia="es-ES"/>
    </w:rPr>
  </w:style>
  <w:style w:type="character" w:customStyle="1" w:styleId="TEXTONORMALCar">
    <w:name w:val="TEXTO NORMAL Car"/>
    <w:link w:val="TEXTONORMAL"/>
    <w:rsid w:val="00253879"/>
    <w:rPr>
      <w:rFonts w:ascii="Arial" w:eastAsia="Times New Roman" w:hAnsi="Arial" w:cs="Arial"/>
      <w:sz w:val="28"/>
      <w:szCs w:val="28"/>
      <w:lang w:val="es-ES_tradnl" w:eastAsia="es-ES"/>
    </w:rPr>
  </w:style>
  <w:style w:type="paragraph" w:customStyle="1" w:styleId="Estilo">
    <w:name w:val="Estilo"/>
    <w:basedOn w:val="Sinespaciado"/>
    <w:link w:val="EstiloCar"/>
    <w:qFormat/>
    <w:rsid w:val="00253879"/>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253879"/>
    <w:rPr>
      <w:rFonts w:ascii="Arial" w:hAnsi="Arial"/>
      <w:sz w:val="24"/>
    </w:rPr>
  </w:style>
  <w:style w:type="paragraph" w:styleId="Sinespaciado">
    <w:name w:val="No Spacing"/>
    <w:uiPriority w:val="1"/>
    <w:qFormat/>
    <w:rsid w:val="00253879"/>
    <w:pPr>
      <w:spacing w:after="0" w:line="240" w:lineRule="auto"/>
    </w:pPr>
    <w:rPr>
      <w:rFonts w:ascii="Times New Roman" w:eastAsia="Times New Roman" w:hAnsi="Times New Roman" w:cs="Times New Roman"/>
      <w:sz w:val="20"/>
      <w:szCs w:val="20"/>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C7E5A"/>
    <w:pPr>
      <w:jc w:val="both"/>
    </w:pPr>
    <w:rPr>
      <w:rFonts w:asciiTheme="minorHAnsi" w:eastAsiaTheme="minorHAnsi" w:hAnsiTheme="minorHAnsi" w:cstheme="minorBidi"/>
      <w:sz w:val="22"/>
      <w:szCs w:val="22"/>
      <w:vertAlign w:val="superscript"/>
      <w:lang w:val="es-MX" w:eastAsia="en-US"/>
    </w:rPr>
  </w:style>
  <w:style w:type="paragraph" w:styleId="Encabezado">
    <w:name w:val="header"/>
    <w:basedOn w:val="Normal"/>
    <w:link w:val="EncabezadoCar"/>
    <w:uiPriority w:val="99"/>
    <w:unhideWhenUsed/>
    <w:rsid w:val="00E9149D"/>
    <w:pPr>
      <w:tabs>
        <w:tab w:val="center" w:pos="4419"/>
        <w:tab w:val="right" w:pos="8838"/>
      </w:tabs>
    </w:pPr>
  </w:style>
  <w:style w:type="character" w:customStyle="1" w:styleId="EncabezadoCar">
    <w:name w:val="Encabezado Car"/>
    <w:basedOn w:val="Fuentedeprrafopredeter"/>
    <w:link w:val="Encabezado"/>
    <w:uiPriority w:val="99"/>
    <w:rsid w:val="00E9149D"/>
    <w:rPr>
      <w:rFonts w:ascii="Times New Roman" w:eastAsia="Times New Roman" w:hAnsi="Times New Roman" w:cs="Times New Roman"/>
      <w:sz w:val="20"/>
      <w:szCs w:val="20"/>
      <w:lang w:val="es-ES_tradnl" w:eastAsia="es-MX"/>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r, Car,FA Fu?notentext,Ca, Car3, C"/>
    <w:basedOn w:val="Normal"/>
    <w:link w:val="TextonotapieCar1"/>
    <w:qFormat/>
    <w:rsid w:val="00366868"/>
  </w:style>
  <w:style w:type="character" w:customStyle="1" w:styleId="TextonotapieCar">
    <w:name w:val="Texto nota pie Car"/>
    <w:basedOn w:val="Fuentedeprrafopredeter"/>
    <w:uiPriority w:val="99"/>
    <w:semiHidden/>
    <w:rsid w:val="00366868"/>
    <w:rPr>
      <w:rFonts w:ascii="Times New Roman" w:eastAsia="Times New Roman" w:hAnsi="Times New Roman" w:cs="Times New Roman"/>
      <w:sz w:val="20"/>
      <w:szCs w:val="20"/>
      <w:lang w:val="es-ES_tradnl" w:eastAsia="es-MX"/>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Car Car, Car Car,Ca Car"/>
    <w:basedOn w:val="Fuentedeprrafopredeter"/>
    <w:link w:val="Textonotapie"/>
    <w:locked/>
    <w:rsid w:val="00366868"/>
    <w:rPr>
      <w:rFonts w:ascii="Times New Roman" w:eastAsia="Times New Roman" w:hAnsi="Times New Roman" w:cs="Times New Roman"/>
      <w:sz w:val="20"/>
      <w:szCs w:val="20"/>
      <w:lang w:val="es-ES_tradnl" w:eastAsia="es-MX"/>
    </w:rPr>
  </w:style>
  <w:style w:type="character" w:customStyle="1" w:styleId="corte4fondoCar2">
    <w:name w:val="corte4 fondo Car2"/>
    <w:basedOn w:val="Fuentedeprrafopredeter"/>
    <w:locked/>
    <w:rsid w:val="001A490F"/>
    <w:rPr>
      <w:rFonts w:ascii="Arial" w:hAnsi="Arial"/>
      <w:sz w:val="30"/>
      <w:lang w:val="es-ES_tradnl" w:eastAsia="es-ES" w:bidi="ar-SA"/>
    </w:rPr>
  </w:style>
  <w:style w:type="table" w:styleId="Tablaconcuadrcula">
    <w:name w:val="Table Grid"/>
    <w:basedOn w:val="Tablanormal"/>
    <w:uiPriority w:val="59"/>
    <w:rsid w:val="00FF291B"/>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1,Párrafo de lista2,List Paragraph,Cita texto,Footnote,List Paragraph1,Colorful List - Accent 11,Cuadrícula clara - Énfasis 31,TEXTO GENERAL SENTENCIAS,Lista vistosa - Énfasis 11,Dot pt,No Spacing1,Indicator Text,PARRAFO"/>
    <w:basedOn w:val="Normal"/>
    <w:link w:val="PrrafodelistaCar"/>
    <w:uiPriority w:val="34"/>
    <w:qFormat/>
    <w:rsid w:val="00FF291B"/>
    <w:pPr>
      <w:ind w:left="720"/>
      <w:contextualSpacing/>
      <w:jc w:val="both"/>
    </w:pPr>
    <w:rPr>
      <w:lang w:eastAsia="es-ES"/>
    </w:rPr>
  </w:style>
  <w:style w:type="character" w:customStyle="1" w:styleId="PrrafodelistaCar">
    <w:name w:val="Párrafo de lista Car"/>
    <w:aliases w:val="Párrafo de lista1 Car,Párrafo de lista2 Car,List Paragraph Car,Cita texto Car,Footnote Car,List Paragraph1 Car,Colorful List - Accent 11 Car,Cuadrícula clara - Énfasis 31 Car,TEXTO GENERAL SENTENCIAS Car,Dot pt Car,No Spacing1 Car"/>
    <w:link w:val="Prrafodelista"/>
    <w:uiPriority w:val="34"/>
    <w:qFormat/>
    <w:rsid w:val="00FF291B"/>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624</Words>
  <Characters>3433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CHARA TANUS</dc:creator>
  <cp:lastModifiedBy>MIGUEL ANGEL ANDRADE SOLANA</cp:lastModifiedBy>
  <cp:revision>5</cp:revision>
  <dcterms:created xsi:type="dcterms:W3CDTF">2021-09-11T11:39:00Z</dcterms:created>
  <dcterms:modified xsi:type="dcterms:W3CDTF">2021-09-11T12:24:00Z</dcterms:modified>
</cp:coreProperties>
</file>