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FA69" w14:textId="38FB99E7" w:rsidR="00DC1A86" w:rsidRPr="00C349AC" w:rsidRDefault="00DC1A86" w:rsidP="00556E9F">
      <w:pPr>
        <w:tabs>
          <w:tab w:val="left" w:pos="8931"/>
        </w:tabs>
        <w:spacing w:after="0" w:line="360" w:lineRule="auto"/>
        <w:jc w:val="both"/>
        <w:rPr>
          <w:rFonts w:ascii="Arial" w:hAnsi="Arial" w:cs="Arial"/>
          <w:b/>
          <w:color w:val="000000" w:themeColor="text1"/>
          <w:sz w:val="28"/>
          <w:szCs w:val="28"/>
        </w:rPr>
      </w:pPr>
    </w:p>
    <w:p w14:paraId="62285733" w14:textId="77777777" w:rsidR="00DC1A86" w:rsidRPr="00C349AC" w:rsidRDefault="00DC1A86" w:rsidP="00556E9F">
      <w:pPr>
        <w:tabs>
          <w:tab w:val="left" w:pos="8931"/>
        </w:tabs>
        <w:spacing w:after="0" w:line="360" w:lineRule="auto"/>
        <w:jc w:val="both"/>
        <w:rPr>
          <w:rFonts w:ascii="Arial" w:hAnsi="Arial" w:cs="Arial"/>
          <w:b/>
          <w:color w:val="000000" w:themeColor="text1"/>
          <w:sz w:val="28"/>
          <w:szCs w:val="28"/>
        </w:rPr>
      </w:pPr>
    </w:p>
    <w:p w14:paraId="40A61D30" w14:textId="56F6EC89" w:rsidR="00DC1A86" w:rsidRPr="00C349AC" w:rsidRDefault="00DC1A86" w:rsidP="00556E9F">
      <w:pPr>
        <w:tabs>
          <w:tab w:val="left" w:pos="8931"/>
        </w:tabs>
        <w:spacing w:after="0" w:line="360" w:lineRule="auto"/>
        <w:jc w:val="both"/>
        <w:rPr>
          <w:rFonts w:ascii="Arial" w:hAnsi="Arial" w:cs="Arial"/>
          <w:b/>
          <w:color w:val="000000" w:themeColor="text1"/>
          <w:sz w:val="28"/>
          <w:szCs w:val="28"/>
          <w:lang w:val="es-ES_tradnl"/>
        </w:rPr>
      </w:pPr>
      <w:r w:rsidRPr="00C349AC">
        <w:rPr>
          <w:rFonts w:ascii="Arial" w:hAnsi="Arial" w:cs="Arial"/>
          <w:b/>
          <w:color w:val="000000" w:themeColor="text1"/>
          <w:sz w:val="28"/>
          <w:szCs w:val="28"/>
          <w:lang w:val="es-ES_tradnl"/>
        </w:rPr>
        <w:t xml:space="preserve">VOTO CONCURRENTE QUE FORMULA EL MINISTRO PRESIDENTE ARTURO ZALDÍVAR LELO DE LARREA EN LA ACCIÓN DE INCONSTITUCIONALIDAD 95/2019 Y SU ACUMULADA 98/2019, PROMOVIDAS POR LA COMISIÓN NACIONAL DE </w:t>
      </w:r>
      <w:r w:rsidR="003B6339">
        <w:rPr>
          <w:rFonts w:ascii="Arial" w:hAnsi="Arial" w:cs="Arial"/>
          <w:b/>
          <w:color w:val="000000" w:themeColor="text1"/>
          <w:sz w:val="28"/>
          <w:szCs w:val="28"/>
          <w:lang w:val="es-ES_tradnl"/>
        </w:rPr>
        <w:t xml:space="preserve">LOS </w:t>
      </w:r>
      <w:r w:rsidRPr="00C349AC">
        <w:rPr>
          <w:rFonts w:ascii="Arial" w:hAnsi="Arial" w:cs="Arial"/>
          <w:b/>
          <w:color w:val="000000" w:themeColor="text1"/>
          <w:sz w:val="28"/>
          <w:szCs w:val="28"/>
          <w:lang w:val="es-ES_tradnl"/>
        </w:rPr>
        <w:t>DERECHOS HUMANOS Y LA COMISIÓN DE DERECHOS HUMANOS DE LA CIUDAD DE MÉXICO</w:t>
      </w:r>
      <w:r w:rsidR="00CC59E0" w:rsidRPr="00C349AC">
        <w:rPr>
          <w:rFonts w:ascii="Arial" w:hAnsi="Arial" w:cs="Arial"/>
          <w:b/>
          <w:color w:val="000000" w:themeColor="text1"/>
          <w:sz w:val="28"/>
          <w:szCs w:val="28"/>
          <w:lang w:val="es-ES_tradnl"/>
        </w:rPr>
        <w:t>.</w:t>
      </w:r>
    </w:p>
    <w:p w14:paraId="3FBA963A" w14:textId="77777777" w:rsidR="00DC1A86" w:rsidRPr="00C349AC" w:rsidRDefault="00DC1A86" w:rsidP="00556E9F">
      <w:pPr>
        <w:tabs>
          <w:tab w:val="left" w:pos="8931"/>
        </w:tabs>
        <w:spacing w:after="0" w:line="360" w:lineRule="auto"/>
        <w:jc w:val="both"/>
        <w:rPr>
          <w:rFonts w:ascii="Arial" w:hAnsi="Arial" w:cs="Arial"/>
          <w:b/>
          <w:color w:val="000000" w:themeColor="text1"/>
          <w:sz w:val="28"/>
          <w:szCs w:val="28"/>
          <w:highlight w:val="yellow"/>
        </w:rPr>
      </w:pPr>
    </w:p>
    <w:p w14:paraId="7421F619" w14:textId="6346124E" w:rsidR="00DC1A86" w:rsidRPr="00C349AC" w:rsidRDefault="00DC1A86" w:rsidP="00EB4632">
      <w:pPr>
        <w:spacing w:after="0" w:line="360" w:lineRule="auto"/>
        <w:ind w:firstLine="708"/>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En sesión pública celebrada el siete de enero de dos mil veintiuno, el Pleno de la Suprema Corte resolvió la acción de inconstitucionalidad 95/2019 y su acumulada</w:t>
      </w:r>
      <w:r w:rsidR="00CC59E0" w:rsidRPr="00C349AC">
        <w:rPr>
          <w:rFonts w:ascii="Arial" w:hAnsi="Arial" w:cs="Arial"/>
          <w:color w:val="000000" w:themeColor="text1"/>
          <w:sz w:val="28"/>
          <w:szCs w:val="28"/>
          <w:lang w:val="es-ES_tradnl"/>
        </w:rPr>
        <w:t xml:space="preserve"> </w:t>
      </w:r>
      <w:r w:rsidRPr="00C349AC">
        <w:rPr>
          <w:rFonts w:ascii="Arial" w:hAnsi="Arial" w:cs="Arial"/>
          <w:color w:val="000000" w:themeColor="text1"/>
          <w:sz w:val="28"/>
          <w:szCs w:val="28"/>
          <w:lang w:val="es-ES_tradnl"/>
        </w:rPr>
        <w:t xml:space="preserve">98/2019, promovidas por la Comisión Nacional de </w:t>
      </w:r>
      <w:r w:rsidR="00EB4632">
        <w:rPr>
          <w:rFonts w:ascii="Arial" w:hAnsi="Arial" w:cs="Arial"/>
          <w:color w:val="000000" w:themeColor="text1"/>
          <w:sz w:val="28"/>
          <w:szCs w:val="28"/>
          <w:lang w:val="es-ES_tradnl"/>
        </w:rPr>
        <w:t xml:space="preserve">los </w:t>
      </w:r>
      <w:r w:rsidRPr="00C349AC">
        <w:rPr>
          <w:rFonts w:ascii="Arial" w:hAnsi="Arial" w:cs="Arial"/>
          <w:color w:val="000000" w:themeColor="text1"/>
          <w:sz w:val="28"/>
          <w:szCs w:val="28"/>
          <w:lang w:val="es-ES_tradnl"/>
        </w:rPr>
        <w:t>Derechos Humanos (en adelante “CNDH”) y la Comisión de Derechos Humanos de la Ciudad de México (en adelante “</w:t>
      </w:r>
      <w:r w:rsidR="007279D3" w:rsidRPr="00C349AC">
        <w:rPr>
          <w:rFonts w:ascii="Arial" w:hAnsi="Arial" w:cs="Arial"/>
          <w:color w:val="000000" w:themeColor="text1"/>
          <w:sz w:val="28"/>
          <w:szCs w:val="28"/>
          <w:lang w:val="es-ES_tradnl"/>
        </w:rPr>
        <w:t>CDHCM</w:t>
      </w:r>
      <w:r w:rsidRPr="00C349AC">
        <w:rPr>
          <w:rFonts w:ascii="Arial" w:hAnsi="Arial" w:cs="Arial"/>
          <w:color w:val="000000" w:themeColor="text1"/>
          <w:sz w:val="28"/>
          <w:szCs w:val="28"/>
          <w:lang w:val="es-ES_tradnl"/>
        </w:rPr>
        <w:t>”), en las que se impugnaron diversos artículos de la Ley del Sistema de Seguridad Ciudadana de la Ciudad de México.</w:t>
      </w:r>
    </w:p>
    <w:p w14:paraId="55EB24C7" w14:textId="77777777" w:rsidR="00DC1A86" w:rsidRPr="00C349AC" w:rsidRDefault="00DC1A86" w:rsidP="00556E9F">
      <w:pPr>
        <w:spacing w:after="0" w:line="360" w:lineRule="auto"/>
        <w:jc w:val="both"/>
        <w:rPr>
          <w:rFonts w:ascii="Arial" w:hAnsi="Arial" w:cs="Arial"/>
          <w:color w:val="000000" w:themeColor="text1"/>
          <w:sz w:val="28"/>
          <w:szCs w:val="28"/>
          <w:lang w:val="es-ES_tradnl"/>
        </w:rPr>
      </w:pPr>
    </w:p>
    <w:p w14:paraId="38EEBE56" w14:textId="55D113F7" w:rsidR="00DC1A86" w:rsidRPr="00C349AC" w:rsidRDefault="00DC1A86" w:rsidP="00EB4632">
      <w:pPr>
        <w:spacing w:after="0" w:line="360" w:lineRule="auto"/>
        <w:ind w:firstLine="708"/>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 xml:space="preserve">Presento este voto concurrente, pues si bien coincidí con la mayoría de mis compañeras y compañeros </w:t>
      </w:r>
      <w:proofErr w:type="gramStart"/>
      <w:r w:rsidRPr="00C349AC">
        <w:rPr>
          <w:rFonts w:ascii="Arial" w:hAnsi="Arial" w:cs="Arial"/>
          <w:color w:val="000000" w:themeColor="text1"/>
          <w:sz w:val="28"/>
          <w:szCs w:val="28"/>
          <w:lang w:val="es-ES_tradnl"/>
        </w:rPr>
        <w:t>Ministros</w:t>
      </w:r>
      <w:proofErr w:type="gramEnd"/>
      <w:r w:rsidRPr="00C349AC">
        <w:rPr>
          <w:rFonts w:ascii="Arial" w:hAnsi="Arial" w:cs="Arial"/>
          <w:color w:val="000000" w:themeColor="text1"/>
          <w:sz w:val="28"/>
          <w:szCs w:val="28"/>
          <w:lang w:val="es-ES_tradnl"/>
        </w:rPr>
        <w:t xml:space="preserve"> en prácticamente la totalidad de los temas abordados, en algunos casos no comparto las consideraciones y </w:t>
      </w:r>
      <w:r w:rsidR="00CC59E0" w:rsidRPr="00C349AC">
        <w:rPr>
          <w:rFonts w:ascii="Arial" w:hAnsi="Arial" w:cs="Arial"/>
          <w:color w:val="000000" w:themeColor="text1"/>
          <w:sz w:val="28"/>
          <w:szCs w:val="28"/>
          <w:lang w:val="es-ES_tradnl"/>
        </w:rPr>
        <w:t xml:space="preserve">en </w:t>
      </w:r>
      <w:r w:rsidRPr="00C349AC">
        <w:rPr>
          <w:rFonts w:ascii="Arial" w:hAnsi="Arial" w:cs="Arial"/>
          <w:color w:val="000000" w:themeColor="text1"/>
          <w:sz w:val="28"/>
          <w:szCs w:val="28"/>
          <w:lang w:val="es-ES_tradnl"/>
        </w:rPr>
        <w:t xml:space="preserve">otros me parece importante ampliar o abundar algunos puntos de la argumentación de la sentencia. </w:t>
      </w:r>
    </w:p>
    <w:p w14:paraId="67A25CD6" w14:textId="5AD06092" w:rsidR="00DC1A86" w:rsidRPr="00C349AC" w:rsidRDefault="00DC1A86" w:rsidP="00556E9F">
      <w:pPr>
        <w:spacing w:after="0" w:line="360" w:lineRule="auto"/>
        <w:jc w:val="both"/>
        <w:rPr>
          <w:rFonts w:ascii="Arial" w:hAnsi="Arial" w:cs="Arial"/>
          <w:color w:val="000000" w:themeColor="text1"/>
          <w:sz w:val="28"/>
          <w:szCs w:val="28"/>
          <w:lang w:val="es-ES_tradnl"/>
        </w:rPr>
      </w:pPr>
    </w:p>
    <w:p w14:paraId="3CEEA8E8" w14:textId="3B75A130" w:rsidR="007279D3" w:rsidRPr="00C349AC" w:rsidRDefault="00DC1A86" w:rsidP="00556E9F">
      <w:pPr>
        <w:spacing w:after="0" w:line="360" w:lineRule="auto"/>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ab/>
        <w:t xml:space="preserve">A fin de explicar esta opinión, </w:t>
      </w:r>
      <w:r w:rsidR="00556E9F" w:rsidRPr="00C349AC">
        <w:rPr>
          <w:rFonts w:ascii="Arial" w:hAnsi="Arial" w:cs="Arial"/>
          <w:color w:val="000000" w:themeColor="text1"/>
          <w:sz w:val="28"/>
          <w:szCs w:val="28"/>
          <w:lang w:val="es-ES_tradnl"/>
        </w:rPr>
        <w:t>estructuraré mi voto</w:t>
      </w:r>
      <w:r w:rsidRPr="00C349AC">
        <w:rPr>
          <w:rFonts w:ascii="Arial" w:hAnsi="Arial" w:cs="Arial"/>
          <w:color w:val="000000" w:themeColor="text1"/>
          <w:sz w:val="28"/>
          <w:szCs w:val="28"/>
          <w:lang w:val="es-ES_tradnl"/>
        </w:rPr>
        <w:t xml:space="preserve"> de la siguiente manera. En un primer apartado, relacionado</w:t>
      </w:r>
      <w:r w:rsidR="00091699" w:rsidRPr="00C349AC">
        <w:rPr>
          <w:rFonts w:ascii="Arial" w:hAnsi="Arial" w:cs="Arial"/>
          <w:color w:val="000000" w:themeColor="text1"/>
          <w:sz w:val="28"/>
          <w:szCs w:val="28"/>
          <w:lang w:val="es-ES_tradnl"/>
        </w:rPr>
        <w:t xml:space="preserve"> con el considerando Cuarto (causas de improcedencia)</w:t>
      </w:r>
      <w:r w:rsidRPr="00C349AC">
        <w:rPr>
          <w:rFonts w:ascii="Arial" w:hAnsi="Arial" w:cs="Arial"/>
          <w:color w:val="000000" w:themeColor="text1"/>
          <w:sz w:val="28"/>
          <w:szCs w:val="28"/>
          <w:lang w:val="es-ES_tradnl"/>
        </w:rPr>
        <w:t xml:space="preserve">, explicaré mi postura en torno a </w:t>
      </w:r>
      <w:bookmarkStart w:id="0" w:name="_Hlk75779283"/>
      <w:r w:rsidRPr="00C349AC">
        <w:rPr>
          <w:rFonts w:ascii="Arial" w:hAnsi="Arial" w:cs="Arial"/>
          <w:b/>
          <w:bCs/>
          <w:color w:val="000000" w:themeColor="text1"/>
          <w:sz w:val="28"/>
          <w:szCs w:val="28"/>
          <w:lang w:val="es-ES_tradnl"/>
        </w:rPr>
        <w:t>1)</w:t>
      </w:r>
      <w:r w:rsidRPr="00C349AC">
        <w:rPr>
          <w:rFonts w:ascii="Arial" w:hAnsi="Arial" w:cs="Arial"/>
          <w:color w:val="000000" w:themeColor="text1"/>
          <w:sz w:val="28"/>
          <w:szCs w:val="28"/>
          <w:lang w:val="es-ES_tradnl"/>
        </w:rPr>
        <w:t xml:space="preserve"> la legitimación de la CNDH y la </w:t>
      </w:r>
      <w:r w:rsidR="007279D3" w:rsidRPr="00C349AC">
        <w:rPr>
          <w:rFonts w:ascii="Arial" w:hAnsi="Arial" w:cs="Arial"/>
          <w:color w:val="000000" w:themeColor="text1"/>
          <w:sz w:val="28"/>
          <w:szCs w:val="28"/>
          <w:lang w:val="es-ES_tradnl"/>
        </w:rPr>
        <w:t>CDHCM</w:t>
      </w:r>
      <w:r w:rsidRPr="00C349AC">
        <w:rPr>
          <w:rFonts w:ascii="Arial" w:hAnsi="Arial" w:cs="Arial"/>
          <w:color w:val="000000" w:themeColor="text1"/>
          <w:sz w:val="28"/>
          <w:szCs w:val="28"/>
          <w:lang w:val="es-ES_tradnl"/>
        </w:rPr>
        <w:t xml:space="preserve"> para promover la presente acción, y </w:t>
      </w:r>
      <w:r w:rsidRPr="00C349AC">
        <w:rPr>
          <w:rFonts w:ascii="Arial" w:hAnsi="Arial" w:cs="Arial"/>
          <w:b/>
          <w:bCs/>
          <w:color w:val="000000" w:themeColor="text1"/>
          <w:sz w:val="28"/>
          <w:szCs w:val="28"/>
          <w:lang w:val="es-ES_tradnl"/>
        </w:rPr>
        <w:t>2)</w:t>
      </w:r>
      <w:r w:rsidRPr="00C349AC">
        <w:rPr>
          <w:rFonts w:ascii="Arial" w:hAnsi="Arial" w:cs="Arial"/>
          <w:color w:val="000000" w:themeColor="text1"/>
          <w:sz w:val="28"/>
          <w:szCs w:val="28"/>
          <w:lang w:val="es-ES_tradnl"/>
        </w:rPr>
        <w:t xml:space="preserve"> el sobreseimiento decretado por actualización de nuevo acto legislativo. Posteriormente, en un segundo apartado</w:t>
      </w:r>
      <w:r w:rsidR="005D53E3" w:rsidRPr="00C349AC">
        <w:rPr>
          <w:rFonts w:ascii="Arial" w:hAnsi="Arial" w:cs="Arial"/>
          <w:color w:val="000000" w:themeColor="text1"/>
          <w:sz w:val="28"/>
          <w:szCs w:val="28"/>
          <w:lang w:val="es-ES_tradnl"/>
        </w:rPr>
        <w:t>, relacionado con</w:t>
      </w:r>
      <w:r w:rsidR="00091699" w:rsidRPr="00C349AC">
        <w:rPr>
          <w:rFonts w:ascii="Arial" w:hAnsi="Arial" w:cs="Arial"/>
          <w:color w:val="000000" w:themeColor="text1"/>
          <w:sz w:val="28"/>
          <w:szCs w:val="28"/>
          <w:lang w:val="es-ES_tradnl"/>
        </w:rPr>
        <w:t xml:space="preserve"> </w:t>
      </w:r>
      <w:r w:rsidR="00CC59E0" w:rsidRPr="00C349AC">
        <w:rPr>
          <w:rFonts w:ascii="Arial" w:hAnsi="Arial" w:cs="Arial"/>
          <w:color w:val="000000" w:themeColor="text1"/>
          <w:sz w:val="28"/>
          <w:szCs w:val="28"/>
          <w:lang w:val="es-ES_tradnl"/>
        </w:rPr>
        <w:t xml:space="preserve">el </w:t>
      </w:r>
      <w:r w:rsidR="00091699" w:rsidRPr="00C349AC">
        <w:rPr>
          <w:rFonts w:ascii="Arial" w:hAnsi="Arial" w:cs="Arial"/>
          <w:color w:val="000000" w:themeColor="text1"/>
          <w:sz w:val="28"/>
          <w:szCs w:val="28"/>
          <w:lang w:val="es-ES_tradnl"/>
        </w:rPr>
        <w:t>considerando Quinto (estudio de fondo)</w:t>
      </w:r>
      <w:r w:rsidR="005D53E3" w:rsidRPr="00C349AC">
        <w:rPr>
          <w:rFonts w:ascii="Arial" w:hAnsi="Arial" w:cs="Arial"/>
          <w:color w:val="000000" w:themeColor="text1"/>
          <w:sz w:val="28"/>
          <w:szCs w:val="28"/>
          <w:lang w:val="es-ES_tradnl"/>
        </w:rPr>
        <w:t xml:space="preserve">, </w:t>
      </w:r>
      <w:r w:rsidRPr="00C349AC">
        <w:rPr>
          <w:rFonts w:ascii="Arial" w:hAnsi="Arial" w:cs="Arial"/>
          <w:color w:val="000000" w:themeColor="text1"/>
          <w:sz w:val="28"/>
          <w:szCs w:val="28"/>
          <w:lang w:val="es-ES_tradnl"/>
        </w:rPr>
        <w:t xml:space="preserve">me pronunciaré sobre </w:t>
      </w:r>
      <w:r w:rsidR="00872C32" w:rsidRPr="00C349AC">
        <w:rPr>
          <w:rFonts w:ascii="Arial" w:hAnsi="Arial" w:cs="Arial"/>
          <w:b/>
          <w:bCs/>
          <w:color w:val="000000" w:themeColor="text1"/>
          <w:sz w:val="28"/>
          <w:szCs w:val="28"/>
          <w:lang w:val="es-ES_tradnl"/>
        </w:rPr>
        <w:t>a</w:t>
      </w:r>
      <w:r w:rsidRPr="00C349AC">
        <w:rPr>
          <w:rFonts w:ascii="Arial" w:hAnsi="Arial" w:cs="Arial"/>
          <w:b/>
          <w:bCs/>
          <w:color w:val="000000" w:themeColor="text1"/>
          <w:sz w:val="28"/>
          <w:szCs w:val="28"/>
          <w:lang w:val="es-ES_tradnl"/>
        </w:rPr>
        <w:t>)</w:t>
      </w:r>
      <w:r w:rsidR="00872C32" w:rsidRPr="00C349AC">
        <w:rPr>
          <w:rFonts w:ascii="Arial" w:hAnsi="Arial" w:cs="Arial"/>
          <w:color w:val="000000" w:themeColor="text1"/>
          <w:sz w:val="28"/>
          <w:szCs w:val="28"/>
          <w:lang w:val="es-ES_tradnl"/>
        </w:rPr>
        <w:t xml:space="preserve"> Tema 1.</w:t>
      </w:r>
      <w:r w:rsidRPr="00C349AC">
        <w:rPr>
          <w:rFonts w:ascii="Arial" w:hAnsi="Arial" w:cs="Arial"/>
          <w:color w:val="000000" w:themeColor="text1"/>
          <w:sz w:val="28"/>
          <w:szCs w:val="28"/>
          <w:lang w:val="es-ES_tradnl"/>
        </w:rPr>
        <w:t xml:space="preserve"> </w:t>
      </w:r>
      <w:r w:rsidR="00872C32" w:rsidRPr="00C349AC">
        <w:rPr>
          <w:rFonts w:ascii="Arial" w:hAnsi="Arial" w:cs="Arial"/>
          <w:color w:val="000000" w:themeColor="text1"/>
          <w:sz w:val="28"/>
          <w:szCs w:val="28"/>
          <w:lang w:val="es-ES_tradnl"/>
        </w:rPr>
        <w:t>Constitucionalidad del capítulo VIII, denominado</w:t>
      </w:r>
      <w:r w:rsidR="00CC59E0" w:rsidRPr="00C349AC">
        <w:rPr>
          <w:rFonts w:ascii="Arial" w:hAnsi="Arial" w:cs="Arial"/>
          <w:color w:val="000000" w:themeColor="text1"/>
          <w:sz w:val="28"/>
          <w:szCs w:val="28"/>
          <w:lang w:val="es-ES_tradnl"/>
        </w:rPr>
        <w:t xml:space="preserve"> </w:t>
      </w:r>
      <w:r w:rsidR="00872C32" w:rsidRPr="00C349AC">
        <w:rPr>
          <w:rFonts w:ascii="Arial" w:hAnsi="Arial" w:cs="Arial"/>
          <w:color w:val="000000" w:themeColor="text1"/>
          <w:sz w:val="28"/>
          <w:szCs w:val="28"/>
          <w:lang w:val="es-ES_tradnl"/>
        </w:rPr>
        <w:t xml:space="preserve">“Registro </w:t>
      </w:r>
      <w:r w:rsidR="00872C32" w:rsidRPr="00C349AC">
        <w:rPr>
          <w:rFonts w:ascii="Arial" w:hAnsi="Arial" w:cs="Arial"/>
          <w:color w:val="000000" w:themeColor="text1"/>
          <w:sz w:val="28"/>
          <w:szCs w:val="28"/>
          <w:lang w:val="es-ES_tradnl"/>
        </w:rPr>
        <w:lastRenderedPageBreak/>
        <w:t xml:space="preserve">Administrativo de Detenciones”; </w:t>
      </w:r>
      <w:r w:rsidR="00872C32" w:rsidRPr="00C349AC">
        <w:rPr>
          <w:rFonts w:ascii="Arial" w:hAnsi="Arial" w:cs="Arial"/>
          <w:b/>
          <w:bCs/>
          <w:color w:val="000000" w:themeColor="text1"/>
          <w:sz w:val="28"/>
          <w:szCs w:val="28"/>
          <w:lang w:val="es-ES_tradnl"/>
        </w:rPr>
        <w:t>b)</w:t>
      </w:r>
      <w:r w:rsidR="00872C32" w:rsidRPr="00C349AC">
        <w:rPr>
          <w:rFonts w:ascii="Arial" w:hAnsi="Arial" w:cs="Arial"/>
          <w:color w:val="000000" w:themeColor="text1"/>
          <w:sz w:val="28"/>
          <w:szCs w:val="28"/>
          <w:lang w:val="es-ES_tradnl"/>
        </w:rPr>
        <w:t xml:space="preserve"> Tema 2.</w:t>
      </w:r>
      <w:r w:rsidR="00886FD9" w:rsidRPr="00C349AC">
        <w:rPr>
          <w:rFonts w:ascii="Arial" w:hAnsi="Arial" w:cs="Arial"/>
          <w:color w:val="000000" w:themeColor="text1"/>
          <w:sz w:val="28"/>
          <w:szCs w:val="28"/>
          <w:lang w:val="es-ES_tradnl"/>
        </w:rPr>
        <w:t xml:space="preserve"> I</w:t>
      </w:r>
      <w:r w:rsidRPr="00C349AC">
        <w:rPr>
          <w:rFonts w:ascii="Arial" w:hAnsi="Arial" w:cs="Arial"/>
          <w:color w:val="000000" w:themeColor="text1"/>
          <w:sz w:val="28"/>
          <w:szCs w:val="28"/>
          <w:lang w:val="es-ES_tradnl"/>
        </w:rPr>
        <w:t>nconstitucionalidad del artículo 131</w:t>
      </w:r>
      <w:bookmarkEnd w:id="0"/>
      <w:r w:rsidRPr="00C349AC">
        <w:rPr>
          <w:rFonts w:ascii="Arial" w:hAnsi="Arial" w:cs="Arial"/>
          <w:color w:val="000000" w:themeColor="text1"/>
          <w:sz w:val="28"/>
          <w:szCs w:val="28"/>
          <w:lang w:val="es-ES_tradnl"/>
        </w:rPr>
        <w:t>;</w:t>
      </w:r>
      <w:r w:rsidR="00872C32" w:rsidRPr="00C349AC">
        <w:rPr>
          <w:rFonts w:ascii="Arial" w:hAnsi="Arial" w:cs="Arial"/>
          <w:color w:val="000000" w:themeColor="text1"/>
          <w:sz w:val="28"/>
          <w:szCs w:val="28"/>
          <w:lang w:val="es-ES_tradnl"/>
        </w:rPr>
        <w:t xml:space="preserve"> </w:t>
      </w:r>
      <w:r w:rsidR="00872C32" w:rsidRPr="00C349AC">
        <w:rPr>
          <w:rFonts w:ascii="Arial" w:hAnsi="Arial" w:cs="Arial"/>
          <w:b/>
          <w:bCs/>
          <w:color w:val="000000" w:themeColor="text1"/>
          <w:sz w:val="28"/>
          <w:szCs w:val="28"/>
          <w:lang w:val="es-ES_tradnl"/>
        </w:rPr>
        <w:t>c)</w:t>
      </w:r>
      <w:r w:rsidR="00872C32" w:rsidRPr="00C349AC">
        <w:rPr>
          <w:rFonts w:ascii="Arial" w:hAnsi="Arial" w:cs="Arial"/>
          <w:color w:val="000000" w:themeColor="text1"/>
          <w:sz w:val="28"/>
          <w:szCs w:val="28"/>
          <w:lang w:val="es-ES_tradnl"/>
        </w:rPr>
        <w:t xml:space="preserve"> Tema 3.</w:t>
      </w:r>
      <w:r w:rsidR="00886FD9" w:rsidRPr="00C349AC">
        <w:rPr>
          <w:rFonts w:ascii="Arial" w:hAnsi="Arial" w:cs="Arial"/>
          <w:color w:val="000000" w:themeColor="text1"/>
          <w:sz w:val="28"/>
          <w:szCs w:val="28"/>
          <w:lang w:val="es-ES_tradnl"/>
        </w:rPr>
        <w:t xml:space="preserve"> </w:t>
      </w:r>
      <w:r w:rsidRPr="00C349AC">
        <w:rPr>
          <w:rFonts w:ascii="Arial" w:hAnsi="Arial" w:cs="Arial"/>
          <w:color w:val="000000" w:themeColor="text1"/>
          <w:sz w:val="28"/>
          <w:szCs w:val="28"/>
          <w:lang w:val="es-ES_tradnl"/>
        </w:rPr>
        <w:t xml:space="preserve"> Inconstitucionalidad del artículo 3, fracción I; </w:t>
      </w:r>
      <w:r w:rsidR="00886FD9" w:rsidRPr="00C349AC">
        <w:rPr>
          <w:rFonts w:ascii="Arial" w:hAnsi="Arial" w:cs="Arial"/>
          <w:b/>
          <w:bCs/>
          <w:color w:val="000000" w:themeColor="text1"/>
          <w:sz w:val="28"/>
          <w:szCs w:val="28"/>
          <w:lang w:val="es-ES_tradnl"/>
        </w:rPr>
        <w:t>d)</w:t>
      </w:r>
      <w:r w:rsidR="00886FD9" w:rsidRPr="00C349AC">
        <w:rPr>
          <w:rFonts w:ascii="Arial" w:hAnsi="Arial" w:cs="Arial"/>
          <w:color w:val="000000" w:themeColor="text1"/>
          <w:sz w:val="28"/>
          <w:szCs w:val="28"/>
          <w:lang w:val="es-ES_tradnl"/>
        </w:rPr>
        <w:t xml:space="preserve"> Tema 4. Constitucionalidad del </w:t>
      </w:r>
      <w:r w:rsidRPr="00C349AC">
        <w:rPr>
          <w:rFonts w:ascii="Arial" w:hAnsi="Arial" w:cs="Arial"/>
          <w:color w:val="000000" w:themeColor="text1"/>
          <w:sz w:val="28"/>
          <w:szCs w:val="28"/>
          <w:lang w:val="es-ES_tradnl"/>
        </w:rPr>
        <w:t>artículo 59, fracción XXI;</w:t>
      </w:r>
      <w:r w:rsidR="00886FD9" w:rsidRPr="00C349AC">
        <w:rPr>
          <w:rFonts w:ascii="Arial" w:hAnsi="Arial" w:cs="Arial"/>
          <w:color w:val="000000" w:themeColor="text1"/>
          <w:sz w:val="28"/>
          <w:szCs w:val="28"/>
          <w:lang w:val="es-ES_tradnl"/>
        </w:rPr>
        <w:t xml:space="preserve"> </w:t>
      </w:r>
      <w:r w:rsidR="00886FD9" w:rsidRPr="00C349AC">
        <w:rPr>
          <w:rFonts w:ascii="Arial" w:hAnsi="Arial" w:cs="Arial"/>
          <w:b/>
          <w:bCs/>
          <w:color w:val="000000" w:themeColor="text1"/>
          <w:sz w:val="28"/>
          <w:szCs w:val="28"/>
          <w:lang w:val="es-ES_tradnl"/>
        </w:rPr>
        <w:t>e)</w:t>
      </w:r>
      <w:r w:rsidR="00886FD9" w:rsidRPr="00C349AC">
        <w:rPr>
          <w:rFonts w:ascii="Arial" w:hAnsi="Arial" w:cs="Arial"/>
          <w:color w:val="000000" w:themeColor="text1"/>
          <w:sz w:val="28"/>
          <w:szCs w:val="28"/>
          <w:lang w:val="es-ES_tradnl"/>
        </w:rPr>
        <w:t xml:space="preserve"> Tema 5. Constitucionalidad</w:t>
      </w:r>
      <w:r w:rsidRPr="00C349AC">
        <w:rPr>
          <w:rFonts w:ascii="Arial" w:hAnsi="Arial" w:cs="Arial"/>
          <w:color w:val="000000" w:themeColor="text1"/>
          <w:sz w:val="28"/>
          <w:szCs w:val="28"/>
          <w:lang w:val="es-ES_tradnl"/>
        </w:rPr>
        <w:t xml:space="preserve"> del artículo 42, fracción XI; y</w:t>
      </w:r>
      <w:r w:rsidR="00886FD9" w:rsidRPr="00C349AC">
        <w:rPr>
          <w:rFonts w:ascii="Arial" w:hAnsi="Arial" w:cs="Arial"/>
          <w:color w:val="000000" w:themeColor="text1"/>
          <w:sz w:val="28"/>
          <w:szCs w:val="28"/>
          <w:lang w:val="es-ES_tradnl"/>
        </w:rPr>
        <w:t xml:space="preserve"> </w:t>
      </w:r>
      <w:r w:rsidR="00886FD9" w:rsidRPr="00C349AC">
        <w:rPr>
          <w:rFonts w:ascii="Arial" w:hAnsi="Arial" w:cs="Arial"/>
          <w:b/>
          <w:bCs/>
          <w:color w:val="000000" w:themeColor="text1"/>
          <w:sz w:val="28"/>
          <w:szCs w:val="28"/>
          <w:lang w:val="es-ES_tradnl"/>
        </w:rPr>
        <w:t>f)</w:t>
      </w:r>
      <w:r w:rsidR="00886FD9" w:rsidRPr="00C349AC">
        <w:rPr>
          <w:rFonts w:ascii="Arial" w:hAnsi="Arial" w:cs="Arial"/>
          <w:color w:val="000000" w:themeColor="text1"/>
          <w:sz w:val="28"/>
          <w:szCs w:val="28"/>
          <w:lang w:val="es-ES_tradnl"/>
        </w:rPr>
        <w:t xml:space="preserve"> Tema 6. Constitucionalidad</w:t>
      </w:r>
      <w:r w:rsidRPr="00C349AC">
        <w:rPr>
          <w:rFonts w:ascii="Arial" w:hAnsi="Arial" w:cs="Arial"/>
          <w:color w:val="000000" w:themeColor="text1"/>
          <w:sz w:val="28"/>
          <w:szCs w:val="28"/>
          <w:lang w:val="es-ES_tradnl"/>
        </w:rPr>
        <w:t xml:space="preserve"> del artículo 8.</w:t>
      </w:r>
    </w:p>
    <w:p w14:paraId="5B94A81E" w14:textId="77777777" w:rsidR="00DC1A86" w:rsidRPr="00C349AC" w:rsidRDefault="00DC1A86" w:rsidP="00556E9F">
      <w:pPr>
        <w:spacing w:after="0" w:line="360" w:lineRule="auto"/>
        <w:jc w:val="both"/>
        <w:rPr>
          <w:rFonts w:ascii="Arial" w:hAnsi="Arial" w:cs="Arial"/>
          <w:color w:val="000000" w:themeColor="text1"/>
          <w:sz w:val="28"/>
          <w:szCs w:val="28"/>
          <w:highlight w:val="yellow"/>
          <w:lang w:val="es-ES_tradnl"/>
        </w:rPr>
      </w:pPr>
    </w:p>
    <w:p w14:paraId="71025FB0" w14:textId="77777777" w:rsidR="00DC1A86" w:rsidRPr="00C349AC" w:rsidRDefault="00DC1A86" w:rsidP="00556E9F">
      <w:pPr>
        <w:spacing w:after="0" w:line="360" w:lineRule="auto"/>
        <w:jc w:val="center"/>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w:t>
      </w:r>
    </w:p>
    <w:p w14:paraId="031DC626" w14:textId="77777777" w:rsidR="00DC1A86" w:rsidRPr="00C349AC" w:rsidRDefault="00DC1A86" w:rsidP="00556E9F">
      <w:pPr>
        <w:spacing w:after="0" w:line="360" w:lineRule="auto"/>
        <w:jc w:val="both"/>
        <w:rPr>
          <w:rFonts w:ascii="Arial" w:hAnsi="Arial" w:cs="Arial"/>
          <w:color w:val="000000" w:themeColor="text1"/>
          <w:sz w:val="28"/>
          <w:szCs w:val="28"/>
          <w:lang w:val="es-ES_tradnl"/>
        </w:rPr>
      </w:pPr>
    </w:p>
    <w:p w14:paraId="28473FCD" w14:textId="3E67E8AB" w:rsidR="00DC1A86" w:rsidRPr="00C349AC" w:rsidRDefault="005D53E3" w:rsidP="00556E9F">
      <w:pPr>
        <w:pStyle w:val="Prrafodelista"/>
        <w:numPr>
          <w:ilvl w:val="0"/>
          <w:numId w:val="1"/>
        </w:numPr>
        <w:spacing w:after="0" w:line="360" w:lineRule="auto"/>
        <w:jc w:val="both"/>
        <w:rPr>
          <w:rFonts w:ascii="Arial" w:hAnsi="Arial" w:cs="Arial"/>
          <w:b/>
          <w:bCs/>
          <w:color w:val="000000" w:themeColor="text1"/>
          <w:sz w:val="28"/>
          <w:szCs w:val="28"/>
          <w:lang w:val="es-ES_tradnl"/>
        </w:rPr>
      </w:pPr>
      <w:r w:rsidRPr="00C349AC">
        <w:rPr>
          <w:rFonts w:ascii="Arial" w:hAnsi="Arial" w:cs="Arial"/>
          <w:b/>
          <w:bCs/>
          <w:color w:val="000000" w:themeColor="text1"/>
          <w:sz w:val="28"/>
          <w:szCs w:val="28"/>
          <w:lang w:val="es-ES_tradnl"/>
        </w:rPr>
        <w:t xml:space="preserve">Voto concurrente en relación con </w:t>
      </w:r>
      <w:r w:rsidR="00A222E2" w:rsidRPr="00C349AC">
        <w:rPr>
          <w:rFonts w:ascii="Arial" w:hAnsi="Arial" w:cs="Arial"/>
          <w:b/>
          <w:bCs/>
          <w:color w:val="000000" w:themeColor="text1"/>
          <w:sz w:val="28"/>
          <w:szCs w:val="28"/>
          <w:lang w:val="es-ES_tradnl"/>
        </w:rPr>
        <w:t>el considerando Cuarto</w:t>
      </w:r>
      <w:r w:rsidR="00091699" w:rsidRPr="00C349AC">
        <w:rPr>
          <w:rFonts w:ascii="Arial" w:hAnsi="Arial" w:cs="Arial"/>
          <w:b/>
          <w:bCs/>
          <w:color w:val="000000" w:themeColor="text1"/>
          <w:sz w:val="28"/>
          <w:szCs w:val="28"/>
          <w:lang w:val="es-ES_tradnl"/>
        </w:rPr>
        <w:t xml:space="preserve"> (causas de improcedencia)</w:t>
      </w:r>
    </w:p>
    <w:p w14:paraId="50676474" w14:textId="77777777" w:rsidR="00DC1A86" w:rsidRPr="00C349AC" w:rsidRDefault="00DC1A86" w:rsidP="00556E9F">
      <w:pPr>
        <w:spacing w:after="0" w:line="360" w:lineRule="auto"/>
        <w:ind w:left="360"/>
        <w:jc w:val="both"/>
        <w:rPr>
          <w:rFonts w:ascii="Arial" w:hAnsi="Arial" w:cs="Arial"/>
          <w:b/>
          <w:bCs/>
          <w:color w:val="000000" w:themeColor="text1"/>
          <w:sz w:val="28"/>
          <w:szCs w:val="28"/>
          <w:lang w:val="es-ES_tradnl"/>
        </w:rPr>
      </w:pPr>
    </w:p>
    <w:p w14:paraId="2985A3D6" w14:textId="5C8DB45B" w:rsidR="00DC1A86" w:rsidRPr="00C349AC" w:rsidRDefault="00A222E2" w:rsidP="00556E9F">
      <w:pPr>
        <w:pStyle w:val="Prrafodelista"/>
        <w:numPr>
          <w:ilvl w:val="0"/>
          <w:numId w:val="2"/>
        </w:numPr>
        <w:spacing w:after="0" w:line="360" w:lineRule="auto"/>
        <w:jc w:val="both"/>
        <w:rPr>
          <w:rFonts w:ascii="Arial" w:hAnsi="Arial" w:cs="Arial"/>
          <w:b/>
          <w:bCs/>
          <w:color w:val="000000" w:themeColor="text1"/>
          <w:sz w:val="28"/>
          <w:szCs w:val="28"/>
          <w:lang w:val="es-ES_tradnl"/>
        </w:rPr>
      </w:pPr>
      <w:r w:rsidRPr="00C349AC">
        <w:rPr>
          <w:rFonts w:ascii="Arial" w:hAnsi="Arial" w:cs="Arial"/>
          <w:b/>
          <w:bCs/>
          <w:color w:val="000000" w:themeColor="text1"/>
          <w:sz w:val="28"/>
          <w:szCs w:val="28"/>
          <w:lang w:val="es-ES_tradnl"/>
        </w:rPr>
        <w:t>Causa de improcedencia relacionada con la l</w:t>
      </w:r>
      <w:r w:rsidR="00DC1A86" w:rsidRPr="00C349AC">
        <w:rPr>
          <w:rFonts w:ascii="Arial" w:hAnsi="Arial" w:cs="Arial"/>
          <w:b/>
          <w:bCs/>
          <w:color w:val="000000" w:themeColor="text1"/>
          <w:sz w:val="28"/>
          <w:szCs w:val="28"/>
          <w:lang w:val="es-ES_tradnl"/>
        </w:rPr>
        <w:t xml:space="preserve">egitimación de la CNDH y la </w:t>
      </w:r>
      <w:r w:rsidR="007279D3" w:rsidRPr="00C349AC">
        <w:rPr>
          <w:rFonts w:ascii="Arial" w:hAnsi="Arial" w:cs="Arial"/>
          <w:b/>
          <w:bCs/>
          <w:color w:val="000000" w:themeColor="text1"/>
          <w:sz w:val="28"/>
          <w:szCs w:val="28"/>
          <w:lang w:val="es-ES_tradnl"/>
        </w:rPr>
        <w:t>CDHCM</w:t>
      </w:r>
    </w:p>
    <w:p w14:paraId="06EB1F96" w14:textId="77777777" w:rsidR="00DC1A86" w:rsidRPr="00C349AC" w:rsidRDefault="00DC1A86" w:rsidP="00556E9F">
      <w:pPr>
        <w:spacing w:after="0" w:line="360" w:lineRule="auto"/>
        <w:jc w:val="both"/>
        <w:rPr>
          <w:rFonts w:ascii="Arial" w:hAnsi="Arial" w:cs="Arial"/>
          <w:color w:val="000000" w:themeColor="text1"/>
          <w:sz w:val="28"/>
          <w:szCs w:val="28"/>
          <w:highlight w:val="yellow"/>
          <w:lang w:val="es-ES_tradnl"/>
        </w:rPr>
      </w:pPr>
    </w:p>
    <w:p w14:paraId="18B09048" w14:textId="60A4496F" w:rsidR="00DC1A86" w:rsidRPr="00C349AC" w:rsidRDefault="00DC1A86" w:rsidP="00556E9F">
      <w:pPr>
        <w:spacing w:after="0" w:line="360" w:lineRule="auto"/>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 xml:space="preserve">En su informe, el Congreso de la Ciudad de México argumentó que tanto la CNDH como la </w:t>
      </w:r>
      <w:r w:rsidR="007279D3" w:rsidRPr="00C349AC">
        <w:rPr>
          <w:rFonts w:ascii="Arial" w:hAnsi="Arial" w:cs="Arial"/>
          <w:color w:val="000000" w:themeColor="text1"/>
          <w:sz w:val="28"/>
          <w:szCs w:val="28"/>
          <w:lang w:val="es-ES_tradnl"/>
        </w:rPr>
        <w:t>CDHCM</w:t>
      </w:r>
      <w:r w:rsidRPr="00C349AC">
        <w:rPr>
          <w:rFonts w:ascii="Arial" w:hAnsi="Arial" w:cs="Arial"/>
          <w:color w:val="000000" w:themeColor="text1"/>
          <w:sz w:val="28"/>
          <w:szCs w:val="28"/>
          <w:lang w:val="es-ES_tradnl"/>
        </w:rPr>
        <w:t xml:space="preserve"> carecían de legitimación para promover la presente acción, </w:t>
      </w:r>
      <w:r w:rsidR="00A222E2" w:rsidRPr="00C349AC">
        <w:rPr>
          <w:rFonts w:ascii="Arial" w:hAnsi="Arial" w:cs="Arial"/>
          <w:color w:val="000000" w:themeColor="text1"/>
          <w:sz w:val="28"/>
          <w:szCs w:val="28"/>
          <w:lang w:val="es-ES_tradnl"/>
        </w:rPr>
        <w:t>toda vez</w:t>
      </w:r>
      <w:r w:rsidRPr="00C349AC">
        <w:rPr>
          <w:rFonts w:ascii="Arial" w:hAnsi="Arial" w:cs="Arial"/>
          <w:color w:val="000000" w:themeColor="text1"/>
          <w:sz w:val="28"/>
          <w:szCs w:val="28"/>
          <w:lang w:val="es-ES_tradnl"/>
        </w:rPr>
        <w:t xml:space="preserve"> que se limitaron a hacer valer </w:t>
      </w:r>
      <w:r w:rsidRPr="00C349AC">
        <w:rPr>
          <w:rFonts w:ascii="Arial" w:hAnsi="Arial" w:cs="Arial"/>
          <w:i/>
          <w:iCs/>
          <w:color w:val="000000" w:themeColor="text1"/>
          <w:sz w:val="28"/>
          <w:szCs w:val="28"/>
          <w:lang w:val="es-ES_tradnl"/>
        </w:rPr>
        <w:t>conflictos competenciales</w:t>
      </w:r>
      <w:r w:rsidR="00A222E2" w:rsidRPr="00C349AC">
        <w:rPr>
          <w:rFonts w:ascii="Arial" w:hAnsi="Arial" w:cs="Arial"/>
          <w:color w:val="000000" w:themeColor="text1"/>
          <w:sz w:val="28"/>
          <w:szCs w:val="28"/>
          <w:lang w:val="es-ES_tradnl"/>
        </w:rPr>
        <w:t xml:space="preserve">, </w:t>
      </w:r>
      <w:r w:rsidRPr="00C349AC">
        <w:rPr>
          <w:rFonts w:ascii="Arial" w:hAnsi="Arial" w:cs="Arial"/>
          <w:color w:val="000000" w:themeColor="text1"/>
          <w:sz w:val="28"/>
          <w:szCs w:val="28"/>
          <w:lang w:val="es-ES_tradnl"/>
        </w:rPr>
        <w:t>siendo que, de acuerdo con el artículo 105</w:t>
      </w:r>
      <w:r w:rsidR="00A222E2" w:rsidRPr="00C349AC">
        <w:rPr>
          <w:rFonts w:ascii="Arial" w:hAnsi="Arial" w:cs="Arial"/>
          <w:color w:val="000000" w:themeColor="text1"/>
          <w:sz w:val="28"/>
          <w:szCs w:val="28"/>
          <w:lang w:val="es-ES_tradnl"/>
        </w:rPr>
        <w:t>, fracción II, inciso g),</w:t>
      </w:r>
      <w:r w:rsidRPr="00C349AC">
        <w:rPr>
          <w:rFonts w:ascii="Arial" w:hAnsi="Arial" w:cs="Arial"/>
          <w:color w:val="000000" w:themeColor="text1"/>
          <w:sz w:val="28"/>
          <w:szCs w:val="28"/>
          <w:lang w:val="es-ES_tradnl"/>
        </w:rPr>
        <w:t xml:space="preserve"> de la Constitución</w:t>
      </w:r>
      <w:r w:rsidR="007726EE">
        <w:rPr>
          <w:rFonts w:ascii="Arial" w:hAnsi="Arial" w:cs="Arial"/>
          <w:color w:val="000000" w:themeColor="text1"/>
          <w:sz w:val="28"/>
          <w:szCs w:val="28"/>
          <w:lang w:val="es-ES_tradnl"/>
        </w:rPr>
        <w:t xml:space="preserve"> </w:t>
      </w:r>
      <w:r w:rsidR="00E74CBF">
        <w:rPr>
          <w:rFonts w:ascii="Arial" w:hAnsi="Arial" w:cs="Arial"/>
          <w:color w:val="000000" w:themeColor="text1"/>
          <w:sz w:val="28"/>
          <w:szCs w:val="28"/>
          <w:lang w:val="es-ES_tradnl"/>
        </w:rPr>
        <w:t>General</w:t>
      </w:r>
      <w:r w:rsidRPr="00C349AC">
        <w:rPr>
          <w:rFonts w:ascii="Arial" w:hAnsi="Arial" w:cs="Arial"/>
          <w:color w:val="000000" w:themeColor="text1"/>
          <w:sz w:val="28"/>
          <w:szCs w:val="28"/>
          <w:lang w:val="es-ES_tradnl"/>
        </w:rPr>
        <w:t xml:space="preserve">, únicamente están facultadas para plantear en esta vía violaciones relacionadas con vulneración a derechos humanos.  </w:t>
      </w:r>
    </w:p>
    <w:p w14:paraId="1EC1B3C8" w14:textId="77777777" w:rsidR="00DC1A86" w:rsidRPr="00C349AC" w:rsidRDefault="00DC1A86" w:rsidP="00556E9F">
      <w:pPr>
        <w:spacing w:after="0" w:line="360" w:lineRule="auto"/>
        <w:jc w:val="both"/>
        <w:rPr>
          <w:rFonts w:ascii="Arial" w:hAnsi="Arial" w:cs="Arial"/>
          <w:color w:val="000000" w:themeColor="text1"/>
          <w:sz w:val="28"/>
          <w:szCs w:val="28"/>
          <w:lang w:val="es-ES_tradnl"/>
        </w:rPr>
      </w:pPr>
    </w:p>
    <w:p w14:paraId="24ABC867" w14:textId="28150E37" w:rsidR="00DC1A86" w:rsidRPr="00C349AC" w:rsidRDefault="007279D3" w:rsidP="00556E9F">
      <w:pPr>
        <w:spacing w:after="0" w:line="360" w:lineRule="auto"/>
        <w:ind w:firstLine="708"/>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La</w:t>
      </w:r>
      <w:r w:rsidR="00DC1A86" w:rsidRPr="00C349AC">
        <w:rPr>
          <w:rFonts w:ascii="Arial" w:hAnsi="Arial" w:cs="Arial"/>
          <w:color w:val="000000" w:themeColor="text1"/>
          <w:sz w:val="28"/>
          <w:szCs w:val="28"/>
          <w:lang w:val="es-ES_tradnl"/>
        </w:rPr>
        <w:t xml:space="preserve"> mayoría consideró que </w:t>
      </w:r>
      <w:r w:rsidR="00556E9F" w:rsidRPr="00C349AC">
        <w:rPr>
          <w:rFonts w:ascii="Arial" w:hAnsi="Arial" w:cs="Arial"/>
          <w:color w:val="000000" w:themeColor="text1"/>
          <w:sz w:val="28"/>
          <w:szCs w:val="28"/>
          <w:lang w:val="es-ES_tradnl"/>
        </w:rPr>
        <w:t>esta</w:t>
      </w:r>
      <w:r w:rsidR="00DC1A86" w:rsidRPr="00C349AC">
        <w:rPr>
          <w:rFonts w:ascii="Arial" w:hAnsi="Arial" w:cs="Arial"/>
          <w:color w:val="000000" w:themeColor="text1"/>
          <w:sz w:val="28"/>
          <w:szCs w:val="28"/>
          <w:lang w:val="es-ES_tradnl"/>
        </w:rPr>
        <w:t xml:space="preserve"> causa de improcedencia era infundada por tres razones. En primer lugar, </w:t>
      </w:r>
      <w:r w:rsidR="00A222E2" w:rsidRPr="00C349AC">
        <w:rPr>
          <w:rFonts w:ascii="Arial" w:hAnsi="Arial" w:cs="Arial"/>
          <w:color w:val="000000" w:themeColor="text1"/>
          <w:sz w:val="28"/>
          <w:szCs w:val="28"/>
          <w:lang w:val="es-ES_tradnl"/>
        </w:rPr>
        <w:t>toda vez</w:t>
      </w:r>
      <w:r w:rsidR="00DC1A86" w:rsidRPr="00C349AC">
        <w:rPr>
          <w:rFonts w:ascii="Arial" w:hAnsi="Arial" w:cs="Arial"/>
          <w:color w:val="000000" w:themeColor="text1"/>
          <w:sz w:val="28"/>
          <w:szCs w:val="28"/>
          <w:lang w:val="es-ES_tradnl"/>
        </w:rPr>
        <w:t xml:space="preserve"> que en los conceptos de invalidez sí plantearon violaciones directas a la Constitución y esta Suprema Corte puede fundar la declaratoria de invalidez en cualquier precepto constitucional</w:t>
      </w:r>
      <w:r w:rsidR="00DC1A86" w:rsidRPr="00C349AC">
        <w:rPr>
          <w:rStyle w:val="Refdenotaalpie"/>
          <w:rFonts w:ascii="Arial" w:hAnsi="Arial" w:cs="Arial"/>
          <w:color w:val="000000" w:themeColor="text1"/>
          <w:sz w:val="28"/>
          <w:szCs w:val="28"/>
          <w:lang w:val="es-ES_tradnl"/>
        </w:rPr>
        <w:footnoteReference w:id="1"/>
      </w:r>
      <w:r w:rsidR="00DC1A86" w:rsidRPr="00C349AC">
        <w:rPr>
          <w:rFonts w:ascii="Arial" w:hAnsi="Arial" w:cs="Arial"/>
          <w:color w:val="000000" w:themeColor="text1"/>
          <w:sz w:val="28"/>
          <w:szCs w:val="28"/>
          <w:lang w:val="es-ES_tradnl"/>
        </w:rPr>
        <w:t xml:space="preserve">. En segundo lugar, </w:t>
      </w:r>
      <w:r w:rsidR="00DC1A86" w:rsidRPr="00C349AC">
        <w:rPr>
          <w:rFonts w:ascii="Arial" w:hAnsi="Arial" w:cs="Arial"/>
          <w:color w:val="000000" w:themeColor="text1"/>
          <w:sz w:val="28"/>
          <w:szCs w:val="28"/>
          <w:lang w:val="es-ES_tradnl"/>
        </w:rPr>
        <w:lastRenderedPageBreak/>
        <w:t xml:space="preserve">porque esta Suprema Corte ha abierto el espectro de impugnación de los organismos protectores de derechos humanos y ha reconocido que éstos pueden plantear la invalidez de disposiciones normativas que significan una </w:t>
      </w:r>
      <w:r w:rsidR="00DC1A86" w:rsidRPr="00C349AC">
        <w:rPr>
          <w:rFonts w:ascii="Arial" w:hAnsi="Arial" w:cs="Arial"/>
          <w:i/>
          <w:iCs/>
          <w:color w:val="000000" w:themeColor="text1"/>
          <w:sz w:val="28"/>
          <w:szCs w:val="28"/>
          <w:lang w:val="es-ES_tradnl"/>
        </w:rPr>
        <w:t>violación indirecta</w:t>
      </w:r>
      <w:r w:rsidR="00DC1A86" w:rsidRPr="00C349AC">
        <w:rPr>
          <w:rFonts w:ascii="Arial" w:hAnsi="Arial" w:cs="Arial"/>
          <w:color w:val="000000" w:themeColor="text1"/>
          <w:sz w:val="28"/>
          <w:szCs w:val="28"/>
          <w:lang w:val="es-ES_tradnl"/>
        </w:rPr>
        <w:t xml:space="preserve"> a los derechos humanos o que inciden en el parámetro de regularidad constitucional aplicable en la protección y tutela de los derechos humanos. Y, finalmente, pues tal causa de improcedencia se encuentra íntimamente relacionada con el estudio de fondo</w:t>
      </w:r>
      <w:r w:rsidR="00DC1A86" w:rsidRPr="00C349AC">
        <w:rPr>
          <w:rStyle w:val="Refdenotaalpie"/>
          <w:rFonts w:ascii="Arial" w:hAnsi="Arial" w:cs="Arial"/>
          <w:color w:val="000000" w:themeColor="text1"/>
          <w:sz w:val="28"/>
          <w:szCs w:val="28"/>
          <w:lang w:val="es-ES_tradnl"/>
        </w:rPr>
        <w:footnoteReference w:id="2"/>
      </w:r>
      <w:r w:rsidR="00C349AC" w:rsidRPr="00C349AC">
        <w:rPr>
          <w:rFonts w:ascii="Arial" w:hAnsi="Arial" w:cs="Arial"/>
          <w:color w:val="000000" w:themeColor="text1"/>
          <w:sz w:val="28"/>
          <w:szCs w:val="28"/>
          <w:lang w:val="es-ES_tradnl"/>
        </w:rPr>
        <w:t>.</w:t>
      </w:r>
    </w:p>
    <w:p w14:paraId="6D33D695" w14:textId="77777777" w:rsidR="00DC1A86" w:rsidRPr="00C349AC" w:rsidRDefault="00DC1A86" w:rsidP="00556E9F">
      <w:pPr>
        <w:spacing w:after="0" w:line="360" w:lineRule="auto"/>
        <w:ind w:firstLine="709"/>
        <w:jc w:val="both"/>
        <w:rPr>
          <w:rFonts w:ascii="Arial" w:hAnsi="Arial" w:cs="Arial"/>
          <w:color w:val="000000" w:themeColor="text1"/>
          <w:sz w:val="28"/>
          <w:szCs w:val="28"/>
          <w:lang w:val="es-ES_tradnl"/>
        </w:rPr>
      </w:pPr>
    </w:p>
    <w:p w14:paraId="4F3EE957" w14:textId="6AB64105" w:rsidR="00DC1A86" w:rsidRPr="00C349AC" w:rsidRDefault="005D53E3" w:rsidP="00A222E2">
      <w:pPr>
        <w:spacing w:after="0" w:line="360" w:lineRule="auto"/>
        <w:ind w:firstLine="709"/>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C</w:t>
      </w:r>
      <w:r w:rsidR="00DC1A86" w:rsidRPr="00C349AC">
        <w:rPr>
          <w:rFonts w:ascii="Arial" w:hAnsi="Arial" w:cs="Arial"/>
          <w:color w:val="000000" w:themeColor="text1"/>
          <w:sz w:val="28"/>
          <w:szCs w:val="28"/>
          <w:lang w:val="es-ES_tradnl"/>
        </w:rPr>
        <w:t xml:space="preserve">oincido con la mayoría en que la causa de improcedencia planteada por el Congreso local es infundada. Sin embargo, estimo que para contestar de forma exhaustiva el planteamiento era necesario brindar algunas </w:t>
      </w:r>
      <w:r w:rsidR="00DC1A86" w:rsidRPr="00C349AC">
        <w:rPr>
          <w:rFonts w:ascii="Arial" w:hAnsi="Arial" w:cs="Arial"/>
          <w:i/>
          <w:iCs/>
          <w:color w:val="000000" w:themeColor="text1"/>
          <w:sz w:val="28"/>
          <w:szCs w:val="28"/>
          <w:lang w:val="es-ES_tradnl"/>
        </w:rPr>
        <w:t>razones adicionales</w:t>
      </w:r>
      <w:r w:rsidR="00012581" w:rsidRPr="00C349AC">
        <w:rPr>
          <w:rFonts w:ascii="Arial" w:hAnsi="Arial" w:cs="Arial"/>
          <w:color w:val="000000" w:themeColor="text1"/>
          <w:sz w:val="28"/>
          <w:szCs w:val="28"/>
          <w:lang w:val="es-ES_tradnl"/>
        </w:rPr>
        <w:t xml:space="preserve"> a las que se dan en la sentencia</w:t>
      </w:r>
      <w:r w:rsidR="00DC1A86" w:rsidRPr="00C349AC">
        <w:rPr>
          <w:rFonts w:ascii="Arial" w:hAnsi="Arial" w:cs="Arial"/>
          <w:color w:val="000000" w:themeColor="text1"/>
          <w:sz w:val="28"/>
          <w:szCs w:val="28"/>
          <w:lang w:val="es-ES_tradnl"/>
        </w:rPr>
        <w:t>. En particular,</w:t>
      </w:r>
      <w:r w:rsidR="00012581" w:rsidRPr="00C349AC">
        <w:rPr>
          <w:rFonts w:ascii="Arial" w:hAnsi="Arial" w:cs="Arial"/>
          <w:color w:val="000000" w:themeColor="text1"/>
          <w:sz w:val="28"/>
          <w:szCs w:val="28"/>
          <w:lang w:val="es-ES_tradnl"/>
        </w:rPr>
        <w:t xml:space="preserve"> la sentencia debió</w:t>
      </w:r>
      <w:r w:rsidR="00DC1A86" w:rsidRPr="00C349AC">
        <w:rPr>
          <w:rFonts w:ascii="Arial" w:hAnsi="Arial" w:cs="Arial"/>
          <w:color w:val="000000" w:themeColor="text1"/>
          <w:sz w:val="28"/>
          <w:szCs w:val="28"/>
          <w:lang w:val="es-ES_tradnl"/>
        </w:rPr>
        <w:t xml:space="preserve"> explicar </w:t>
      </w:r>
      <w:r w:rsidR="00012581" w:rsidRPr="00C349AC">
        <w:rPr>
          <w:rFonts w:ascii="Arial" w:hAnsi="Arial" w:cs="Arial"/>
          <w:color w:val="000000" w:themeColor="text1"/>
          <w:sz w:val="28"/>
          <w:szCs w:val="28"/>
          <w:lang w:val="es-ES_tradnl"/>
        </w:rPr>
        <w:t xml:space="preserve">con mayor profundidad por qué razón la </w:t>
      </w:r>
      <w:r w:rsidR="007279D3" w:rsidRPr="00C349AC">
        <w:rPr>
          <w:rFonts w:ascii="Arial" w:hAnsi="Arial" w:cs="Arial"/>
          <w:color w:val="000000" w:themeColor="text1"/>
          <w:sz w:val="28"/>
          <w:szCs w:val="28"/>
          <w:lang w:val="es-ES_tradnl"/>
        </w:rPr>
        <w:t>CDHCM</w:t>
      </w:r>
      <w:r w:rsidR="00012581" w:rsidRPr="00C349AC">
        <w:rPr>
          <w:rFonts w:ascii="Arial" w:hAnsi="Arial" w:cs="Arial"/>
          <w:color w:val="000000" w:themeColor="text1"/>
          <w:sz w:val="28"/>
          <w:szCs w:val="28"/>
          <w:lang w:val="es-ES_tradnl"/>
        </w:rPr>
        <w:t xml:space="preserve"> contaba con legitimación para impugnar el </w:t>
      </w:r>
      <w:r w:rsidR="00DC1A86" w:rsidRPr="00C349AC">
        <w:rPr>
          <w:rFonts w:ascii="Arial" w:hAnsi="Arial" w:cs="Arial"/>
          <w:color w:val="000000" w:themeColor="text1"/>
          <w:sz w:val="28"/>
          <w:szCs w:val="28"/>
          <w:lang w:val="es-ES_tradnl"/>
        </w:rPr>
        <w:t>artículo 42, fracción XI</w:t>
      </w:r>
      <w:r w:rsidR="00DC1A86" w:rsidRPr="00C349AC">
        <w:rPr>
          <w:rStyle w:val="Refdenotaalpie"/>
          <w:rFonts w:ascii="Arial" w:hAnsi="Arial" w:cs="Arial"/>
          <w:color w:val="000000" w:themeColor="text1"/>
          <w:sz w:val="28"/>
          <w:szCs w:val="28"/>
          <w:lang w:val="es-ES_tradnl"/>
        </w:rPr>
        <w:footnoteReference w:id="3"/>
      </w:r>
      <w:r w:rsidR="00012581" w:rsidRPr="00C349AC">
        <w:rPr>
          <w:rFonts w:ascii="Arial" w:hAnsi="Arial" w:cs="Arial"/>
          <w:color w:val="000000" w:themeColor="text1"/>
          <w:sz w:val="28"/>
          <w:szCs w:val="28"/>
          <w:lang w:val="es-ES_tradnl"/>
        </w:rPr>
        <w:t>, de la Ley local</w:t>
      </w:r>
      <w:r w:rsidR="00A222E2" w:rsidRPr="00C349AC">
        <w:rPr>
          <w:rFonts w:ascii="Arial" w:hAnsi="Arial" w:cs="Arial"/>
          <w:color w:val="000000" w:themeColor="text1"/>
          <w:sz w:val="28"/>
          <w:szCs w:val="28"/>
          <w:lang w:val="es-ES_tradnl"/>
        </w:rPr>
        <w:t xml:space="preserve">, </w:t>
      </w:r>
      <w:r w:rsidR="00012581" w:rsidRPr="00C349AC">
        <w:rPr>
          <w:rFonts w:ascii="Arial" w:hAnsi="Arial" w:cs="Arial"/>
          <w:i/>
          <w:iCs/>
          <w:color w:val="000000" w:themeColor="text1"/>
          <w:sz w:val="28"/>
          <w:szCs w:val="28"/>
          <w:lang w:val="es-ES_tradnl"/>
        </w:rPr>
        <w:t xml:space="preserve">a pesar de que para ello </w:t>
      </w:r>
      <w:r w:rsidR="00A222E2" w:rsidRPr="00C349AC">
        <w:rPr>
          <w:rFonts w:ascii="Arial" w:hAnsi="Arial" w:cs="Arial"/>
          <w:i/>
          <w:iCs/>
          <w:color w:val="000000" w:themeColor="text1"/>
          <w:sz w:val="28"/>
          <w:szCs w:val="28"/>
          <w:lang w:val="es-ES_tradnl"/>
        </w:rPr>
        <w:t xml:space="preserve">no </w:t>
      </w:r>
      <w:r w:rsidR="00012581" w:rsidRPr="00C349AC">
        <w:rPr>
          <w:rFonts w:ascii="Arial" w:hAnsi="Arial" w:cs="Arial"/>
          <w:i/>
          <w:iCs/>
          <w:color w:val="000000" w:themeColor="text1"/>
          <w:sz w:val="28"/>
          <w:szCs w:val="28"/>
          <w:lang w:val="es-ES_tradnl"/>
        </w:rPr>
        <w:t xml:space="preserve">argumentó </w:t>
      </w:r>
      <w:r w:rsidR="00A222E2" w:rsidRPr="00C349AC">
        <w:rPr>
          <w:rFonts w:ascii="Arial" w:hAnsi="Arial" w:cs="Arial"/>
          <w:i/>
          <w:iCs/>
          <w:color w:val="000000" w:themeColor="text1"/>
          <w:sz w:val="28"/>
          <w:szCs w:val="28"/>
          <w:lang w:val="es-ES_tradnl"/>
        </w:rPr>
        <w:t xml:space="preserve">una violación a un derecho humano sustantivo como tal, </w:t>
      </w:r>
      <w:r w:rsidR="00A222E2" w:rsidRPr="00C349AC">
        <w:rPr>
          <w:rFonts w:ascii="Arial" w:hAnsi="Arial" w:cs="Arial"/>
          <w:color w:val="000000" w:themeColor="text1"/>
          <w:sz w:val="28"/>
          <w:szCs w:val="28"/>
          <w:lang w:val="es-ES_tradnl"/>
        </w:rPr>
        <w:t xml:space="preserve">sino a </w:t>
      </w:r>
      <w:r w:rsidR="00DC1A86" w:rsidRPr="00C349AC">
        <w:rPr>
          <w:rFonts w:ascii="Arial" w:hAnsi="Arial" w:cs="Arial"/>
          <w:color w:val="000000" w:themeColor="text1"/>
          <w:sz w:val="28"/>
          <w:szCs w:val="28"/>
          <w:lang w:val="es-ES_tradnl"/>
        </w:rPr>
        <w:t>los artículos 102, apartado B y 122, apartado A, de la Constitución General</w:t>
      </w:r>
      <w:r w:rsidR="00A222E2" w:rsidRPr="00C349AC">
        <w:rPr>
          <w:rStyle w:val="Refdenotaalpie"/>
          <w:rFonts w:ascii="Arial" w:hAnsi="Arial" w:cs="Arial"/>
          <w:color w:val="000000" w:themeColor="text1"/>
          <w:sz w:val="28"/>
          <w:szCs w:val="28"/>
          <w:lang w:val="es-ES_tradnl"/>
        </w:rPr>
        <w:footnoteReference w:id="4"/>
      </w:r>
      <w:r w:rsidR="00A222E2" w:rsidRPr="00C349AC">
        <w:rPr>
          <w:rFonts w:ascii="Arial" w:hAnsi="Arial" w:cs="Arial"/>
          <w:color w:val="000000" w:themeColor="text1"/>
          <w:sz w:val="28"/>
          <w:szCs w:val="28"/>
          <w:lang w:val="es-ES_tradnl"/>
        </w:rPr>
        <w:t xml:space="preserve">. </w:t>
      </w:r>
    </w:p>
    <w:p w14:paraId="140D4F02" w14:textId="5D9CB779" w:rsidR="00012581" w:rsidRPr="00C349AC" w:rsidRDefault="00012581" w:rsidP="00556E9F">
      <w:pPr>
        <w:spacing w:after="0" w:line="360" w:lineRule="auto"/>
        <w:ind w:firstLine="709"/>
        <w:jc w:val="both"/>
        <w:rPr>
          <w:rFonts w:ascii="Arial" w:hAnsi="Arial" w:cs="Arial"/>
          <w:color w:val="000000" w:themeColor="text1"/>
          <w:sz w:val="28"/>
          <w:szCs w:val="28"/>
          <w:lang w:val="es-ES_tradnl"/>
        </w:rPr>
      </w:pPr>
    </w:p>
    <w:p w14:paraId="67F8B985" w14:textId="5CC2B789" w:rsidR="00DC1A86" w:rsidRPr="00C349AC" w:rsidRDefault="007279D3" w:rsidP="00556E9F">
      <w:pPr>
        <w:spacing w:after="0" w:line="360" w:lineRule="auto"/>
        <w:ind w:firstLine="709"/>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 xml:space="preserve">Ahora bien, a </w:t>
      </w:r>
      <w:r w:rsidR="00A222E2" w:rsidRPr="00C349AC">
        <w:rPr>
          <w:rFonts w:ascii="Arial" w:hAnsi="Arial" w:cs="Arial"/>
          <w:color w:val="000000" w:themeColor="text1"/>
          <w:sz w:val="28"/>
          <w:szCs w:val="28"/>
          <w:lang w:val="es-ES_tradnl"/>
        </w:rPr>
        <w:t>mi juicio,</w:t>
      </w:r>
      <w:r w:rsidR="005D53E3" w:rsidRPr="00C349AC">
        <w:rPr>
          <w:rFonts w:ascii="Arial" w:hAnsi="Arial" w:cs="Arial"/>
          <w:color w:val="000000" w:themeColor="text1"/>
          <w:sz w:val="28"/>
          <w:szCs w:val="28"/>
          <w:lang w:val="es-ES_tradnl"/>
        </w:rPr>
        <w:t xml:space="preserve"> </w:t>
      </w:r>
      <w:r w:rsidR="00AD1A7F" w:rsidRPr="00C349AC">
        <w:rPr>
          <w:rFonts w:ascii="Arial" w:hAnsi="Arial" w:cs="Arial"/>
          <w:color w:val="000000" w:themeColor="text1"/>
          <w:sz w:val="28"/>
          <w:szCs w:val="28"/>
          <w:lang w:val="es-ES_tradnl"/>
        </w:rPr>
        <w:t>esto último se respondía señalando</w:t>
      </w:r>
      <w:r w:rsidR="00A222E2" w:rsidRPr="00C349AC">
        <w:rPr>
          <w:rFonts w:ascii="Arial" w:hAnsi="Arial" w:cs="Arial"/>
          <w:color w:val="000000" w:themeColor="text1"/>
          <w:sz w:val="28"/>
          <w:szCs w:val="28"/>
          <w:lang w:val="es-ES_tradnl"/>
        </w:rPr>
        <w:t xml:space="preserve"> que</w:t>
      </w:r>
      <w:r w:rsidR="00805068" w:rsidRPr="00C349AC">
        <w:rPr>
          <w:rFonts w:ascii="Arial" w:hAnsi="Arial" w:cs="Arial"/>
          <w:color w:val="000000" w:themeColor="text1"/>
          <w:sz w:val="28"/>
          <w:szCs w:val="28"/>
          <w:lang w:val="es-ES_tradnl"/>
        </w:rPr>
        <w:t xml:space="preserve">, </w:t>
      </w:r>
      <w:r w:rsidR="00012581" w:rsidRPr="00C349AC">
        <w:rPr>
          <w:rFonts w:ascii="Arial" w:hAnsi="Arial" w:cs="Arial"/>
          <w:color w:val="000000" w:themeColor="text1"/>
          <w:sz w:val="28"/>
          <w:szCs w:val="28"/>
          <w:lang w:val="es-ES_tradnl"/>
        </w:rPr>
        <w:t>tal y como lo ha reconocido este Alto Tribunal</w:t>
      </w:r>
      <w:r w:rsidR="00805068" w:rsidRPr="00C349AC">
        <w:rPr>
          <w:rFonts w:ascii="Arial" w:hAnsi="Arial" w:cs="Arial"/>
          <w:color w:val="000000" w:themeColor="text1"/>
          <w:sz w:val="28"/>
          <w:szCs w:val="28"/>
          <w:lang w:val="es-ES_tradnl"/>
        </w:rPr>
        <w:t>,</w:t>
      </w:r>
      <w:r w:rsidR="00012581" w:rsidRPr="00C349AC">
        <w:rPr>
          <w:rFonts w:ascii="Arial" w:hAnsi="Arial" w:cs="Arial"/>
          <w:color w:val="000000" w:themeColor="text1"/>
          <w:sz w:val="28"/>
          <w:szCs w:val="28"/>
          <w:lang w:val="es-ES_tradnl"/>
        </w:rPr>
        <w:t xml:space="preserve"> </w:t>
      </w:r>
      <w:r w:rsidR="00DC1A86" w:rsidRPr="00C349AC">
        <w:rPr>
          <w:rFonts w:ascii="Arial" w:hAnsi="Arial" w:cs="Arial"/>
          <w:color w:val="000000" w:themeColor="text1"/>
          <w:sz w:val="28"/>
          <w:szCs w:val="28"/>
          <w:lang w:val="es-ES_tradnl"/>
        </w:rPr>
        <w:t xml:space="preserve">las </w:t>
      </w:r>
      <w:r w:rsidR="005D53E3" w:rsidRPr="00C349AC">
        <w:rPr>
          <w:rFonts w:ascii="Arial" w:hAnsi="Arial" w:cs="Arial"/>
          <w:color w:val="000000" w:themeColor="text1"/>
          <w:sz w:val="28"/>
          <w:szCs w:val="28"/>
          <w:lang w:val="es-ES_tradnl"/>
        </w:rPr>
        <w:t>c</w:t>
      </w:r>
      <w:r w:rsidR="00DC1A86" w:rsidRPr="00C349AC">
        <w:rPr>
          <w:rFonts w:ascii="Arial" w:hAnsi="Arial" w:cs="Arial"/>
          <w:color w:val="000000" w:themeColor="text1"/>
          <w:sz w:val="28"/>
          <w:szCs w:val="28"/>
          <w:lang w:val="es-ES_tradnl"/>
        </w:rPr>
        <w:t xml:space="preserve">omisiones de </w:t>
      </w:r>
      <w:r w:rsidR="005D53E3" w:rsidRPr="00C349AC">
        <w:rPr>
          <w:rFonts w:ascii="Arial" w:hAnsi="Arial" w:cs="Arial"/>
          <w:color w:val="000000" w:themeColor="text1"/>
          <w:sz w:val="28"/>
          <w:szCs w:val="28"/>
          <w:lang w:val="es-ES_tradnl"/>
        </w:rPr>
        <w:t>d</w:t>
      </w:r>
      <w:r w:rsidR="00DC1A86" w:rsidRPr="00C349AC">
        <w:rPr>
          <w:rFonts w:ascii="Arial" w:hAnsi="Arial" w:cs="Arial"/>
          <w:color w:val="000000" w:themeColor="text1"/>
          <w:sz w:val="28"/>
          <w:szCs w:val="28"/>
          <w:lang w:val="es-ES_tradnl"/>
        </w:rPr>
        <w:t xml:space="preserve">erechos </w:t>
      </w:r>
      <w:r w:rsidR="005D53E3" w:rsidRPr="00C349AC">
        <w:rPr>
          <w:rFonts w:ascii="Arial" w:hAnsi="Arial" w:cs="Arial"/>
          <w:color w:val="000000" w:themeColor="text1"/>
          <w:sz w:val="28"/>
          <w:szCs w:val="28"/>
          <w:lang w:val="es-ES_tradnl"/>
        </w:rPr>
        <w:t>h</w:t>
      </w:r>
      <w:r w:rsidR="00DC1A86" w:rsidRPr="00C349AC">
        <w:rPr>
          <w:rFonts w:ascii="Arial" w:hAnsi="Arial" w:cs="Arial"/>
          <w:color w:val="000000" w:themeColor="text1"/>
          <w:sz w:val="28"/>
          <w:szCs w:val="28"/>
          <w:lang w:val="es-ES_tradnl"/>
        </w:rPr>
        <w:t xml:space="preserve">umanos </w:t>
      </w:r>
      <w:r w:rsidR="00012581" w:rsidRPr="00C349AC">
        <w:rPr>
          <w:rFonts w:ascii="Arial" w:hAnsi="Arial" w:cs="Arial"/>
          <w:color w:val="000000" w:themeColor="text1"/>
          <w:sz w:val="28"/>
          <w:szCs w:val="28"/>
          <w:lang w:val="es-ES_tradnl"/>
        </w:rPr>
        <w:t xml:space="preserve">no sólo </w:t>
      </w:r>
      <w:r w:rsidR="00A222E2" w:rsidRPr="00C349AC">
        <w:rPr>
          <w:rFonts w:ascii="Arial" w:hAnsi="Arial" w:cs="Arial"/>
          <w:color w:val="000000" w:themeColor="text1"/>
          <w:sz w:val="28"/>
          <w:szCs w:val="28"/>
          <w:lang w:val="es-ES_tradnl"/>
        </w:rPr>
        <w:t>están facultadas</w:t>
      </w:r>
      <w:r w:rsidR="00DC1A86" w:rsidRPr="00C349AC">
        <w:rPr>
          <w:rFonts w:ascii="Arial" w:hAnsi="Arial" w:cs="Arial"/>
          <w:color w:val="000000" w:themeColor="text1"/>
          <w:sz w:val="28"/>
          <w:szCs w:val="28"/>
          <w:lang w:val="es-ES_tradnl"/>
        </w:rPr>
        <w:t xml:space="preserve"> para plantear violaciones </w:t>
      </w:r>
      <w:r w:rsidR="00012581" w:rsidRPr="00C349AC">
        <w:rPr>
          <w:rFonts w:ascii="Arial" w:hAnsi="Arial" w:cs="Arial"/>
          <w:color w:val="000000" w:themeColor="text1"/>
          <w:sz w:val="28"/>
          <w:szCs w:val="28"/>
          <w:lang w:val="es-ES_tradnl"/>
        </w:rPr>
        <w:t xml:space="preserve">a derechos </w:t>
      </w:r>
      <w:r w:rsidR="00012581" w:rsidRPr="00C349AC">
        <w:rPr>
          <w:rFonts w:ascii="Arial" w:hAnsi="Arial" w:cs="Arial"/>
          <w:color w:val="000000" w:themeColor="text1"/>
          <w:sz w:val="28"/>
          <w:szCs w:val="28"/>
          <w:lang w:val="es-ES_tradnl"/>
        </w:rPr>
        <w:lastRenderedPageBreak/>
        <w:t xml:space="preserve">sustantivos, sino también </w:t>
      </w:r>
      <w:r w:rsidR="00805068" w:rsidRPr="00C349AC">
        <w:rPr>
          <w:rFonts w:ascii="Arial" w:hAnsi="Arial" w:cs="Arial"/>
          <w:color w:val="000000" w:themeColor="text1"/>
          <w:sz w:val="28"/>
          <w:szCs w:val="28"/>
          <w:lang w:val="es-ES_tradnl"/>
        </w:rPr>
        <w:t xml:space="preserve">a sus </w:t>
      </w:r>
      <w:r w:rsidR="00805068" w:rsidRPr="00C349AC">
        <w:rPr>
          <w:rFonts w:ascii="Arial" w:hAnsi="Arial" w:cs="Arial"/>
          <w:i/>
          <w:iCs/>
          <w:color w:val="000000" w:themeColor="text1"/>
          <w:sz w:val="28"/>
          <w:szCs w:val="28"/>
          <w:lang w:val="es-ES_tradnl"/>
        </w:rPr>
        <w:t>garantías</w:t>
      </w:r>
      <w:r w:rsidR="00805068" w:rsidRPr="00C349AC">
        <w:rPr>
          <w:rFonts w:ascii="Arial" w:hAnsi="Arial" w:cs="Arial"/>
          <w:color w:val="000000" w:themeColor="text1"/>
          <w:sz w:val="28"/>
          <w:szCs w:val="28"/>
          <w:lang w:val="es-ES_tradnl"/>
        </w:rPr>
        <w:t>, lo que incluye el</w:t>
      </w:r>
      <w:r w:rsidR="00DC1A86" w:rsidRPr="00C349AC">
        <w:rPr>
          <w:rFonts w:ascii="Arial" w:hAnsi="Arial" w:cs="Arial"/>
          <w:color w:val="000000" w:themeColor="text1"/>
          <w:sz w:val="28"/>
          <w:szCs w:val="28"/>
          <w:lang w:val="es-ES_tradnl"/>
        </w:rPr>
        <w:t xml:space="preserve"> </w:t>
      </w:r>
      <w:r w:rsidR="00DC1A86" w:rsidRPr="00C349AC">
        <w:rPr>
          <w:rFonts w:ascii="Arial" w:hAnsi="Arial" w:cs="Arial"/>
          <w:i/>
          <w:color w:val="000000" w:themeColor="text1"/>
          <w:sz w:val="28"/>
          <w:szCs w:val="28"/>
          <w:lang w:val="es-ES_tradnl"/>
        </w:rPr>
        <w:t>sistema no jurisdiccional de protección de derechos humanos</w:t>
      </w:r>
      <w:r w:rsidR="00DC1A86" w:rsidRPr="00C349AC">
        <w:rPr>
          <w:rFonts w:ascii="Arial" w:hAnsi="Arial" w:cs="Arial"/>
          <w:color w:val="000000" w:themeColor="text1"/>
          <w:sz w:val="28"/>
          <w:szCs w:val="28"/>
          <w:lang w:val="es-ES_tradnl"/>
        </w:rPr>
        <w:t>, previsto en el artículo 102, apartado B, de la Constitución General</w:t>
      </w:r>
      <w:r w:rsidR="00DC1A86" w:rsidRPr="00C349AC">
        <w:rPr>
          <w:rStyle w:val="Refdenotaalpie"/>
          <w:rFonts w:ascii="Arial" w:hAnsi="Arial" w:cs="Arial"/>
          <w:color w:val="000000" w:themeColor="text1"/>
          <w:sz w:val="28"/>
          <w:szCs w:val="28"/>
          <w:lang w:val="es-ES_tradnl"/>
        </w:rPr>
        <w:footnoteReference w:id="5"/>
      </w:r>
      <w:r w:rsidR="00DC1A86" w:rsidRPr="00C349AC">
        <w:rPr>
          <w:rFonts w:ascii="Arial" w:hAnsi="Arial" w:cs="Arial"/>
          <w:color w:val="000000" w:themeColor="text1"/>
          <w:sz w:val="28"/>
          <w:szCs w:val="28"/>
          <w:lang w:val="es-ES_tradnl"/>
        </w:rPr>
        <w:t>.</w:t>
      </w:r>
    </w:p>
    <w:p w14:paraId="4BF207DF" w14:textId="77777777" w:rsidR="00DC1A86" w:rsidRPr="00C349AC" w:rsidRDefault="00DC1A86" w:rsidP="00556E9F">
      <w:pPr>
        <w:spacing w:after="0" w:line="360" w:lineRule="auto"/>
        <w:jc w:val="both"/>
        <w:rPr>
          <w:rFonts w:ascii="Arial" w:hAnsi="Arial" w:cs="Arial"/>
          <w:b/>
          <w:bCs/>
          <w:color w:val="000000" w:themeColor="text1"/>
          <w:sz w:val="28"/>
          <w:szCs w:val="28"/>
          <w:lang w:val="es-ES_tradnl"/>
        </w:rPr>
      </w:pPr>
    </w:p>
    <w:p w14:paraId="1F24C6B6" w14:textId="12E528AC" w:rsidR="00DC1A86" w:rsidRPr="00C349AC" w:rsidRDefault="00DC1A86" w:rsidP="00556E9F">
      <w:pPr>
        <w:spacing w:after="0" w:line="360" w:lineRule="auto"/>
        <w:ind w:firstLine="709"/>
        <w:jc w:val="both"/>
        <w:rPr>
          <w:rFonts w:ascii="Arial" w:hAnsi="Arial" w:cs="Arial"/>
          <w:i/>
          <w:color w:val="000000" w:themeColor="text1"/>
          <w:sz w:val="28"/>
          <w:szCs w:val="28"/>
        </w:rPr>
      </w:pPr>
      <w:r w:rsidRPr="00C349AC">
        <w:rPr>
          <w:rFonts w:ascii="Arial" w:hAnsi="Arial" w:cs="Arial"/>
          <w:color w:val="000000" w:themeColor="text1"/>
          <w:sz w:val="28"/>
          <w:szCs w:val="28"/>
          <w:lang w:val="es-ES_tradnl"/>
        </w:rPr>
        <w:t>E</w:t>
      </w:r>
      <w:r w:rsidR="00012581" w:rsidRPr="00C349AC">
        <w:rPr>
          <w:rFonts w:ascii="Arial" w:hAnsi="Arial" w:cs="Arial"/>
          <w:color w:val="000000" w:themeColor="text1"/>
          <w:sz w:val="28"/>
          <w:szCs w:val="28"/>
          <w:lang w:val="es-ES_tradnl"/>
        </w:rPr>
        <w:t>n efecto, el</w:t>
      </w:r>
      <w:r w:rsidRPr="00C349AC">
        <w:rPr>
          <w:rFonts w:ascii="Arial" w:hAnsi="Arial" w:cs="Arial"/>
          <w:color w:val="000000" w:themeColor="text1"/>
          <w:sz w:val="28"/>
          <w:szCs w:val="28"/>
          <w:lang w:val="es-ES_tradnl"/>
        </w:rPr>
        <w:t xml:space="preserve"> </w:t>
      </w:r>
      <w:r w:rsidR="00C160FB" w:rsidRPr="00C349AC">
        <w:rPr>
          <w:rFonts w:ascii="Arial" w:hAnsi="Arial" w:cs="Arial"/>
          <w:color w:val="000000" w:themeColor="text1"/>
          <w:sz w:val="28"/>
          <w:szCs w:val="28"/>
          <w:lang w:val="es-ES_tradnl"/>
        </w:rPr>
        <w:t>catorce</w:t>
      </w:r>
      <w:r w:rsidRPr="00C349AC">
        <w:rPr>
          <w:rFonts w:ascii="Arial" w:hAnsi="Arial" w:cs="Arial"/>
          <w:color w:val="000000" w:themeColor="text1"/>
          <w:sz w:val="28"/>
          <w:szCs w:val="28"/>
          <w:lang w:val="es-ES_tradnl"/>
        </w:rPr>
        <w:t xml:space="preserve"> de septiembre de </w:t>
      </w:r>
      <w:r w:rsidR="00C160FB" w:rsidRPr="00C349AC">
        <w:rPr>
          <w:rFonts w:ascii="Arial" w:hAnsi="Arial" w:cs="Arial"/>
          <w:color w:val="000000" w:themeColor="text1"/>
          <w:sz w:val="28"/>
          <w:szCs w:val="28"/>
          <w:lang w:val="es-ES_tradnl"/>
        </w:rPr>
        <w:t>dos mil seis</w:t>
      </w:r>
      <w:r w:rsidRPr="00C349AC">
        <w:rPr>
          <w:rFonts w:ascii="Arial" w:hAnsi="Arial" w:cs="Arial"/>
          <w:color w:val="000000" w:themeColor="text1"/>
          <w:sz w:val="28"/>
          <w:szCs w:val="28"/>
          <w:lang w:val="es-ES_tradnl"/>
        </w:rPr>
        <w:t xml:space="preserve"> se publicó la reforma constitucional por la que se facultó a la </w:t>
      </w:r>
      <w:r w:rsidR="00012581" w:rsidRPr="00C349AC">
        <w:rPr>
          <w:rFonts w:ascii="Arial" w:hAnsi="Arial" w:cs="Arial"/>
          <w:color w:val="000000" w:themeColor="text1"/>
          <w:sz w:val="28"/>
          <w:szCs w:val="28"/>
          <w:lang w:val="es-ES_tradnl"/>
        </w:rPr>
        <w:t xml:space="preserve">CNDH </w:t>
      </w:r>
      <w:r w:rsidRPr="00C349AC">
        <w:rPr>
          <w:rFonts w:ascii="Arial" w:hAnsi="Arial" w:cs="Arial"/>
          <w:color w:val="000000" w:themeColor="text1"/>
          <w:sz w:val="28"/>
          <w:szCs w:val="28"/>
          <w:lang w:val="es-ES_tradnl"/>
        </w:rPr>
        <w:t>y a los organismos de protección de derechos humanos equivalentes en las entidades federativas para presentar acciones de inconstitucionalidad.</w:t>
      </w:r>
      <w:r w:rsidR="00012581" w:rsidRPr="00C349AC">
        <w:rPr>
          <w:rFonts w:ascii="Arial" w:hAnsi="Arial" w:cs="Arial"/>
          <w:color w:val="000000" w:themeColor="text1"/>
          <w:sz w:val="28"/>
          <w:szCs w:val="28"/>
          <w:lang w:val="es-ES_tradnl"/>
        </w:rPr>
        <w:t xml:space="preserve"> D</w:t>
      </w:r>
      <w:r w:rsidRPr="00C349AC">
        <w:rPr>
          <w:rFonts w:ascii="Arial" w:hAnsi="Arial" w:cs="Arial"/>
          <w:color w:val="000000" w:themeColor="text1"/>
          <w:sz w:val="28"/>
          <w:szCs w:val="28"/>
          <w:lang w:val="es-ES_tradnl"/>
        </w:rPr>
        <w:t>e la exposición de motivos de dicha reforma constitucional</w:t>
      </w:r>
      <w:r w:rsidR="00805068" w:rsidRPr="00C349AC">
        <w:rPr>
          <w:rFonts w:ascii="Arial" w:hAnsi="Arial" w:cs="Arial"/>
          <w:color w:val="000000" w:themeColor="text1"/>
          <w:sz w:val="28"/>
          <w:szCs w:val="28"/>
          <w:lang w:val="es-ES_tradnl"/>
        </w:rPr>
        <w:t xml:space="preserve">, </w:t>
      </w:r>
      <w:r w:rsidRPr="00C349AC">
        <w:rPr>
          <w:rFonts w:ascii="Arial" w:hAnsi="Arial" w:cs="Arial"/>
          <w:color w:val="000000" w:themeColor="text1"/>
          <w:sz w:val="28"/>
          <w:szCs w:val="28"/>
          <w:lang w:val="es-ES_tradnl"/>
        </w:rPr>
        <w:t xml:space="preserve">la cual dio origen al actual inciso g) </w:t>
      </w:r>
      <w:r w:rsidR="00E74CBF">
        <w:rPr>
          <w:rFonts w:ascii="Arial" w:hAnsi="Arial" w:cs="Arial"/>
          <w:color w:val="000000" w:themeColor="text1"/>
          <w:sz w:val="28"/>
          <w:szCs w:val="28"/>
          <w:lang w:val="es-ES_tradnl"/>
        </w:rPr>
        <w:t xml:space="preserve">de la fracción II </w:t>
      </w:r>
      <w:r w:rsidRPr="00C349AC">
        <w:rPr>
          <w:rFonts w:ascii="Arial" w:hAnsi="Arial" w:cs="Arial"/>
          <w:color w:val="000000" w:themeColor="text1"/>
          <w:sz w:val="28"/>
          <w:szCs w:val="28"/>
          <w:lang w:val="es-ES_tradnl"/>
        </w:rPr>
        <w:t xml:space="preserve">del artículo 105 de la Constitución General, se advierte que </w:t>
      </w:r>
      <w:r w:rsidR="009B1CD6" w:rsidRPr="00C349AC">
        <w:rPr>
          <w:rFonts w:ascii="Arial" w:hAnsi="Arial" w:cs="Arial"/>
          <w:color w:val="000000" w:themeColor="text1"/>
          <w:sz w:val="28"/>
          <w:szCs w:val="28"/>
          <w:lang w:val="es-ES_tradnl"/>
        </w:rPr>
        <w:t xml:space="preserve">la </w:t>
      </w:r>
      <w:r w:rsidRPr="00C349AC">
        <w:rPr>
          <w:rFonts w:ascii="Arial" w:hAnsi="Arial" w:cs="Arial"/>
          <w:color w:val="000000" w:themeColor="text1"/>
          <w:sz w:val="28"/>
          <w:szCs w:val="28"/>
          <w:lang w:val="es-ES_tradnl"/>
        </w:rPr>
        <w:t>finalidad</w:t>
      </w:r>
      <w:r w:rsidR="00805068" w:rsidRPr="00C349AC">
        <w:rPr>
          <w:rFonts w:ascii="Arial" w:hAnsi="Arial" w:cs="Arial"/>
          <w:color w:val="000000" w:themeColor="text1"/>
          <w:sz w:val="28"/>
          <w:szCs w:val="28"/>
          <w:lang w:val="es-ES_tradnl"/>
        </w:rPr>
        <w:t xml:space="preserve"> del Poder Reformador</w:t>
      </w:r>
      <w:r w:rsidRPr="00C349AC">
        <w:rPr>
          <w:rFonts w:ascii="Arial" w:hAnsi="Arial" w:cs="Arial"/>
          <w:color w:val="000000" w:themeColor="text1"/>
          <w:sz w:val="28"/>
          <w:szCs w:val="28"/>
          <w:lang w:val="es-ES_tradnl"/>
        </w:rPr>
        <w:t xml:space="preserve"> fue </w:t>
      </w:r>
      <w:r w:rsidRPr="00C349AC">
        <w:rPr>
          <w:rFonts w:ascii="Arial" w:hAnsi="Arial" w:cs="Arial"/>
          <w:i/>
          <w:color w:val="000000" w:themeColor="text1"/>
          <w:sz w:val="28"/>
          <w:szCs w:val="28"/>
        </w:rPr>
        <w:t xml:space="preserve">fortalecer la labor de control del poder que realizan las Comisiones de Derechos Humanos en beneficio de la libertad, la igualdad y la seguridad jurídica de las personas y </w:t>
      </w:r>
      <w:r w:rsidRPr="00C349AC">
        <w:rPr>
          <w:rFonts w:ascii="Arial" w:hAnsi="Arial" w:cs="Arial"/>
          <w:color w:val="000000" w:themeColor="text1"/>
          <w:sz w:val="28"/>
          <w:szCs w:val="28"/>
        </w:rPr>
        <w:t>—de esta forma—</w:t>
      </w:r>
      <w:r w:rsidRPr="00C349AC">
        <w:rPr>
          <w:rFonts w:ascii="Arial" w:hAnsi="Arial" w:cs="Arial"/>
          <w:i/>
          <w:color w:val="000000" w:themeColor="text1"/>
          <w:sz w:val="28"/>
          <w:szCs w:val="28"/>
        </w:rPr>
        <w:t xml:space="preserve"> fortalecer la vigencia misma de los derechos humanos en México. </w:t>
      </w:r>
    </w:p>
    <w:p w14:paraId="60E7FFA5" w14:textId="77777777" w:rsidR="00DC1A86" w:rsidRPr="00C349AC" w:rsidRDefault="00DC1A86" w:rsidP="00556E9F">
      <w:pPr>
        <w:spacing w:after="0" w:line="360" w:lineRule="auto"/>
        <w:ind w:firstLine="709"/>
        <w:jc w:val="both"/>
        <w:rPr>
          <w:rFonts w:ascii="Arial" w:hAnsi="Arial" w:cs="Arial"/>
          <w:i/>
          <w:color w:val="000000" w:themeColor="text1"/>
          <w:sz w:val="28"/>
          <w:szCs w:val="28"/>
        </w:rPr>
      </w:pPr>
    </w:p>
    <w:p w14:paraId="74111AD0" w14:textId="77777777" w:rsidR="00556E9F" w:rsidRPr="00C349AC" w:rsidRDefault="005D53E3" w:rsidP="00556E9F">
      <w:pPr>
        <w:spacing w:after="0" w:line="360" w:lineRule="auto"/>
        <w:ind w:firstLine="709"/>
        <w:jc w:val="both"/>
        <w:rPr>
          <w:rFonts w:ascii="Arial" w:hAnsi="Arial" w:cs="Arial"/>
          <w:color w:val="000000" w:themeColor="text1"/>
          <w:sz w:val="28"/>
          <w:szCs w:val="28"/>
        </w:rPr>
      </w:pPr>
      <w:r w:rsidRPr="00C349AC">
        <w:rPr>
          <w:rFonts w:ascii="Arial" w:hAnsi="Arial" w:cs="Arial"/>
          <w:iCs/>
          <w:color w:val="000000" w:themeColor="text1"/>
          <w:sz w:val="28"/>
          <w:szCs w:val="28"/>
        </w:rPr>
        <w:t>Así pues</w:t>
      </w:r>
      <w:r w:rsidR="00805068" w:rsidRPr="00C349AC">
        <w:rPr>
          <w:rFonts w:ascii="Arial" w:hAnsi="Arial" w:cs="Arial"/>
          <w:iCs/>
          <w:color w:val="000000" w:themeColor="text1"/>
          <w:sz w:val="28"/>
          <w:szCs w:val="28"/>
        </w:rPr>
        <w:t>, si el objetivo de</w:t>
      </w:r>
      <w:r w:rsidR="00DC1A86" w:rsidRPr="00C349AC">
        <w:rPr>
          <w:rFonts w:ascii="Arial" w:hAnsi="Arial" w:cs="Arial"/>
          <w:iCs/>
          <w:color w:val="000000" w:themeColor="text1"/>
          <w:sz w:val="28"/>
          <w:szCs w:val="28"/>
        </w:rPr>
        <w:t xml:space="preserve"> la reforma al artículo 105, fracción II, de la Constitución </w:t>
      </w:r>
      <w:r w:rsidR="00805068" w:rsidRPr="00C349AC">
        <w:rPr>
          <w:rFonts w:ascii="Arial" w:hAnsi="Arial" w:cs="Arial"/>
          <w:iCs/>
          <w:color w:val="000000" w:themeColor="text1"/>
          <w:sz w:val="28"/>
          <w:szCs w:val="28"/>
        </w:rPr>
        <w:t xml:space="preserve">General fue </w:t>
      </w:r>
      <w:r w:rsidR="00DC1A86" w:rsidRPr="00C349AC">
        <w:rPr>
          <w:rFonts w:ascii="Arial" w:hAnsi="Arial" w:cs="Arial"/>
          <w:i/>
          <w:color w:val="000000" w:themeColor="text1"/>
          <w:sz w:val="28"/>
          <w:szCs w:val="28"/>
        </w:rPr>
        <w:t>fortalecer</w:t>
      </w:r>
      <w:r w:rsidR="00DC1A86" w:rsidRPr="00C349AC">
        <w:rPr>
          <w:rFonts w:ascii="Arial" w:hAnsi="Arial" w:cs="Arial"/>
          <w:iCs/>
          <w:color w:val="000000" w:themeColor="text1"/>
          <w:sz w:val="28"/>
          <w:szCs w:val="28"/>
        </w:rPr>
        <w:t xml:space="preserve"> la vigencia de los derechos humanos en nuestro país, </w:t>
      </w:r>
      <w:r w:rsidR="00805068" w:rsidRPr="00C349AC">
        <w:rPr>
          <w:rFonts w:ascii="Arial" w:hAnsi="Arial" w:cs="Arial"/>
          <w:iCs/>
          <w:color w:val="000000" w:themeColor="text1"/>
          <w:sz w:val="28"/>
          <w:szCs w:val="28"/>
        </w:rPr>
        <w:t xml:space="preserve">es evidente que </w:t>
      </w:r>
      <w:r w:rsidR="00DC1A86" w:rsidRPr="00C349AC">
        <w:rPr>
          <w:rFonts w:ascii="Arial" w:hAnsi="Arial" w:cs="Arial"/>
          <w:iCs/>
          <w:color w:val="000000" w:themeColor="text1"/>
          <w:sz w:val="28"/>
          <w:szCs w:val="28"/>
        </w:rPr>
        <w:t xml:space="preserve">la legitimación de las comisiones de derechos humanos no </w:t>
      </w:r>
      <w:r w:rsidR="00012581" w:rsidRPr="00C349AC">
        <w:rPr>
          <w:rFonts w:ascii="Arial" w:hAnsi="Arial" w:cs="Arial"/>
          <w:iCs/>
          <w:color w:val="000000" w:themeColor="text1"/>
          <w:sz w:val="28"/>
          <w:szCs w:val="28"/>
        </w:rPr>
        <w:t xml:space="preserve">puede </w:t>
      </w:r>
      <w:r w:rsidR="00DC1A86" w:rsidRPr="00C349AC">
        <w:rPr>
          <w:rFonts w:ascii="Arial" w:hAnsi="Arial" w:cs="Arial"/>
          <w:iCs/>
          <w:color w:val="000000" w:themeColor="text1"/>
          <w:sz w:val="28"/>
          <w:szCs w:val="28"/>
        </w:rPr>
        <w:t>interpretarse de forma acotada</w:t>
      </w:r>
      <w:r w:rsidR="00805068" w:rsidRPr="00C349AC">
        <w:rPr>
          <w:rFonts w:ascii="Arial" w:hAnsi="Arial" w:cs="Arial"/>
          <w:color w:val="000000" w:themeColor="text1"/>
          <w:sz w:val="28"/>
          <w:szCs w:val="28"/>
        </w:rPr>
        <w:t xml:space="preserve">, </w:t>
      </w:r>
      <w:r w:rsidR="00DC1A86" w:rsidRPr="00C349AC">
        <w:rPr>
          <w:rFonts w:ascii="Arial" w:hAnsi="Arial" w:cs="Arial"/>
          <w:color w:val="000000" w:themeColor="text1"/>
          <w:sz w:val="28"/>
          <w:szCs w:val="28"/>
        </w:rPr>
        <w:t xml:space="preserve">es decir, limitada a la impugnación de normas generales que violen normas </w:t>
      </w:r>
      <w:r w:rsidR="00DC1A86" w:rsidRPr="00C349AC">
        <w:rPr>
          <w:rFonts w:ascii="Arial" w:hAnsi="Arial" w:cs="Arial"/>
          <w:i/>
          <w:color w:val="000000" w:themeColor="text1"/>
          <w:sz w:val="28"/>
          <w:szCs w:val="28"/>
        </w:rPr>
        <w:t xml:space="preserve">sustantivas </w:t>
      </w:r>
      <w:r w:rsidR="00DC1A86" w:rsidRPr="00C349AC">
        <w:rPr>
          <w:rFonts w:ascii="Arial" w:hAnsi="Arial" w:cs="Arial"/>
          <w:color w:val="000000" w:themeColor="text1"/>
          <w:sz w:val="28"/>
          <w:szCs w:val="28"/>
        </w:rPr>
        <w:t>de derechos humanos</w:t>
      </w:r>
      <w:r w:rsidR="00805068" w:rsidRPr="00C349AC">
        <w:rPr>
          <w:rFonts w:ascii="Arial" w:hAnsi="Arial" w:cs="Arial"/>
          <w:color w:val="000000" w:themeColor="text1"/>
          <w:sz w:val="28"/>
          <w:szCs w:val="28"/>
        </w:rPr>
        <w:t xml:space="preserve">. Por el contrario, dicha legitimación debe interpretarse en el sentido de que ésta </w:t>
      </w:r>
      <w:r w:rsidR="00DC1A86" w:rsidRPr="00C349AC">
        <w:rPr>
          <w:rFonts w:ascii="Arial" w:hAnsi="Arial" w:cs="Arial"/>
          <w:color w:val="000000" w:themeColor="text1"/>
          <w:sz w:val="28"/>
          <w:szCs w:val="28"/>
        </w:rPr>
        <w:t xml:space="preserve">comprende también la posibilidad de impugnar aquellas normas que </w:t>
      </w:r>
      <w:r w:rsidR="00805068" w:rsidRPr="00C349AC">
        <w:rPr>
          <w:rFonts w:ascii="Arial" w:hAnsi="Arial" w:cs="Arial"/>
          <w:color w:val="000000" w:themeColor="text1"/>
          <w:sz w:val="28"/>
          <w:szCs w:val="28"/>
        </w:rPr>
        <w:t xml:space="preserve">eventualmente pudieran </w:t>
      </w:r>
      <w:r w:rsidR="00DC1A86" w:rsidRPr="00C349AC">
        <w:rPr>
          <w:rFonts w:ascii="Arial" w:hAnsi="Arial" w:cs="Arial"/>
          <w:color w:val="000000" w:themeColor="text1"/>
          <w:sz w:val="28"/>
          <w:szCs w:val="28"/>
        </w:rPr>
        <w:t>afecta</w:t>
      </w:r>
      <w:r w:rsidR="00805068" w:rsidRPr="00C349AC">
        <w:rPr>
          <w:rFonts w:ascii="Arial" w:hAnsi="Arial" w:cs="Arial"/>
          <w:color w:val="000000" w:themeColor="text1"/>
          <w:sz w:val="28"/>
          <w:szCs w:val="28"/>
        </w:rPr>
        <w:t>r</w:t>
      </w:r>
      <w:r w:rsidR="00DC1A86" w:rsidRPr="00C349AC">
        <w:rPr>
          <w:rFonts w:ascii="Arial" w:hAnsi="Arial" w:cs="Arial"/>
          <w:color w:val="000000" w:themeColor="text1"/>
          <w:sz w:val="28"/>
          <w:szCs w:val="28"/>
        </w:rPr>
        <w:t xml:space="preserve"> las </w:t>
      </w:r>
      <w:r w:rsidR="00DC1A86" w:rsidRPr="00C349AC">
        <w:rPr>
          <w:rFonts w:ascii="Arial" w:hAnsi="Arial" w:cs="Arial"/>
          <w:i/>
          <w:color w:val="000000" w:themeColor="text1"/>
          <w:sz w:val="28"/>
          <w:szCs w:val="28"/>
        </w:rPr>
        <w:t>garantías constitucionales de protección de los derechos humanos</w:t>
      </w:r>
      <w:r w:rsidR="00DC1A86" w:rsidRPr="00C349AC">
        <w:rPr>
          <w:rFonts w:ascii="Arial" w:hAnsi="Arial" w:cs="Arial"/>
          <w:color w:val="000000" w:themeColor="text1"/>
          <w:sz w:val="28"/>
          <w:szCs w:val="28"/>
        </w:rPr>
        <w:t xml:space="preserve">, </w:t>
      </w:r>
      <w:r w:rsidR="00805068" w:rsidRPr="00C349AC">
        <w:rPr>
          <w:rFonts w:ascii="Arial" w:hAnsi="Arial" w:cs="Arial"/>
          <w:color w:val="000000" w:themeColor="text1"/>
          <w:sz w:val="28"/>
          <w:szCs w:val="28"/>
        </w:rPr>
        <w:t>incluyendo</w:t>
      </w:r>
      <w:r w:rsidR="00DC1A86" w:rsidRPr="00C349AC">
        <w:rPr>
          <w:rFonts w:ascii="Arial" w:hAnsi="Arial" w:cs="Arial"/>
          <w:color w:val="000000" w:themeColor="text1"/>
          <w:sz w:val="28"/>
          <w:szCs w:val="28"/>
        </w:rPr>
        <w:t xml:space="preserve"> el sistema no jurisdiccional de protección y promoción de derechos humanos. </w:t>
      </w:r>
    </w:p>
    <w:p w14:paraId="2ED2C9FD" w14:textId="77777777" w:rsidR="00556E9F" w:rsidRPr="00C349AC" w:rsidRDefault="00556E9F" w:rsidP="00556E9F">
      <w:pPr>
        <w:spacing w:after="0" w:line="360" w:lineRule="auto"/>
        <w:ind w:firstLine="709"/>
        <w:jc w:val="both"/>
        <w:rPr>
          <w:rFonts w:ascii="Arial" w:hAnsi="Arial" w:cs="Arial"/>
          <w:color w:val="000000" w:themeColor="text1"/>
          <w:sz w:val="28"/>
          <w:szCs w:val="28"/>
        </w:rPr>
      </w:pPr>
    </w:p>
    <w:p w14:paraId="4419C537" w14:textId="530D85F0" w:rsidR="00BE24FD" w:rsidRPr="00C349AC" w:rsidRDefault="00C86001" w:rsidP="00556E9F">
      <w:pPr>
        <w:spacing w:after="0" w:line="360" w:lineRule="auto"/>
        <w:ind w:firstLine="709"/>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lastRenderedPageBreak/>
        <w:t>Consecuentemente</w:t>
      </w:r>
      <w:r w:rsidR="00805068" w:rsidRPr="00C349AC">
        <w:rPr>
          <w:rFonts w:ascii="Arial" w:hAnsi="Arial" w:cs="Arial"/>
          <w:color w:val="000000" w:themeColor="text1"/>
          <w:sz w:val="28"/>
          <w:szCs w:val="28"/>
          <w:lang w:val="es-ES_tradnl"/>
        </w:rPr>
        <w:t xml:space="preserve">, </w:t>
      </w:r>
      <w:r w:rsidR="00BB35C7" w:rsidRPr="00C349AC">
        <w:rPr>
          <w:rFonts w:ascii="Arial" w:hAnsi="Arial" w:cs="Arial"/>
          <w:color w:val="000000" w:themeColor="text1"/>
          <w:sz w:val="28"/>
          <w:szCs w:val="28"/>
          <w:lang w:val="es-ES_tradnl"/>
        </w:rPr>
        <w:t>si</w:t>
      </w:r>
      <w:r w:rsidR="00805068" w:rsidRPr="00C349AC">
        <w:rPr>
          <w:rFonts w:ascii="Arial" w:hAnsi="Arial" w:cs="Arial"/>
          <w:color w:val="000000" w:themeColor="text1"/>
          <w:sz w:val="28"/>
          <w:szCs w:val="28"/>
          <w:lang w:val="es-ES_tradnl"/>
        </w:rPr>
        <w:t xml:space="preserve"> el </w:t>
      </w:r>
      <w:r w:rsidRPr="00C349AC">
        <w:rPr>
          <w:rFonts w:ascii="Arial" w:hAnsi="Arial" w:cs="Arial"/>
          <w:color w:val="000000" w:themeColor="text1"/>
          <w:sz w:val="28"/>
          <w:szCs w:val="28"/>
          <w:lang w:val="es-ES_tradnl"/>
        </w:rPr>
        <w:t>concepto de invalidez</w:t>
      </w:r>
      <w:r w:rsidR="00805068" w:rsidRPr="00C349AC">
        <w:rPr>
          <w:rFonts w:ascii="Arial" w:hAnsi="Arial" w:cs="Arial"/>
          <w:color w:val="000000" w:themeColor="text1"/>
          <w:sz w:val="28"/>
          <w:szCs w:val="28"/>
          <w:lang w:val="es-ES_tradnl"/>
        </w:rPr>
        <w:t xml:space="preserve"> de la </w:t>
      </w:r>
      <w:r w:rsidR="007279D3" w:rsidRPr="00C349AC">
        <w:rPr>
          <w:rFonts w:ascii="Arial" w:hAnsi="Arial" w:cs="Arial"/>
          <w:color w:val="000000" w:themeColor="text1"/>
          <w:sz w:val="28"/>
          <w:szCs w:val="28"/>
          <w:lang w:val="es-ES_tradnl"/>
        </w:rPr>
        <w:t>CDHCM</w:t>
      </w:r>
      <w:r w:rsidR="00805068" w:rsidRPr="00C349AC">
        <w:rPr>
          <w:rFonts w:ascii="Arial" w:hAnsi="Arial" w:cs="Arial"/>
          <w:color w:val="000000" w:themeColor="text1"/>
          <w:sz w:val="28"/>
          <w:szCs w:val="28"/>
          <w:lang w:val="es-ES_tradnl"/>
        </w:rPr>
        <w:t xml:space="preserve"> respecto del </w:t>
      </w:r>
      <w:r w:rsidR="006E660B">
        <w:rPr>
          <w:rFonts w:ascii="Arial" w:hAnsi="Arial" w:cs="Arial"/>
          <w:color w:val="000000" w:themeColor="text1"/>
          <w:sz w:val="28"/>
          <w:szCs w:val="28"/>
          <w:lang w:val="es-ES_tradnl"/>
        </w:rPr>
        <w:t xml:space="preserve">artículo </w:t>
      </w:r>
      <w:r w:rsidR="00805068" w:rsidRPr="00C349AC">
        <w:rPr>
          <w:rFonts w:ascii="Arial" w:hAnsi="Arial" w:cs="Arial"/>
          <w:color w:val="000000" w:themeColor="text1"/>
          <w:sz w:val="28"/>
          <w:szCs w:val="28"/>
          <w:lang w:val="es-ES_tradnl"/>
        </w:rPr>
        <w:t xml:space="preserve">42, fracción XI, </w:t>
      </w:r>
      <w:r w:rsidRPr="00C349AC">
        <w:rPr>
          <w:rFonts w:ascii="Arial" w:hAnsi="Arial" w:cs="Arial"/>
          <w:color w:val="000000" w:themeColor="text1"/>
          <w:sz w:val="28"/>
          <w:szCs w:val="28"/>
          <w:lang w:val="es-ES_tradnl"/>
        </w:rPr>
        <w:t xml:space="preserve">de la ley impugnada </w:t>
      </w:r>
      <w:r w:rsidR="00805068" w:rsidRPr="00C349AC">
        <w:rPr>
          <w:rFonts w:ascii="Arial" w:hAnsi="Arial" w:cs="Arial"/>
          <w:color w:val="000000" w:themeColor="text1"/>
          <w:sz w:val="28"/>
          <w:szCs w:val="28"/>
          <w:lang w:val="es-ES_tradnl"/>
        </w:rPr>
        <w:t>est</w:t>
      </w:r>
      <w:r w:rsidR="00BB35C7" w:rsidRPr="00C349AC">
        <w:rPr>
          <w:rFonts w:ascii="Arial" w:hAnsi="Arial" w:cs="Arial"/>
          <w:color w:val="000000" w:themeColor="text1"/>
          <w:sz w:val="28"/>
          <w:szCs w:val="28"/>
          <w:lang w:val="es-ES_tradnl"/>
        </w:rPr>
        <w:t>aba</w:t>
      </w:r>
      <w:r w:rsidR="00805068" w:rsidRPr="00C349AC">
        <w:rPr>
          <w:rFonts w:ascii="Arial" w:hAnsi="Arial" w:cs="Arial"/>
          <w:color w:val="000000" w:themeColor="text1"/>
          <w:sz w:val="28"/>
          <w:szCs w:val="28"/>
          <w:lang w:val="es-ES_tradnl"/>
        </w:rPr>
        <w:t xml:space="preserve"> directamente relacionado con el funcionamiento del sistema no jurisdiccional de protección de derechos humanos, </w:t>
      </w:r>
      <w:r w:rsidR="00556E9F" w:rsidRPr="00C349AC">
        <w:rPr>
          <w:rFonts w:ascii="Arial" w:hAnsi="Arial" w:cs="Arial"/>
          <w:color w:val="000000" w:themeColor="text1"/>
          <w:sz w:val="28"/>
          <w:szCs w:val="28"/>
          <w:lang w:val="es-ES_tradnl"/>
        </w:rPr>
        <w:t>es claro</w:t>
      </w:r>
      <w:r w:rsidR="00805068" w:rsidRPr="00C349AC">
        <w:rPr>
          <w:rFonts w:ascii="Arial" w:hAnsi="Arial" w:cs="Arial"/>
          <w:color w:val="000000" w:themeColor="text1"/>
          <w:sz w:val="28"/>
          <w:szCs w:val="28"/>
          <w:lang w:val="es-ES_tradnl"/>
        </w:rPr>
        <w:t xml:space="preserve"> que dicho organismo contaba con legitimación para </w:t>
      </w:r>
      <w:r w:rsidRPr="00C349AC">
        <w:rPr>
          <w:rFonts w:ascii="Arial" w:hAnsi="Arial" w:cs="Arial"/>
          <w:color w:val="000000" w:themeColor="text1"/>
          <w:sz w:val="28"/>
          <w:szCs w:val="28"/>
          <w:lang w:val="es-ES_tradnl"/>
        </w:rPr>
        <w:t>plantearlo</w:t>
      </w:r>
      <w:r w:rsidR="00BB35C7" w:rsidRPr="00C349AC">
        <w:rPr>
          <w:rFonts w:ascii="Arial" w:hAnsi="Arial" w:cs="Arial"/>
          <w:color w:val="000000" w:themeColor="text1"/>
          <w:sz w:val="28"/>
          <w:szCs w:val="28"/>
          <w:lang w:val="es-ES_tradnl"/>
        </w:rPr>
        <w:t xml:space="preserve"> y, por tanto, </w:t>
      </w:r>
      <w:r w:rsidRPr="00C349AC">
        <w:rPr>
          <w:rFonts w:ascii="Arial" w:hAnsi="Arial" w:cs="Arial"/>
          <w:color w:val="000000" w:themeColor="text1"/>
          <w:sz w:val="28"/>
          <w:szCs w:val="28"/>
          <w:lang w:val="es-ES_tradnl"/>
        </w:rPr>
        <w:t xml:space="preserve">la causa de improcedencia es infundada. </w:t>
      </w:r>
    </w:p>
    <w:p w14:paraId="2BAAE1B1" w14:textId="77777777" w:rsidR="00DC1A86" w:rsidRPr="00C349AC" w:rsidRDefault="00DC1A86" w:rsidP="00556E9F">
      <w:pPr>
        <w:pStyle w:val="corte4fondo"/>
        <w:autoSpaceDE w:val="0"/>
        <w:autoSpaceDN w:val="0"/>
        <w:adjustRightInd w:val="0"/>
        <w:ind w:right="51" w:firstLine="0"/>
        <w:rPr>
          <w:rFonts w:cs="Arial"/>
          <w:color w:val="000000" w:themeColor="text1"/>
          <w:sz w:val="28"/>
          <w:szCs w:val="28"/>
          <w:lang w:val="es-ES_tradnl"/>
        </w:rPr>
      </w:pPr>
    </w:p>
    <w:p w14:paraId="55A117AB" w14:textId="25103408" w:rsidR="00DC1A86" w:rsidRPr="00C349AC" w:rsidRDefault="00DC1A86" w:rsidP="00556E9F">
      <w:pPr>
        <w:pStyle w:val="corte4fondo"/>
        <w:numPr>
          <w:ilvl w:val="0"/>
          <w:numId w:val="2"/>
        </w:numPr>
        <w:autoSpaceDE w:val="0"/>
        <w:autoSpaceDN w:val="0"/>
        <w:adjustRightInd w:val="0"/>
        <w:ind w:right="51"/>
        <w:rPr>
          <w:rFonts w:cs="Arial"/>
          <w:b/>
          <w:bCs/>
          <w:color w:val="000000" w:themeColor="text1"/>
          <w:sz w:val="28"/>
          <w:szCs w:val="28"/>
          <w:lang w:val="es-ES_tradnl"/>
        </w:rPr>
      </w:pPr>
      <w:r w:rsidRPr="00C349AC">
        <w:rPr>
          <w:rFonts w:cs="Arial"/>
          <w:b/>
          <w:bCs/>
          <w:color w:val="000000" w:themeColor="text1"/>
          <w:sz w:val="28"/>
          <w:szCs w:val="28"/>
          <w:lang w:val="es-ES_tradnl"/>
        </w:rPr>
        <w:t>Sobreseimiento</w:t>
      </w:r>
      <w:r w:rsidR="00872C32" w:rsidRPr="00C349AC">
        <w:rPr>
          <w:rFonts w:cs="Arial"/>
          <w:b/>
          <w:bCs/>
          <w:color w:val="000000" w:themeColor="text1"/>
          <w:sz w:val="28"/>
          <w:szCs w:val="28"/>
          <w:lang w:val="es-ES_tradnl"/>
        </w:rPr>
        <w:t xml:space="preserve"> decretado</w:t>
      </w:r>
      <w:r w:rsidRPr="00C349AC">
        <w:rPr>
          <w:rFonts w:cs="Arial"/>
          <w:b/>
          <w:bCs/>
          <w:color w:val="000000" w:themeColor="text1"/>
          <w:sz w:val="28"/>
          <w:szCs w:val="28"/>
          <w:lang w:val="es-ES_tradnl"/>
        </w:rPr>
        <w:t xml:space="preserve"> por actualización de nuevo acto legislativo</w:t>
      </w:r>
    </w:p>
    <w:p w14:paraId="2015E931" w14:textId="77777777" w:rsidR="00DC1A86" w:rsidRPr="00C349AC" w:rsidRDefault="00DC1A86" w:rsidP="00556E9F">
      <w:pPr>
        <w:pStyle w:val="corte4fondo"/>
        <w:autoSpaceDE w:val="0"/>
        <w:autoSpaceDN w:val="0"/>
        <w:adjustRightInd w:val="0"/>
        <w:ind w:right="51" w:firstLine="0"/>
        <w:rPr>
          <w:rFonts w:cs="Arial"/>
          <w:color w:val="000000" w:themeColor="text1"/>
          <w:sz w:val="28"/>
          <w:szCs w:val="28"/>
          <w:lang w:val="es-ES_tradnl"/>
        </w:rPr>
      </w:pPr>
    </w:p>
    <w:p w14:paraId="039FD020" w14:textId="31745486" w:rsidR="00DC1A86" w:rsidRPr="00C349AC" w:rsidRDefault="00C86001" w:rsidP="00556E9F">
      <w:pPr>
        <w:pStyle w:val="corte4fondo"/>
        <w:autoSpaceDE w:val="0"/>
        <w:autoSpaceDN w:val="0"/>
        <w:adjustRightInd w:val="0"/>
        <w:ind w:right="51" w:firstLine="0"/>
        <w:rPr>
          <w:rFonts w:cs="Arial"/>
          <w:color w:val="000000" w:themeColor="text1"/>
          <w:sz w:val="28"/>
          <w:szCs w:val="28"/>
          <w:lang w:val="es-ES_tradnl"/>
        </w:rPr>
      </w:pPr>
      <w:r w:rsidRPr="00C349AC">
        <w:rPr>
          <w:rFonts w:cs="Arial"/>
          <w:color w:val="000000" w:themeColor="text1"/>
          <w:sz w:val="28"/>
          <w:szCs w:val="28"/>
          <w:lang w:val="es-ES_tradnl"/>
        </w:rPr>
        <w:t xml:space="preserve">Por otra parte, el </w:t>
      </w:r>
      <w:r w:rsidR="00DC1A86" w:rsidRPr="00C349AC">
        <w:rPr>
          <w:rFonts w:cs="Arial"/>
          <w:color w:val="000000" w:themeColor="text1"/>
          <w:sz w:val="28"/>
          <w:szCs w:val="28"/>
          <w:lang w:val="es-ES_tradnl"/>
        </w:rPr>
        <w:t xml:space="preserve">Tribunal Pleno </w:t>
      </w:r>
      <w:r w:rsidRPr="00C349AC">
        <w:rPr>
          <w:rFonts w:cs="Arial"/>
          <w:color w:val="000000" w:themeColor="text1"/>
          <w:sz w:val="28"/>
          <w:szCs w:val="28"/>
          <w:lang w:val="es-ES_tradnl"/>
        </w:rPr>
        <w:t xml:space="preserve">advirtió de oficio la actualización de una causa de improcedencia respecto de </w:t>
      </w:r>
      <w:r w:rsidR="00DC1A86" w:rsidRPr="00C349AC">
        <w:rPr>
          <w:rFonts w:cs="Arial"/>
          <w:color w:val="000000" w:themeColor="text1"/>
          <w:sz w:val="28"/>
          <w:szCs w:val="28"/>
          <w:lang w:val="es-ES_tradnl"/>
        </w:rPr>
        <w:t>los artículos 101 a 109</w:t>
      </w:r>
      <w:r w:rsidR="00805068" w:rsidRPr="00C349AC">
        <w:rPr>
          <w:rFonts w:cs="Arial"/>
          <w:color w:val="000000" w:themeColor="text1"/>
          <w:sz w:val="28"/>
          <w:szCs w:val="28"/>
          <w:lang w:val="es-ES_tradnl"/>
        </w:rPr>
        <w:t xml:space="preserve">, </w:t>
      </w:r>
      <w:r w:rsidR="00DC1A86" w:rsidRPr="00C349AC">
        <w:rPr>
          <w:rFonts w:cs="Arial"/>
          <w:color w:val="000000" w:themeColor="text1"/>
          <w:sz w:val="28"/>
          <w:szCs w:val="28"/>
          <w:lang w:val="es-ES_tradnl"/>
        </w:rPr>
        <w:t>contenidos en el Capítulo VI denominado “Del Régimen Disciplinario”</w:t>
      </w:r>
      <w:r w:rsidR="00805068" w:rsidRPr="00C349AC">
        <w:rPr>
          <w:rFonts w:cs="Arial"/>
          <w:color w:val="000000" w:themeColor="text1"/>
          <w:sz w:val="28"/>
          <w:szCs w:val="28"/>
          <w:lang w:val="es-ES_tradnl"/>
        </w:rPr>
        <w:t>,</w:t>
      </w:r>
      <w:r w:rsidR="00DC1A86" w:rsidRPr="00C349AC">
        <w:rPr>
          <w:rFonts w:cs="Arial"/>
          <w:color w:val="000000" w:themeColor="text1"/>
          <w:sz w:val="28"/>
          <w:szCs w:val="28"/>
          <w:lang w:val="es-ES_tradnl"/>
        </w:rPr>
        <w:t xml:space="preserve"> así como respecto de los artículos 116 a 120</w:t>
      </w:r>
      <w:r w:rsidR="00805068" w:rsidRPr="00C349AC">
        <w:rPr>
          <w:rFonts w:cs="Arial"/>
          <w:color w:val="000000" w:themeColor="text1"/>
          <w:sz w:val="28"/>
          <w:szCs w:val="28"/>
          <w:lang w:val="es-ES_tradnl"/>
        </w:rPr>
        <w:t xml:space="preserve">, </w:t>
      </w:r>
      <w:r w:rsidR="00DC1A86" w:rsidRPr="00C349AC">
        <w:rPr>
          <w:rFonts w:cs="Arial"/>
          <w:color w:val="000000" w:themeColor="text1"/>
          <w:sz w:val="28"/>
          <w:szCs w:val="28"/>
          <w:lang w:val="es-ES_tradnl"/>
        </w:rPr>
        <w:t>contenidos en el Capítulo VIII denominado “Comisión de Honor y Justicia”</w:t>
      </w:r>
      <w:r w:rsidR="00805068" w:rsidRPr="00C349AC">
        <w:rPr>
          <w:rFonts w:cs="Arial"/>
          <w:color w:val="000000" w:themeColor="text1"/>
          <w:sz w:val="28"/>
          <w:szCs w:val="28"/>
          <w:lang w:val="es-ES_tradnl"/>
        </w:rPr>
        <w:t>,</w:t>
      </w:r>
      <w:r w:rsidR="00DC1A86" w:rsidRPr="00C349AC">
        <w:rPr>
          <w:rFonts w:cs="Arial"/>
          <w:color w:val="000000" w:themeColor="text1"/>
          <w:sz w:val="28"/>
          <w:szCs w:val="28"/>
          <w:lang w:val="es-ES_tradnl"/>
        </w:rPr>
        <w:t xml:space="preserve"> de la Ley del Sistema de Seguridad Ciudadana de la Ciudad de México</w:t>
      </w:r>
      <w:r w:rsidR="00B60AB9" w:rsidRPr="00C349AC">
        <w:rPr>
          <w:rFonts w:cs="Arial"/>
          <w:color w:val="000000" w:themeColor="text1"/>
          <w:sz w:val="28"/>
          <w:szCs w:val="28"/>
          <w:lang w:val="es-ES_tradnl"/>
        </w:rPr>
        <w:t xml:space="preserve">. </w:t>
      </w:r>
      <w:r w:rsidRPr="00C349AC">
        <w:rPr>
          <w:rFonts w:cs="Arial"/>
          <w:color w:val="000000" w:themeColor="text1"/>
          <w:sz w:val="28"/>
          <w:szCs w:val="28"/>
          <w:lang w:val="es-ES_tradnl"/>
        </w:rPr>
        <w:t xml:space="preserve">Ello, toda vez que el </w:t>
      </w:r>
      <w:r w:rsidR="00C160FB" w:rsidRPr="00C349AC">
        <w:rPr>
          <w:rFonts w:cs="Arial"/>
          <w:color w:val="000000" w:themeColor="text1"/>
          <w:sz w:val="28"/>
          <w:szCs w:val="28"/>
          <w:lang w:val="es-ES_tradnl"/>
        </w:rPr>
        <w:t>veinticuatro</w:t>
      </w:r>
      <w:r w:rsidRPr="00C349AC">
        <w:rPr>
          <w:rFonts w:cs="Arial"/>
          <w:color w:val="000000" w:themeColor="text1"/>
          <w:sz w:val="28"/>
          <w:szCs w:val="28"/>
          <w:lang w:val="es-ES_tradnl"/>
        </w:rPr>
        <w:t xml:space="preserve"> de diciembre de </w:t>
      </w:r>
      <w:r w:rsidR="00C160FB" w:rsidRPr="00C349AC">
        <w:rPr>
          <w:rFonts w:cs="Arial"/>
          <w:color w:val="000000" w:themeColor="text1"/>
          <w:sz w:val="28"/>
          <w:szCs w:val="28"/>
          <w:lang w:val="es-ES_tradnl"/>
        </w:rPr>
        <w:t>dos mil diecinueve</w:t>
      </w:r>
      <w:r w:rsidRPr="00C349AC">
        <w:rPr>
          <w:rFonts w:cs="Arial"/>
          <w:color w:val="000000" w:themeColor="text1"/>
          <w:sz w:val="28"/>
          <w:szCs w:val="28"/>
          <w:lang w:val="es-ES_tradnl"/>
        </w:rPr>
        <w:t xml:space="preserve"> se publicó una reforma a la legislación impugnada que configuró un </w:t>
      </w:r>
      <w:r w:rsidR="00DC1A86" w:rsidRPr="00C349AC">
        <w:rPr>
          <w:rFonts w:cs="Arial"/>
          <w:i/>
          <w:iCs/>
          <w:color w:val="000000" w:themeColor="text1"/>
          <w:sz w:val="28"/>
          <w:szCs w:val="28"/>
          <w:lang w:val="es-ES_tradnl"/>
        </w:rPr>
        <w:t>nuevo acto legislativo</w:t>
      </w:r>
      <w:r w:rsidR="00DC1A86" w:rsidRPr="00C349AC">
        <w:rPr>
          <w:rFonts w:cs="Arial"/>
          <w:color w:val="000000" w:themeColor="text1"/>
          <w:sz w:val="28"/>
          <w:szCs w:val="28"/>
          <w:lang w:val="es-ES_tradnl"/>
        </w:rPr>
        <w:t xml:space="preserve"> y, por ende, </w:t>
      </w:r>
      <w:r w:rsidR="00805068" w:rsidRPr="00C349AC">
        <w:rPr>
          <w:rFonts w:cs="Arial"/>
          <w:color w:val="000000" w:themeColor="text1"/>
          <w:sz w:val="28"/>
          <w:szCs w:val="28"/>
          <w:lang w:val="es-ES_tradnl"/>
        </w:rPr>
        <w:t>l</w:t>
      </w:r>
      <w:r w:rsidRPr="00C349AC">
        <w:rPr>
          <w:rFonts w:cs="Arial"/>
          <w:color w:val="000000" w:themeColor="text1"/>
          <w:sz w:val="28"/>
          <w:szCs w:val="28"/>
          <w:lang w:val="es-ES_tradnl"/>
        </w:rPr>
        <w:t>a cesación de</w:t>
      </w:r>
      <w:r w:rsidR="00DC1A86" w:rsidRPr="00C349AC">
        <w:rPr>
          <w:rFonts w:cs="Arial"/>
          <w:color w:val="000000" w:themeColor="text1"/>
          <w:sz w:val="28"/>
          <w:szCs w:val="28"/>
          <w:lang w:val="es-ES_tradnl"/>
        </w:rPr>
        <w:t xml:space="preserve"> sus efectos</w:t>
      </w:r>
      <w:r w:rsidR="008A270D" w:rsidRPr="00C349AC">
        <w:rPr>
          <w:rStyle w:val="Refdenotaalpie"/>
          <w:rFonts w:eastAsia="Calibri" w:cs="Arial"/>
          <w:color w:val="000000" w:themeColor="text1"/>
          <w:sz w:val="28"/>
          <w:szCs w:val="28"/>
          <w:lang w:val="es-ES_tradnl"/>
        </w:rPr>
        <w:footnoteReference w:id="6"/>
      </w:r>
      <w:r w:rsidR="00DC1A86" w:rsidRPr="00C349AC">
        <w:rPr>
          <w:rFonts w:cs="Arial"/>
          <w:color w:val="000000" w:themeColor="text1"/>
          <w:sz w:val="28"/>
          <w:szCs w:val="28"/>
          <w:lang w:val="es-ES_tradnl"/>
        </w:rPr>
        <w:t>.</w:t>
      </w:r>
    </w:p>
    <w:p w14:paraId="25000E81" w14:textId="77777777" w:rsidR="00DC1A86" w:rsidRPr="00C349AC" w:rsidRDefault="00DC1A86" w:rsidP="00556E9F">
      <w:pPr>
        <w:pStyle w:val="corte4fondo"/>
        <w:autoSpaceDE w:val="0"/>
        <w:autoSpaceDN w:val="0"/>
        <w:adjustRightInd w:val="0"/>
        <w:ind w:right="51" w:firstLine="0"/>
        <w:rPr>
          <w:rFonts w:cs="Arial"/>
          <w:color w:val="000000" w:themeColor="text1"/>
          <w:sz w:val="28"/>
          <w:szCs w:val="28"/>
          <w:lang w:val="es-ES_tradnl"/>
        </w:rPr>
      </w:pPr>
    </w:p>
    <w:p w14:paraId="2B05557D" w14:textId="17D7F124" w:rsidR="00DC1A86" w:rsidRPr="00C349AC" w:rsidRDefault="00C86001" w:rsidP="00556E9F">
      <w:pPr>
        <w:pStyle w:val="corte4fondo"/>
        <w:autoSpaceDE w:val="0"/>
        <w:autoSpaceDN w:val="0"/>
        <w:adjustRightInd w:val="0"/>
        <w:ind w:right="51"/>
        <w:rPr>
          <w:rFonts w:cs="Arial"/>
          <w:color w:val="000000" w:themeColor="text1"/>
          <w:sz w:val="28"/>
          <w:szCs w:val="28"/>
          <w:lang w:val="es-ES_tradnl"/>
        </w:rPr>
      </w:pPr>
      <w:r w:rsidRPr="00C349AC">
        <w:rPr>
          <w:rFonts w:cs="Arial"/>
          <w:color w:val="000000" w:themeColor="text1"/>
          <w:sz w:val="28"/>
          <w:szCs w:val="28"/>
          <w:lang w:val="es-ES_tradnl"/>
        </w:rPr>
        <w:t>C</w:t>
      </w:r>
      <w:r w:rsidR="00805068" w:rsidRPr="00C349AC">
        <w:rPr>
          <w:rFonts w:cs="Arial"/>
          <w:color w:val="000000" w:themeColor="text1"/>
          <w:sz w:val="28"/>
          <w:szCs w:val="28"/>
          <w:lang w:val="es-ES_tradnl"/>
        </w:rPr>
        <w:t>oincido con la mayoría en que</w:t>
      </w:r>
      <w:r w:rsidR="008A270D" w:rsidRPr="00C349AC">
        <w:rPr>
          <w:rFonts w:cs="Arial"/>
          <w:color w:val="000000" w:themeColor="text1"/>
          <w:sz w:val="28"/>
          <w:szCs w:val="28"/>
          <w:lang w:val="es-ES_tradnl"/>
        </w:rPr>
        <w:t xml:space="preserve"> tras la reforma de </w:t>
      </w:r>
      <w:r w:rsidR="00C160FB" w:rsidRPr="00C349AC">
        <w:rPr>
          <w:rFonts w:cs="Arial"/>
          <w:color w:val="000000" w:themeColor="text1"/>
          <w:sz w:val="28"/>
          <w:szCs w:val="28"/>
          <w:lang w:val="es-ES_tradnl"/>
        </w:rPr>
        <w:t xml:space="preserve">veinticuatro de diciembre de dos mil diecinueve </w:t>
      </w:r>
      <w:r w:rsidR="008A270D" w:rsidRPr="00C349AC">
        <w:rPr>
          <w:rFonts w:cs="Arial"/>
          <w:color w:val="000000" w:themeColor="text1"/>
          <w:sz w:val="28"/>
          <w:szCs w:val="28"/>
          <w:lang w:val="es-ES_tradnl"/>
        </w:rPr>
        <w:t>tales disposiciones</w:t>
      </w:r>
      <w:r w:rsidR="00805068" w:rsidRPr="00C349AC">
        <w:rPr>
          <w:rFonts w:cs="Arial"/>
          <w:color w:val="000000" w:themeColor="text1"/>
          <w:sz w:val="28"/>
          <w:szCs w:val="28"/>
          <w:lang w:val="es-ES_tradnl"/>
        </w:rPr>
        <w:t xml:space="preserve"> </w:t>
      </w:r>
      <w:r w:rsidR="00805068" w:rsidRPr="00C349AC">
        <w:rPr>
          <w:rFonts w:cs="Arial"/>
          <w:i/>
          <w:iCs/>
          <w:color w:val="000000" w:themeColor="text1"/>
          <w:sz w:val="28"/>
          <w:szCs w:val="28"/>
          <w:lang w:val="es-ES_tradnl"/>
        </w:rPr>
        <w:t xml:space="preserve">cesaron en sus efectos </w:t>
      </w:r>
      <w:r w:rsidR="00805068" w:rsidRPr="00C349AC">
        <w:rPr>
          <w:rFonts w:cs="Arial"/>
          <w:color w:val="000000" w:themeColor="text1"/>
          <w:sz w:val="28"/>
          <w:szCs w:val="28"/>
          <w:lang w:val="es-ES_tradnl"/>
        </w:rPr>
        <w:t xml:space="preserve">y, por tanto, se actualizó la causal de improcedencia prevista en el artículo 19, fracción </w:t>
      </w:r>
      <w:r w:rsidRPr="00C349AC">
        <w:rPr>
          <w:rFonts w:cs="Arial"/>
          <w:color w:val="000000" w:themeColor="text1"/>
          <w:sz w:val="28"/>
          <w:szCs w:val="28"/>
          <w:lang w:val="es-ES_tradnl"/>
        </w:rPr>
        <w:t>V</w:t>
      </w:r>
      <w:r w:rsidR="00805068" w:rsidRPr="00C349AC">
        <w:rPr>
          <w:rFonts w:cs="Arial"/>
          <w:color w:val="000000" w:themeColor="text1"/>
          <w:sz w:val="28"/>
          <w:szCs w:val="28"/>
          <w:lang w:val="es-ES_tradnl"/>
        </w:rPr>
        <w:t>, de la Ley Reglamentaria</w:t>
      </w:r>
      <w:r w:rsidRPr="00C349AC">
        <w:rPr>
          <w:rFonts w:cs="Arial"/>
          <w:color w:val="000000" w:themeColor="text1"/>
          <w:sz w:val="28"/>
          <w:szCs w:val="28"/>
          <w:lang w:val="es-ES_tradnl"/>
        </w:rPr>
        <w:t xml:space="preserve"> del Artículo 105 de la Constitución</w:t>
      </w:r>
      <w:r w:rsidR="00805068" w:rsidRPr="00C349AC">
        <w:rPr>
          <w:rFonts w:cs="Arial"/>
          <w:color w:val="000000" w:themeColor="text1"/>
          <w:sz w:val="28"/>
          <w:szCs w:val="28"/>
          <w:lang w:val="es-ES_tradnl"/>
        </w:rPr>
        <w:t xml:space="preserve">. </w:t>
      </w:r>
      <w:r w:rsidR="00556E9F" w:rsidRPr="00C349AC">
        <w:rPr>
          <w:rFonts w:cs="Arial"/>
          <w:color w:val="000000" w:themeColor="text1"/>
          <w:sz w:val="28"/>
          <w:szCs w:val="28"/>
          <w:lang w:val="es-ES_tradnl"/>
        </w:rPr>
        <w:t>Sin embargo</w:t>
      </w:r>
      <w:r w:rsidR="008A270D" w:rsidRPr="00C349AC">
        <w:rPr>
          <w:rFonts w:cs="Arial"/>
          <w:color w:val="000000" w:themeColor="text1"/>
          <w:sz w:val="28"/>
          <w:szCs w:val="28"/>
          <w:lang w:val="es-ES_tradnl"/>
        </w:rPr>
        <w:t xml:space="preserve">, </w:t>
      </w:r>
      <w:r w:rsidRPr="00C349AC">
        <w:rPr>
          <w:rFonts w:cs="Arial"/>
          <w:color w:val="000000" w:themeColor="text1"/>
          <w:sz w:val="28"/>
          <w:szCs w:val="28"/>
          <w:lang w:val="es-ES_tradnl"/>
        </w:rPr>
        <w:t>estimo</w:t>
      </w:r>
      <w:r w:rsidR="00B60AB9" w:rsidRPr="00C349AC">
        <w:rPr>
          <w:rFonts w:cs="Arial"/>
          <w:color w:val="000000" w:themeColor="text1"/>
          <w:sz w:val="28"/>
          <w:szCs w:val="28"/>
          <w:lang w:val="es-ES_tradnl"/>
        </w:rPr>
        <w:t xml:space="preserve"> que</w:t>
      </w:r>
      <w:r w:rsidR="00556E9F" w:rsidRPr="00C349AC">
        <w:rPr>
          <w:rFonts w:cs="Arial"/>
          <w:color w:val="000000" w:themeColor="text1"/>
          <w:sz w:val="28"/>
          <w:szCs w:val="28"/>
          <w:lang w:val="es-ES_tradnl"/>
        </w:rPr>
        <w:t xml:space="preserve"> </w:t>
      </w:r>
      <w:r w:rsidRPr="00C349AC">
        <w:rPr>
          <w:rFonts w:cs="Arial"/>
          <w:color w:val="000000" w:themeColor="text1"/>
          <w:sz w:val="28"/>
          <w:szCs w:val="28"/>
          <w:lang w:val="es-ES_tradnl"/>
        </w:rPr>
        <w:t xml:space="preserve">la sentencia </w:t>
      </w:r>
      <w:r w:rsidR="00556E9F" w:rsidRPr="00C349AC">
        <w:rPr>
          <w:rFonts w:cs="Arial"/>
          <w:color w:val="000000" w:themeColor="text1"/>
          <w:sz w:val="28"/>
          <w:szCs w:val="28"/>
          <w:lang w:val="es-ES_tradnl"/>
        </w:rPr>
        <w:t xml:space="preserve">debió </w:t>
      </w:r>
      <w:r w:rsidR="008A270D" w:rsidRPr="00C349AC">
        <w:rPr>
          <w:rFonts w:cs="Arial"/>
          <w:color w:val="000000" w:themeColor="text1"/>
          <w:sz w:val="28"/>
          <w:szCs w:val="28"/>
          <w:lang w:val="es-ES_tradnl"/>
        </w:rPr>
        <w:t xml:space="preserve">explicar con mayor detenimiento por qué razón </w:t>
      </w:r>
      <w:r w:rsidRPr="00C349AC">
        <w:rPr>
          <w:rFonts w:cs="Arial"/>
          <w:color w:val="000000" w:themeColor="text1"/>
          <w:sz w:val="28"/>
          <w:szCs w:val="28"/>
          <w:lang w:val="es-ES_tradnl"/>
        </w:rPr>
        <w:t>la reforma citada</w:t>
      </w:r>
      <w:r w:rsidR="008A270D" w:rsidRPr="00C349AC">
        <w:rPr>
          <w:rFonts w:cs="Arial"/>
          <w:color w:val="000000" w:themeColor="text1"/>
          <w:sz w:val="28"/>
          <w:szCs w:val="28"/>
          <w:lang w:val="es-ES_tradnl"/>
        </w:rPr>
        <w:t xml:space="preserve"> </w:t>
      </w:r>
      <w:r w:rsidRPr="00C349AC">
        <w:rPr>
          <w:rFonts w:cs="Arial"/>
          <w:color w:val="000000" w:themeColor="text1"/>
          <w:sz w:val="28"/>
          <w:szCs w:val="28"/>
          <w:lang w:val="es-ES_tradnl"/>
        </w:rPr>
        <w:t xml:space="preserve">ocasionó el </w:t>
      </w:r>
      <w:r w:rsidRPr="00C349AC">
        <w:rPr>
          <w:rFonts w:cs="Arial"/>
          <w:color w:val="000000" w:themeColor="text1"/>
          <w:sz w:val="28"/>
          <w:szCs w:val="28"/>
          <w:lang w:val="es-ES_tradnl"/>
        </w:rPr>
        <w:lastRenderedPageBreak/>
        <w:t xml:space="preserve">sobreseimiento de la acción respecto de todas </w:t>
      </w:r>
      <w:r w:rsidR="008A270D" w:rsidRPr="00C349AC">
        <w:rPr>
          <w:rFonts w:cs="Arial"/>
          <w:color w:val="000000" w:themeColor="text1"/>
          <w:sz w:val="28"/>
          <w:szCs w:val="28"/>
          <w:lang w:val="es-ES_tradnl"/>
        </w:rPr>
        <w:t xml:space="preserve">las disposiciones antes mencionadas, </w:t>
      </w:r>
      <w:r w:rsidRPr="00C349AC">
        <w:rPr>
          <w:rFonts w:cs="Arial"/>
          <w:i/>
          <w:iCs/>
          <w:color w:val="000000" w:themeColor="text1"/>
          <w:sz w:val="28"/>
          <w:szCs w:val="28"/>
          <w:lang w:val="es-ES_tradnl"/>
        </w:rPr>
        <w:t>a pesar de que</w:t>
      </w:r>
      <w:r w:rsidR="008A270D" w:rsidRPr="00C349AC">
        <w:rPr>
          <w:rFonts w:cs="Arial"/>
          <w:i/>
          <w:iCs/>
          <w:color w:val="000000" w:themeColor="text1"/>
          <w:sz w:val="28"/>
          <w:szCs w:val="28"/>
          <w:lang w:val="es-ES_tradnl"/>
        </w:rPr>
        <w:t xml:space="preserve"> algunas de ellas no fueron modificadas en lo particular</w:t>
      </w:r>
      <w:r w:rsidRPr="00C349AC">
        <w:rPr>
          <w:rFonts w:cs="Arial"/>
          <w:i/>
          <w:iCs/>
          <w:color w:val="000000" w:themeColor="text1"/>
          <w:sz w:val="28"/>
          <w:szCs w:val="28"/>
          <w:lang w:val="es-ES_tradnl"/>
        </w:rPr>
        <w:t>.</w:t>
      </w:r>
      <w:r w:rsidRPr="00C349AC">
        <w:rPr>
          <w:rFonts w:cs="Arial"/>
          <w:color w:val="000000" w:themeColor="text1"/>
          <w:sz w:val="28"/>
          <w:szCs w:val="28"/>
          <w:lang w:val="es-ES_tradnl"/>
        </w:rPr>
        <w:t xml:space="preserve"> </w:t>
      </w:r>
    </w:p>
    <w:p w14:paraId="06AD5DFA" w14:textId="77777777" w:rsidR="00DC1A86" w:rsidRPr="00C349AC" w:rsidRDefault="00DC1A86" w:rsidP="00556E9F">
      <w:pPr>
        <w:pStyle w:val="corte4fondo"/>
        <w:autoSpaceDE w:val="0"/>
        <w:autoSpaceDN w:val="0"/>
        <w:adjustRightInd w:val="0"/>
        <w:ind w:right="51" w:firstLine="0"/>
        <w:rPr>
          <w:rFonts w:cs="Arial"/>
          <w:color w:val="000000" w:themeColor="text1"/>
          <w:sz w:val="28"/>
          <w:szCs w:val="28"/>
          <w:lang w:val="es-ES_tradnl"/>
        </w:rPr>
      </w:pPr>
    </w:p>
    <w:p w14:paraId="43FAF0D3" w14:textId="36A90A19" w:rsidR="00DC1A86" w:rsidRPr="00C349AC" w:rsidRDefault="00DC1A86" w:rsidP="00556E9F">
      <w:pPr>
        <w:pStyle w:val="corte4fondo"/>
        <w:autoSpaceDE w:val="0"/>
        <w:autoSpaceDN w:val="0"/>
        <w:adjustRightInd w:val="0"/>
        <w:ind w:right="51" w:firstLine="0"/>
        <w:rPr>
          <w:rFonts w:cs="Arial"/>
          <w:color w:val="000000" w:themeColor="text1"/>
          <w:sz w:val="28"/>
          <w:szCs w:val="28"/>
          <w:lang w:val="es-ES_tradnl"/>
        </w:rPr>
      </w:pPr>
      <w:r w:rsidRPr="00C349AC">
        <w:rPr>
          <w:rFonts w:cs="Arial"/>
          <w:color w:val="000000" w:themeColor="text1"/>
          <w:sz w:val="28"/>
          <w:szCs w:val="28"/>
          <w:lang w:val="es-ES_tradnl"/>
        </w:rPr>
        <w:tab/>
        <w:t xml:space="preserve">Como punto de partida, es importante destacar que tanto la </w:t>
      </w:r>
      <w:r w:rsidR="008A270D" w:rsidRPr="00C349AC">
        <w:rPr>
          <w:rFonts w:cs="Arial"/>
          <w:color w:val="000000" w:themeColor="text1"/>
          <w:sz w:val="28"/>
          <w:szCs w:val="28"/>
          <w:lang w:val="es-ES_tradnl"/>
        </w:rPr>
        <w:t>CNDH</w:t>
      </w:r>
      <w:r w:rsidRPr="00C349AC">
        <w:rPr>
          <w:rFonts w:cs="Arial"/>
          <w:color w:val="000000" w:themeColor="text1"/>
          <w:sz w:val="28"/>
          <w:szCs w:val="28"/>
          <w:lang w:val="es-ES_tradnl"/>
        </w:rPr>
        <w:t xml:space="preserve"> como la </w:t>
      </w:r>
      <w:r w:rsidR="007279D3" w:rsidRPr="00C349AC">
        <w:rPr>
          <w:rFonts w:cs="Arial"/>
          <w:color w:val="000000" w:themeColor="text1"/>
          <w:sz w:val="28"/>
          <w:szCs w:val="28"/>
          <w:lang w:val="es-ES_tradnl"/>
        </w:rPr>
        <w:t>CDHCM</w:t>
      </w:r>
      <w:r w:rsidRPr="00C349AC">
        <w:rPr>
          <w:rFonts w:cs="Arial"/>
          <w:color w:val="000000" w:themeColor="text1"/>
          <w:sz w:val="28"/>
          <w:szCs w:val="28"/>
          <w:lang w:val="es-ES_tradnl"/>
        </w:rPr>
        <w:t xml:space="preserve"> impugnaron el sistema</w:t>
      </w:r>
      <w:r w:rsidR="008A270D" w:rsidRPr="00C349AC">
        <w:rPr>
          <w:rFonts w:cs="Arial"/>
          <w:color w:val="000000" w:themeColor="text1"/>
          <w:sz w:val="28"/>
          <w:szCs w:val="28"/>
          <w:lang w:val="es-ES_tradnl"/>
        </w:rPr>
        <w:t xml:space="preserve"> normativo</w:t>
      </w:r>
      <w:r w:rsidRPr="00C349AC">
        <w:rPr>
          <w:rFonts w:cs="Arial"/>
          <w:color w:val="000000" w:themeColor="text1"/>
          <w:sz w:val="28"/>
          <w:szCs w:val="28"/>
          <w:lang w:val="es-ES_tradnl"/>
        </w:rPr>
        <w:t xml:space="preserve"> relativo al “régimen disciplinario” y las facultades de la “Comisión de Honor y Justicia</w:t>
      </w:r>
      <w:r w:rsidR="008A270D" w:rsidRPr="00C349AC">
        <w:rPr>
          <w:rFonts w:cs="Arial"/>
          <w:color w:val="000000" w:themeColor="text1"/>
          <w:sz w:val="28"/>
          <w:szCs w:val="28"/>
          <w:lang w:val="es-ES_tradnl"/>
        </w:rPr>
        <w:t>”</w:t>
      </w:r>
      <w:r w:rsidRPr="00C349AC">
        <w:rPr>
          <w:rFonts w:cs="Arial"/>
          <w:color w:val="000000" w:themeColor="text1"/>
          <w:sz w:val="28"/>
          <w:szCs w:val="28"/>
          <w:lang w:val="es-ES_tradnl"/>
        </w:rPr>
        <w:t xml:space="preserve">, </w:t>
      </w:r>
      <w:r w:rsidR="008A270D" w:rsidRPr="00C349AC">
        <w:rPr>
          <w:rFonts w:cs="Arial"/>
          <w:color w:val="000000" w:themeColor="text1"/>
          <w:sz w:val="28"/>
          <w:szCs w:val="28"/>
          <w:lang w:val="es-ES_tradnl"/>
        </w:rPr>
        <w:t xml:space="preserve">fundamentalmente por una razón: porque a su juicio el legislador había incurrido en una defectuosa regulación al no prever reglas o procedimientos que permitieran a los integrantes de los cuerpos de seguridad ser oídos y defenderse de manera previa a la imposición de un correctivo o una sanción administrativa. </w:t>
      </w:r>
      <w:r w:rsidRPr="00C349AC">
        <w:rPr>
          <w:rFonts w:cs="Arial"/>
          <w:color w:val="000000" w:themeColor="text1"/>
          <w:sz w:val="28"/>
          <w:szCs w:val="28"/>
          <w:lang w:val="es-ES_tradnl"/>
        </w:rPr>
        <w:t xml:space="preserve">En otras palabras, </w:t>
      </w:r>
      <w:r w:rsidR="008A270D" w:rsidRPr="00C349AC">
        <w:rPr>
          <w:rFonts w:cs="Arial"/>
          <w:color w:val="000000" w:themeColor="text1"/>
          <w:sz w:val="28"/>
          <w:szCs w:val="28"/>
          <w:lang w:val="es-ES_tradnl"/>
        </w:rPr>
        <w:t xml:space="preserve">lo que las comisiones </w:t>
      </w:r>
      <w:r w:rsidRPr="00C349AC">
        <w:rPr>
          <w:rFonts w:cs="Arial"/>
          <w:color w:val="000000" w:themeColor="text1"/>
          <w:sz w:val="28"/>
          <w:szCs w:val="28"/>
          <w:lang w:val="es-ES_tradnl"/>
        </w:rPr>
        <w:t xml:space="preserve">plantearon </w:t>
      </w:r>
      <w:r w:rsidR="008A270D" w:rsidRPr="00C349AC">
        <w:rPr>
          <w:rFonts w:cs="Arial"/>
          <w:color w:val="000000" w:themeColor="text1"/>
          <w:sz w:val="28"/>
          <w:szCs w:val="28"/>
          <w:lang w:val="es-ES_tradnl"/>
        </w:rPr>
        <w:t xml:space="preserve">fue </w:t>
      </w:r>
      <w:r w:rsidRPr="00C349AC">
        <w:rPr>
          <w:rFonts w:cs="Arial"/>
          <w:color w:val="000000" w:themeColor="text1"/>
          <w:sz w:val="28"/>
          <w:szCs w:val="28"/>
          <w:lang w:val="es-ES_tradnl"/>
        </w:rPr>
        <w:t xml:space="preserve">una </w:t>
      </w:r>
      <w:r w:rsidRPr="00C349AC">
        <w:rPr>
          <w:rFonts w:cs="Arial"/>
          <w:i/>
          <w:iCs/>
          <w:color w:val="000000" w:themeColor="text1"/>
          <w:sz w:val="28"/>
          <w:szCs w:val="28"/>
          <w:lang w:val="es-ES_tradnl"/>
        </w:rPr>
        <w:t>omisión legislativa relativa</w:t>
      </w:r>
      <w:r w:rsidR="005D53E3" w:rsidRPr="00C349AC">
        <w:rPr>
          <w:rFonts w:cs="Arial"/>
          <w:color w:val="000000" w:themeColor="text1"/>
          <w:sz w:val="28"/>
          <w:szCs w:val="28"/>
          <w:lang w:val="es-ES_tradnl"/>
        </w:rPr>
        <w:t xml:space="preserve"> del sistema normativo relativo al régimen disciplinario.</w:t>
      </w:r>
    </w:p>
    <w:p w14:paraId="2C19B4C7" w14:textId="71390770" w:rsidR="008A270D" w:rsidRPr="00C349AC" w:rsidRDefault="008A270D" w:rsidP="00556E9F">
      <w:pPr>
        <w:pStyle w:val="corte4fondo"/>
        <w:autoSpaceDE w:val="0"/>
        <w:autoSpaceDN w:val="0"/>
        <w:adjustRightInd w:val="0"/>
        <w:ind w:right="51" w:firstLine="0"/>
        <w:rPr>
          <w:rFonts w:cs="Arial"/>
          <w:color w:val="000000" w:themeColor="text1"/>
          <w:sz w:val="28"/>
          <w:szCs w:val="28"/>
          <w:lang w:val="es-ES_tradnl"/>
        </w:rPr>
      </w:pPr>
    </w:p>
    <w:p w14:paraId="21A29421" w14:textId="4E534B59" w:rsidR="005D53E3" w:rsidRPr="00C349AC" w:rsidRDefault="008A270D" w:rsidP="00556E9F">
      <w:pPr>
        <w:pStyle w:val="corte4fondo"/>
        <w:autoSpaceDE w:val="0"/>
        <w:autoSpaceDN w:val="0"/>
        <w:adjustRightInd w:val="0"/>
        <w:ind w:right="51" w:firstLine="0"/>
        <w:rPr>
          <w:rFonts w:cs="Arial"/>
          <w:color w:val="000000" w:themeColor="text1"/>
          <w:sz w:val="28"/>
          <w:szCs w:val="28"/>
          <w:lang w:val="es-ES_tradnl"/>
        </w:rPr>
      </w:pPr>
      <w:r w:rsidRPr="00C349AC">
        <w:rPr>
          <w:rFonts w:cs="Arial"/>
          <w:color w:val="000000" w:themeColor="text1"/>
          <w:sz w:val="28"/>
          <w:szCs w:val="28"/>
          <w:lang w:val="es-ES_tradnl"/>
        </w:rPr>
        <w:tab/>
        <w:t xml:space="preserve">Ahora bien, como </w:t>
      </w:r>
      <w:r w:rsidR="00C86001" w:rsidRPr="00C349AC">
        <w:rPr>
          <w:rFonts w:cs="Arial"/>
          <w:color w:val="000000" w:themeColor="text1"/>
          <w:sz w:val="28"/>
          <w:szCs w:val="28"/>
          <w:lang w:val="es-ES_tradnl"/>
        </w:rPr>
        <w:t xml:space="preserve">bien </w:t>
      </w:r>
      <w:r w:rsidRPr="00C349AC">
        <w:rPr>
          <w:rFonts w:cs="Arial"/>
          <w:color w:val="000000" w:themeColor="text1"/>
          <w:sz w:val="28"/>
          <w:szCs w:val="28"/>
          <w:lang w:val="es-ES_tradnl"/>
        </w:rPr>
        <w:t xml:space="preserve">se advierte en la sentencia, </w:t>
      </w:r>
      <w:r w:rsidR="00BE24FD" w:rsidRPr="00C349AC">
        <w:rPr>
          <w:rFonts w:cs="Arial"/>
          <w:color w:val="000000" w:themeColor="text1"/>
          <w:sz w:val="28"/>
          <w:szCs w:val="28"/>
          <w:lang w:val="es-ES_tradnl"/>
        </w:rPr>
        <w:t xml:space="preserve">el </w:t>
      </w:r>
      <w:r w:rsidR="003011BC" w:rsidRPr="00C349AC">
        <w:rPr>
          <w:rFonts w:cs="Arial"/>
          <w:color w:val="000000" w:themeColor="text1"/>
          <w:sz w:val="28"/>
          <w:szCs w:val="28"/>
          <w:lang w:val="es-ES_tradnl"/>
        </w:rPr>
        <w:t xml:space="preserve">veinticuatro de diciembre de dos mil diecinueve </w:t>
      </w:r>
      <w:r w:rsidRPr="00C349AC">
        <w:rPr>
          <w:rFonts w:cs="Arial"/>
          <w:color w:val="000000" w:themeColor="text1"/>
          <w:sz w:val="28"/>
          <w:szCs w:val="28"/>
          <w:lang w:val="es-ES_tradnl"/>
        </w:rPr>
        <w:t xml:space="preserve">el legislador capitalino </w:t>
      </w:r>
      <w:r w:rsidRPr="00C349AC">
        <w:rPr>
          <w:rFonts w:cs="Arial"/>
          <w:i/>
          <w:iCs/>
          <w:color w:val="000000" w:themeColor="text1"/>
          <w:sz w:val="28"/>
          <w:szCs w:val="28"/>
          <w:lang w:val="es-ES_tradnl"/>
        </w:rPr>
        <w:t>reformó</w:t>
      </w:r>
      <w:r w:rsidRPr="00C349AC">
        <w:rPr>
          <w:rFonts w:cs="Arial"/>
          <w:color w:val="000000" w:themeColor="text1"/>
          <w:sz w:val="28"/>
          <w:szCs w:val="28"/>
          <w:lang w:val="es-ES_tradnl"/>
        </w:rPr>
        <w:t xml:space="preserve"> los artículos </w:t>
      </w:r>
      <w:r w:rsidR="00C86001" w:rsidRPr="00C349AC">
        <w:rPr>
          <w:rFonts w:cs="Arial"/>
          <w:color w:val="000000" w:themeColor="text1"/>
          <w:sz w:val="28"/>
          <w:szCs w:val="28"/>
          <w:lang w:val="es-ES_tradnl"/>
        </w:rPr>
        <w:t>105, 106, 107, 108, 111, 118</w:t>
      </w:r>
      <w:r w:rsidRPr="00C349AC">
        <w:rPr>
          <w:rFonts w:cs="Arial"/>
          <w:color w:val="000000" w:themeColor="text1"/>
          <w:sz w:val="28"/>
          <w:szCs w:val="28"/>
          <w:lang w:val="es-ES_tradnl"/>
        </w:rPr>
        <w:t xml:space="preserve"> y </w:t>
      </w:r>
      <w:r w:rsidRPr="00C349AC">
        <w:rPr>
          <w:rFonts w:cs="Arial"/>
          <w:i/>
          <w:iCs/>
          <w:color w:val="000000" w:themeColor="text1"/>
          <w:sz w:val="28"/>
          <w:szCs w:val="28"/>
          <w:lang w:val="es-ES_tradnl"/>
        </w:rPr>
        <w:t>adicionó</w:t>
      </w:r>
      <w:r w:rsidRPr="00C349AC">
        <w:rPr>
          <w:rFonts w:cs="Arial"/>
          <w:color w:val="000000" w:themeColor="text1"/>
          <w:sz w:val="28"/>
          <w:szCs w:val="28"/>
          <w:lang w:val="es-ES_tradnl"/>
        </w:rPr>
        <w:t xml:space="preserve"> los artículos </w:t>
      </w:r>
      <w:r w:rsidR="00C86001" w:rsidRPr="00C349AC">
        <w:rPr>
          <w:rFonts w:cs="Arial"/>
          <w:color w:val="000000" w:themeColor="text1"/>
          <w:sz w:val="28"/>
          <w:szCs w:val="28"/>
          <w:lang w:val="es-ES_tradnl"/>
        </w:rPr>
        <w:t xml:space="preserve">118 Bis, 118 Ter y 118 </w:t>
      </w:r>
      <w:proofErr w:type="spellStart"/>
      <w:r w:rsidR="00C86001" w:rsidRPr="00C349AC">
        <w:rPr>
          <w:rFonts w:cs="Arial"/>
          <w:color w:val="000000" w:themeColor="text1"/>
          <w:sz w:val="28"/>
          <w:szCs w:val="28"/>
          <w:lang w:val="es-ES_tradnl"/>
        </w:rPr>
        <w:t>Quáter</w:t>
      </w:r>
      <w:proofErr w:type="spellEnd"/>
      <w:r w:rsidRPr="00C349AC">
        <w:rPr>
          <w:rFonts w:cs="Arial"/>
          <w:color w:val="000000" w:themeColor="text1"/>
          <w:sz w:val="28"/>
          <w:szCs w:val="28"/>
          <w:lang w:val="es-ES_tradnl"/>
        </w:rPr>
        <w:t xml:space="preserve"> a fin de incorporar la obligación de las autoridades locales de garantizar </w:t>
      </w:r>
      <w:r w:rsidR="00DC1A86" w:rsidRPr="00C349AC">
        <w:rPr>
          <w:rFonts w:cs="Arial"/>
          <w:color w:val="000000" w:themeColor="text1"/>
          <w:sz w:val="28"/>
          <w:szCs w:val="28"/>
          <w:lang w:val="es-ES_tradnl"/>
        </w:rPr>
        <w:t xml:space="preserve">el </w:t>
      </w:r>
      <w:r w:rsidR="00DC1A86" w:rsidRPr="00C349AC">
        <w:rPr>
          <w:rFonts w:cs="Arial"/>
          <w:i/>
          <w:iCs/>
          <w:color w:val="000000" w:themeColor="text1"/>
          <w:sz w:val="28"/>
          <w:szCs w:val="28"/>
          <w:lang w:val="es-ES_tradnl"/>
        </w:rPr>
        <w:t>derecho de audiencia</w:t>
      </w:r>
      <w:r w:rsidR="00DC1A86" w:rsidRPr="00C349AC">
        <w:rPr>
          <w:rFonts w:cs="Arial"/>
          <w:color w:val="000000" w:themeColor="text1"/>
          <w:sz w:val="28"/>
          <w:szCs w:val="28"/>
          <w:lang w:val="es-ES_tradnl"/>
        </w:rPr>
        <w:t xml:space="preserve"> a los miembros de seguridad previo a la imposición de la medida disciplinaria consistente en el arresto</w:t>
      </w:r>
      <w:r w:rsidR="00DC1A86" w:rsidRPr="00C349AC">
        <w:rPr>
          <w:rStyle w:val="Refdenotaalpie"/>
          <w:rFonts w:eastAsia="Calibri" w:cs="Arial"/>
          <w:color w:val="000000" w:themeColor="text1"/>
          <w:sz w:val="28"/>
          <w:szCs w:val="28"/>
          <w:lang w:val="es-ES_tradnl"/>
        </w:rPr>
        <w:footnoteReference w:id="7"/>
      </w:r>
      <w:r w:rsidR="00C86001" w:rsidRPr="00C349AC">
        <w:rPr>
          <w:rFonts w:cs="Arial"/>
          <w:color w:val="000000" w:themeColor="text1"/>
          <w:sz w:val="28"/>
          <w:szCs w:val="28"/>
          <w:lang w:val="es-ES_tradnl"/>
        </w:rPr>
        <w:t xml:space="preserve">, así como </w:t>
      </w:r>
      <w:r w:rsidR="00DC1A86" w:rsidRPr="00C349AC">
        <w:rPr>
          <w:rFonts w:cs="Arial"/>
          <w:color w:val="000000" w:themeColor="text1"/>
          <w:sz w:val="28"/>
          <w:szCs w:val="28"/>
          <w:lang w:val="es-ES_tradnl"/>
        </w:rPr>
        <w:t xml:space="preserve">durante el procedimiento de imposición de </w:t>
      </w:r>
      <w:r w:rsidR="00DC1A86" w:rsidRPr="00C349AC">
        <w:rPr>
          <w:rFonts w:cs="Arial"/>
          <w:color w:val="000000" w:themeColor="text1"/>
          <w:sz w:val="28"/>
          <w:szCs w:val="28"/>
          <w:lang w:val="es-ES_tradnl"/>
        </w:rPr>
        <w:lastRenderedPageBreak/>
        <w:t>sanciones (suspensión y destitución) ante la Comisión de Honor y Justicia</w:t>
      </w:r>
      <w:r w:rsidR="00DC1A86" w:rsidRPr="00C349AC">
        <w:rPr>
          <w:rStyle w:val="Refdenotaalpie"/>
          <w:rFonts w:eastAsia="Calibri" w:cs="Arial"/>
          <w:color w:val="000000" w:themeColor="text1"/>
          <w:sz w:val="28"/>
          <w:szCs w:val="28"/>
          <w:lang w:val="es-ES_tradnl"/>
        </w:rPr>
        <w:footnoteReference w:id="8"/>
      </w:r>
      <w:r w:rsidRPr="00C349AC">
        <w:rPr>
          <w:rFonts w:cs="Arial"/>
          <w:color w:val="000000" w:themeColor="text1"/>
          <w:sz w:val="28"/>
          <w:szCs w:val="28"/>
          <w:lang w:val="es-ES_tradnl"/>
        </w:rPr>
        <w:t xml:space="preserve">. </w:t>
      </w:r>
    </w:p>
    <w:p w14:paraId="6B88250C" w14:textId="77777777" w:rsidR="005D53E3" w:rsidRPr="00C349AC" w:rsidRDefault="005D53E3" w:rsidP="00556E9F">
      <w:pPr>
        <w:pStyle w:val="corte4fondo"/>
        <w:autoSpaceDE w:val="0"/>
        <w:autoSpaceDN w:val="0"/>
        <w:adjustRightInd w:val="0"/>
        <w:ind w:right="51" w:firstLine="0"/>
        <w:rPr>
          <w:rFonts w:cs="Arial"/>
          <w:color w:val="000000" w:themeColor="text1"/>
          <w:sz w:val="28"/>
          <w:szCs w:val="28"/>
          <w:lang w:val="es-ES_tradnl"/>
        </w:rPr>
      </w:pPr>
    </w:p>
    <w:p w14:paraId="2D1C7934" w14:textId="314C0B86" w:rsidR="005D53E3" w:rsidRPr="00C349AC" w:rsidRDefault="008A270D" w:rsidP="00556E9F">
      <w:pPr>
        <w:pStyle w:val="corte4fondo"/>
        <w:autoSpaceDE w:val="0"/>
        <w:autoSpaceDN w:val="0"/>
        <w:adjustRightInd w:val="0"/>
        <w:ind w:right="51" w:firstLine="708"/>
        <w:rPr>
          <w:rFonts w:cs="Arial"/>
          <w:color w:val="000000" w:themeColor="text1"/>
          <w:sz w:val="28"/>
          <w:szCs w:val="28"/>
          <w:lang w:val="es-ES_tradnl"/>
        </w:rPr>
      </w:pPr>
      <w:r w:rsidRPr="00C349AC">
        <w:rPr>
          <w:rFonts w:cs="Arial"/>
          <w:color w:val="000000" w:themeColor="text1"/>
          <w:sz w:val="28"/>
          <w:szCs w:val="28"/>
          <w:lang w:val="es-ES_tradnl"/>
        </w:rPr>
        <w:t xml:space="preserve">En ese sentido, si bien es cierto que algunos de los preceptos impugnados </w:t>
      </w:r>
      <w:r w:rsidR="005D53E3" w:rsidRPr="00C349AC">
        <w:rPr>
          <w:rFonts w:cs="Arial"/>
          <w:color w:val="000000" w:themeColor="text1"/>
          <w:sz w:val="28"/>
          <w:szCs w:val="28"/>
          <w:lang w:val="es-ES_tradnl"/>
        </w:rPr>
        <w:t xml:space="preserve">en este apartado </w:t>
      </w:r>
      <w:r w:rsidRPr="00C349AC">
        <w:rPr>
          <w:rFonts w:cs="Arial"/>
          <w:color w:val="000000" w:themeColor="text1"/>
          <w:sz w:val="28"/>
          <w:szCs w:val="28"/>
          <w:lang w:val="es-ES_tradnl"/>
        </w:rPr>
        <w:t>mantuvieron la misma redacción</w:t>
      </w:r>
      <w:r w:rsidR="005D53E3" w:rsidRPr="00C349AC">
        <w:rPr>
          <w:rFonts w:cs="Arial"/>
          <w:color w:val="000000" w:themeColor="text1"/>
          <w:sz w:val="28"/>
          <w:szCs w:val="28"/>
          <w:lang w:val="es-ES_tradnl"/>
        </w:rPr>
        <w:t xml:space="preserve"> (concretamente los artículos </w:t>
      </w:r>
      <w:r w:rsidR="00C86001" w:rsidRPr="00C349AC">
        <w:rPr>
          <w:rFonts w:cs="Arial"/>
          <w:color w:val="000000" w:themeColor="text1"/>
          <w:sz w:val="28"/>
          <w:szCs w:val="28"/>
          <w:lang w:val="es-ES_tradnl"/>
        </w:rPr>
        <w:t>101, 102, 103, 104, 109, 116 y 117</w:t>
      </w:r>
      <w:r w:rsidR="005D53E3" w:rsidRPr="00C349AC">
        <w:rPr>
          <w:rFonts w:cs="Arial"/>
          <w:color w:val="000000" w:themeColor="text1"/>
          <w:sz w:val="28"/>
          <w:szCs w:val="28"/>
          <w:lang w:val="es-ES_tradnl"/>
        </w:rPr>
        <w:t>)</w:t>
      </w:r>
      <w:r w:rsidRPr="00C349AC">
        <w:rPr>
          <w:rFonts w:cs="Arial"/>
          <w:color w:val="000000" w:themeColor="text1"/>
          <w:sz w:val="28"/>
          <w:szCs w:val="28"/>
          <w:lang w:val="es-ES_tradnl"/>
        </w:rPr>
        <w:t>,</w:t>
      </w:r>
      <w:r w:rsidR="00DC1A86" w:rsidRPr="00C349AC">
        <w:rPr>
          <w:rFonts w:cs="Arial"/>
          <w:color w:val="000000" w:themeColor="text1"/>
          <w:sz w:val="28"/>
          <w:szCs w:val="28"/>
          <w:lang w:val="es-ES_tradnl"/>
        </w:rPr>
        <w:t xml:space="preserve"> es evidente que </w:t>
      </w:r>
      <w:r w:rsidR="00DC1A86" w:rsidRPr="00C349AC">
        <w:rPr>
          <w:rFonts w:cs="Arial"/>
          <w:i/>
          <w:iCs/>
          <w:color w:val="000000" w:themeColor="text1"/>
          <w:sz w:val="28"/>
          <w:szCs w:val="28"/>
          <w:lang w:val="es-ES_tradnl"/>
        </w:rPr>
        <w:t>el sistema normativo</w:t>
      </w:r>
      <w:r w:rsidR="005D53E3" w:rsidRPr="00C349AC">
        <w:rPr>
          <w:rFonts w:cs="Arial"/>
          <w:i/>
          <w:iCs/>
          <w:color w:val="000000" w:themeColor="text1"/>
          <w:sz w:val="28"/>
          <w:szCs w:val="28"/>
          <w:lang w:val="es-ES_tradnl"/>
        </w:rPr>
        <w:t xml:space="preserve"> efectivamente</w:t>
      </w:r>
      <w:r w:rsidR="00DC1A86" w:rsidRPr="00C349AC">
        <w:rPr>
          <w:rFonts w:cs="Arial"/>
          <w:i/>
          <w:iCs/>
          <w:color w:val="000000" w:themeColor="text1"/>
          <w:sz w:val="28"/>
          <w:szCs w:val="28"/>
          <w:lang w:val="es-ES_tradnl"/>
        </w:rPr>
        <w:t xml:space="preserve"> impugnado por las </w:t>
      </w:r>
      <w:r w:rsidRPr="00C349AC">
        <w:rPr>
          <w:rFonts w:cs="Arial"/>
          <w:i/>
          <w:iCs/>
          <w:color w:val="000000" w:themeColor="text1"/>
          <w:sz w:val="28"/>
          <w:szCs w:val="28"/>
          <w:lang w:val="es-ES_tradnl"/>
        </w:rPr>
        <w:t>c</w:t>
      </w:r>
      <w:r w:rsidR="00DC1A86" w:rsidRPr="00C349AC">
        <w:rPr>
          <w:rFonts w:cs="Arial"/>
          <w:i/>
          <w:iCs/>
          <w:color w:val="000000" w:themeColor="text1"/>
          <w:sz w:val="28"/>
          <w:szCs w:val="28"/>
          <w:lang w:val="es-ES_tradnl"/>
        </w:rPr>
        <w:t>omisiones</w:t>
      </w:r>
      <w:r w:rsidRPr="00C349AC">
        <w:rPr>
          <w:rFonts w:cs="Arial"/>
          <w:i/>
          <w:iCs/>
          <w:color w:val="000000" w:themeColor="text1"/>
          <w:sz w:val="28"/>
          <w:szCs w:val="28"/>
          <w:lang w:val="es-ES_tradnl"/>
        </w:rPr>
        <w:t xml:space="preserve"> actoras</w:t>
      </w:r>
      <w:r w:rsidR="00DC1A86" w:rsidRPr="00C349AC">
        <w:rPr>
          <w:rFonts w:cs="Arial"/>
          <w:i/>
          <w:iCs/>
          <w:color w:val="000000" w:themeColor="text1"/>
          <w:sz w:val="28"/>
          <w:szCs w:val="28"/>
          <w:lang w:val="es-ES_tradnl"/>
        </w:rPr>
        <w:t xml:space="preserve"> ya no existe</w:t>
      </w:r>
      <w:r w:rsidR="005D53E3" w:rsidRPr="00C349AC">
        <w:rPr>
          <w:rFonts w:cs="Arial"/>
          <w:color w:val="000000" w:themeColor="text1"/>
          <w:sz w:val="28"/>
          <w:szCs w:val="28"/>
          <w:lang w:val="es-ES_tradnl"/>
        </w:rPr>
        <w:t xml:space="preserve"> y, por tanto, el estudio de la omisión legislativa alegada </w:t>
      </w:r>
      <w:r w:rsidR="005D53E3" w:rsidRPr="00C349AC">
        <w:rPr>
          <w:rFonts w:cs="Arial"/>
          <w:i/>
          <w:iCs/>
          <w:color w:val="000000" w:themeColor="text1"/>
          <w:sz w:val="28"/>
          <w:szCs w:val="28"/>
          <w:lang w:val="es-ES_tradnl"/>
        </w:rPr>
        <w:t>es improcedente.</w:t>
      </w:r>
      <w:r w:rsidR="005D53E3" w:rsidRPr="00C349AC">
        <w:rPr>
          <w:rFonts w:cs="Arial"/>
          <w:color w:val="000000" w:themeColor="text1"/>
          <w:sz w:val="28"/>
          <w:szCs w:val="28"/>
          <w:lang w:val="es-ES_tradnl"/>
        </w:rPr>
        <w:t xml:space="preserve"> </w:t>
      </w:r>
    </w:p>
    <w:p w14:paraId="4D62DDA2" w14:textId="64DD7467" w:rsidR="003209FC" w:rsidRPr="00C349AC" w:rsidRDefault="003209FC" w:rsidP="00556E9F">
      <w:pPr>
        <w:pStyle w:val="corte4fondo"/>
        <w:autoSpaceDE w:val="0"/>
        <w:autoSpaceDN w:val="0"/>
        <w:adjustRightInd w:val="0"/>
        <w:ind w:right="51" w:firstLine="708"/>
        <w:rPr>
          <w:rFonts w:cs="Arial"/>
          <w:color w:val="000000" w:themeColor="text1"/>
          <w:sz w:val="28"/>
          <w:szCs w:val="28"/>
          <w:lang w:val="es-ES_tradnl"/>
        </w:rPr>
      </w:pPr>
    </w:p>
    <w:p w14:paraId="76D1C00F" w14:textId="32AC21C3" w:rsidR="003209FC" w:rsidRPr="00C349AC" w:rsidRDefault="003209FC" w:rsidP="003209FC">
      <w:pPr>
        <w:pStyle w:val="corte4fondoCar"/>
        <w:rPr>
          <w:rFonts w:cs="Arial"/>
          <w:color w:val="000000" w:themeColor="text1"/>
          <w:sz w:val="28"/>
          <w:szCs w:val="28"/>
          <w:lang w:val="es-MX"/>
        </w:rPr>
      </w:pPr>
      <w:r w:rsidRPr="00C349AC">
        <w:rPr>
          <w:rFonts w:cs="Arial"/>
          <w:color w:val="000000" w:themeColor="text1"/>
          <w:sz w:val="28"/>
          <w:szCs w:val="28"/>
          <w:lang w:val="es-MX"/>
        </w:rPr>
        <w:t xml:space="preserve">Como he sostenido consistentemente, para determinar si estamos ante un nuevo acto legislativo </w:t>
      </w:r>
      <w:r w:rsidR="007279D3" w:rsidRPr="00C349AC">
        <w:rPr>
          <w:rFonts w:cs="Arial"/>
          <w:color w:val="000000" w:themeColor="text1"/>
          <w:sz w:val="28"/>
          <w:szCs w:val="28"/>
          <w:lang w:val="es-MX"/>
        </w:rPr>
        <w:t>se debe</w:t>
      </w:r>
      <w:r w:rsidRPr="00C349AC">
        <w:rPr>
          <w:rFonts w:cs="Arial"/>
          <w:color w:val="000000" w:themeColor="text1"/>
          <w:sz w:val="28"/>
          <w:szCs w:val="28"/>
          <w:lang w:val="es-MX"/>
        </w:rPr>
        <w:t xml:space="preserve"> analizar si hubo o no un </w:t>
      </w:r>
      <w:r w:rsidRPr="00C349AC">
        <w:rPr>
          <w:rFonts w:cs="Arial"/>
          <w:i/>
          <w:iCs/>
          <w:color w:val="000000" w:themeColor="text1"/>
          <w:sz w:val="28"/>
          <w:szCs w:val="28"/>
          <w:lang w:val="es-MX"/>
        </w:rPr>
        <w:t>cambio en el sentido normativo</w:t>
      </w:r>
      <w:r w:rsidRPr="00C349AC">
        <w:rPr>
          <w:rFonts w:cs="Arial"/>
          <w:color w:val="000000" w:themeColor="text1"/>
          <w:sz w:val="28"/>
          <w:szCs w:val="28"/>
          <w:lang w:val="es-MX"/>
        </w:rPr>
        <w:t xml:space="preserve"> del sistema impugnado. Para ello es útil tomar en consideración la distinción </w:t>
      </w:r>
      <w:r w:rsidR="00B536F7" w:rsidRPr="00C349AC">
        <w:rPr>
          <w:rFonts w:cs="Arial"/>
          <w:color w:val="000000" w:themeColor="text1"/>
          <w:sz w:val="28"/>
          <w:szCs w:val="28"/>
          <w:lang w:val="es-MX"/>
        </w:rPr>
        <w:t xml:space="preserve">que ha trazado la doctrina </w:t>
      </w:r>
      <w:r w:rsidRPr="00C349AC">
        <w:rPr>
          <w:rFonts w:cs="Arial"/>
          <w:color w:val="000000" w:themeColor="text1"/>
          <w:sz w:val="28"/>
          <w:szCs w:val="28"/>
          <w:lang w:val="es-MX"/>
        </w:rPr>
        <w:t xml:space="preserve">entre </w:t>
      </w:r>
      <w:r w:rsidRPr="00C349AC">
        <w:rPr>
          <w:rFonts w:cs="Arial"/>
          <w:i/>
          <w:iCs/>
          <w:color w:val="000000" w:themeColor="text1"/>
          <w:sz w:val="28"/>
          <w:szCs w:val="28"/>
          <w:lang w:val="es-MX"/>
        </w:rPr>
        <w:lastRenderedPageBreak/>
        <w:t>disposición y norma</w:t>
      </w:r>
      <w:r w:rsidR="00B536F7" w:rsidRPr="00C349AC">
        <w:rPr>
          <w:rStyle w:val="Refdenotaalpie"/>
          <w:rFonts w:cs="Arial"/>
          <w:color w:val="000000" w:themeColor="text1"/>
          <w:sz w:val="28"/>
          <w:szCs w:val="28"/>
          <w:lang w:val="es-MX"/>
        </w:rPr>
        <w:footnoteReference w:id="9"/>
      </w:r>
      <w:r w:rsidRPr="00C349AC">
        <w:rPr>
          <w:rFonts w:cs="Arial"/>
          <w:color w:val="000000" w:themeColor="text1"/>
          <w:sz w:val="28"/>
          <w:szCs w:val="28"/>
          <w:lang w:val="es-MX"/>
        </w:rPr>
        <w:t>. Por disposición se entiende el enunciado normativo perteneciente a una fuente del derecho, mientras que por norma se considera el sentido o significado que se le da a la disposición o a una combinación de disposiciones, es decir, una vez interpretada</w:t>
      </w:r>
      <w:r w:rsidRPr="00C349AC">
        <w:rPr>
          <w:rStyle w:val="Refdenotaalpie"/>
          <w:rFonts w:cs="Arial"/>
          <w:color w:val="000000" w:themeColor="text1"/>
          <w:sz w:val="28"/>
          <w:szCs w:val="28"/>
          <w:lang w:val="es-MX"/>
        </w:rPr>
        <w:footnoteReference w:id="10"/>
      </w:r>
      <w:r w:rsidRPr="00C349AC">
        <w:rPr>
          <w:rFonts w:cs="Arial"/>
          <w:color w:val="000000" w:themeColor="text1"/>
          <w:sz w:val="28"/>
          <w:szCs w:val="28"/>
          <w:lang w:val="es-MX"/>
        </w:rPr>
        <w:t xml:space="preserve">. En ese sentido, puede suceder que el sentido normativo de una disposición que no ha sido formalmente reformada </w:t>
      </w:r>
      <w:r w:rsidRPr="00C349AC">
        <w:rPr>
          <w:rFonts w:cs="Arial"/>
          <w:i/>
          <w:iCs/>
          <w:color w:val="000000" w:themeColor="text1"/>
          <w:sz w:val="28"/>
          <w:szCs w:val="28"/>
          <w:lang w:val="es-MX"/>
        </w:rPr>
        <w:t>cambie</w:t>
      </w:r>
      <w:r w:rsidRPr="00C349AC">
        <w:rPr>
          <w:rFonts w:cs="Arial"/>
          <w:color w:val="000000" w:themeColor="text1"/>
          <w:sz w:val="28"/>
          <w:szCs w:val="28"/>
          <w:lang w:val="es-MX"/>
        </w:rPr>
        <w:t xml:space="preserve"> como consecuencia de una reforma a otra disposición (es decir, por el </w:t>
      </w:r>
      <w:r w:rsidRPr="00C349AC">
        <w:rPr>
          <w:rFonts w:cs="Arial"/>
          <w:i/>
          <w:iCs/>
          <w:color w:val="000000" w:themeColor="text1"/>
          <w:sz w:val="28"/>
          <w:szCs w:val="28"/>
          <w:lang w:val="es-MX"/>
        </w:rPr>
        <w:t>sistema</w:t>
      </w:r>
      <w:r w:rsidRPr="00C349AC">
        <w:rPr>
          <w:rFonts w:cs="Arial"/>
          <w:color w:val="000000" w:themeColor="text1"/>
          <w:sz w:val="28"/>
          <w:szCs w:val="28"/>
          <w:lang w:val="es-MX"/>
        </w:rPr>
        <w:t xml:space="preserve"> del que forma parte)</w:t>
      </w:r>
      <w:r w:rsidR="007279D3" w:rsidRPr="00C349AC">
        <w:rPr>
          <w:rFonts w:cs="Arial"/>
          <w:color w:val="000000" w:themeColor="text1"/>
          <w:sz w:val="28"/>
          <w:szCs w:val="28"/>
          <w:lang w:val="es-MX"/>
        </w:rPr>
        <w:t>;</w:t>
      </w:r>
      <w:r w:rsidRPr="00C349AC">
        <w:rPr>
          <w:rFonts w:cs="Arial"/>
          <w:color w:val="000000" w:themeColor="text1"/>
          <w:sz w:val="28"/>
          <w:szCs w:val="28"/>
          <w:lang w:val="es-MX"/>
        </w:rPr>
        <w:t xml:space="preserve"> o bien, que a pesar de que una disposición ha sido formalmente reformada, se trate en realidad de una reiteración que no cambie su sentido. </w:t>
      </w:r>
    </w:p>
    <w:p w14:paraId="198A0425" w14:textId="5ECDB65D" w:rsidR="001B5A1F" w:rsidRPr="00C349AC" w:rsidRDefault="001B5A1F" w:rsidP="003209FC">
      <w:pPr>
        <w:pStyle w:val="corte4fondoCar"/>
        <w:rPr>
          <w:rFonts w:cs="Arial"/>
          <w:color w:val="000000" w:themeColor="text1"/>
          <w:sz w:val="28"/>
          <w:szCs w:val="28"/>
          <w:lang w:val="es-MX"/>
        </w:rPr>
      </w:pPr>
    </w:p>
    <w:p w14:paraId="14D9ED19" w14:textId="0A2361E5" w:rsidR="001B5A1F" w:rsidRPr="00C349AC" w:rsidRDefault="00B4157B" w:rsidP="003209FC">
      <w:pPr>
        <w:pStyle w:val="corte4fondoCar"/>
        <w:rPr>
          <w:rFonts w:cs="Arial"/>
          <w:color w:val="000000" w:themeColor="text1"/>
          <w:sz w:val="28"/>
          <w:szCs w:val="28"/>
          <w:lang w:val="es-MX"/>
        </w:rPr>
      </w:pPr>
      <w:r w:rsidRPr="00C349AC">
        <w:rPr>
          <w:rFonts w:cs="Arial"/>
          <w:color w:val="000000" w:themeColor="text1"/>
          <w:sz w:val="28"/>
          <w:szCs w:val="28"/>
          <w:lang w:val="es-MX"/>
        </w:rPr>
        <w:t xml:space="preserve">Por lo demás, debo </w:t>
      </w:r>
      <w:r w:rsidR="001B5A1F" w:rsidRPr="00C349AC">
        <w:rPr>
          <w:rFonts w:cs="Arial"/>
          <w:color w:val="000000" w:themeColor="text1"/>
          <w:sz w:val="28"/>
          <w:szCs w:val="28"/>
          <w:lang w:val="es-MX"/>
        </w:rPr>
        <w:t xml:space="preserve">destacar que </w:t>
      </w:r>
      <w:r w:rsidR="00B536F7" w:rsidRPr="00C349AC">
        <w:rPr>
          <w:rFonts w:cs="Arial"/>
          <w:color w:val="000000" w:themeColor="text1"/>
          <w:sz w:val="28"/>
          <w:szCs w:val="28"/>
          <w:lang w:val="es-MX"/>
        </w:rPr>
        <w:t xml:space="preserve">la decisión adoptada por la mayoría en este asunto </w:t>
      </w:r>
      <w:r w:rsidR="001B5A1F" w:rsidRPr="00C349AC">
        <w:rPr>
          <w:rFonts w:cs="Arial"/>
          <w:color w:val="000000" w:themeColor="text1"/>
          <w:sz w:val="28"/>
          <w:szCs w:val="28"/>
          <w:lang w:val="es-MX"/>
        </w:rPr>
        <w:t>es coherente con la postura minoritaria que sostuve en la acción de inconstitucionalidad 105/2018 y su acumulada 108/2018</w:t>
      </w:r>
      <w:r w:rsidR="00B536F7" w:rsidRPr="00C349AC">
        <w:rPr>
          <w:rFonts w:cs="Arial"/>
          <w:color w:val="000000" w:themeColor="text1"/>
          <w:sz w:val="28"/>
          <w:szCs w:val="28"/>
          <w:lang w:val="es-MX"/>
        </w:rPr>
        <w:t>,</w:t>
      </w:r>
      <w:r w:rsidR="001B5A1F" w:rsidRPr="00C349AC">
        <w:rPr>
          <w:rFonts w:cs="Arial"/>
          <w:color w:val="000000" w:themeColor="text1"/>
          <w:sz w:val="28"/>
          <w:szCs w:val="28"/>
          <w:lang w:val="es-MX"/>
        </w:rPr>
        <w:t xml:space="preserve"> en donde </w:t>
      </w:r>
      <w:r w:rsidR="00B536F7" w:rsidRPr="00C349AC">
        <w:rPr>
          <w:rFonts w:cs="Arial"/>
          <w:color w:val="000000" w:themeColor="text1"/>
          <w:sz w:val="28"/>
          <w:szCs w:val="28"/>
          <w:lang w:val="es-MX"/>
        </w:rPr>
        <w:t>analizamos</w:t>
      </w:r>
      <w:r w:rsidR="001B5A1F" w:rsidRPr="00C349AC">
        <w:rPr>
          <w:rFonts w:cs="Arial"/>
          <w:color w:val="000000" w:themeColor="text1"/>
          <w:sz w:val="28"/>
          <w:szCs w:val="28"/>
          <w:lang w:val="es-MX"/>
        </w:rPr>
        <w:t xml:space="preserve"> la </w:t>
      </w:r>
      <w:r w:rsidR="00B536F7" w:rsidRPr="00C349AC">
        <w:rPr>
          <w:rFonts w:cs="Arial"/>
          <w:color w:val="000000" w:themeColor="text1"/>
          <w:sz w:val="28"/>
          <w:szCs w:val="28"/>
          <w:lang w:val="es-MX"/>
        </w:rPr>
        <w:t xml:space="preserve">constitucionalidad </w:t>
      </w:r>
      <w:r w:rsidR="001B5A1F" w:rsidRPr="00C349AC">
        <w:rPr>
          <w:rFonts w:cs="Arial"/>
          <w:i/>
          <w:iCs/>
          <w:color w:val="000000" w:themeColor="text1"/>
          <w:sz w:val="28"/>
          <w:szCs w:val="28"/>
          <w:lang w:val="es-MX"/>
        </w:rPr>
        <w:t>Ley Federal de Remuneraciones de los Servidores Públicos</w:t>
      </w:r>
      <w:r w:rsidR="001B5A1F" w:rsidRPr="00C349AC">
        <w:rPr>
          <w:rFonts w:cs="Arial"/>
          <w:color w:val="000000" w:themeColor="text1"/>
          <w:sz w:val="28"/>
          <w:szCs w:val="28"/>
          <w:lang w:val="es-MX"/>
        </w:rPr>
        <w:t xml:space="preserve">. </w:t>
      </w:r>
      <w:r w:rsidR="00B536F7" w:rsidRPr="00C349AC">
        <w:rPr>
          <w:rFonts w:cs="Arial"/>
          <w:color w:val="000000" w:themeColor="text1"/>
          <w:sz w:val="28"/>
          <w:szCs w:val="28"/>
          <w:lang w:val="es-MX"/>
        </w:rPr>
        <w:t xml:space="preserve">En efecto, en esa ocasión señalé </w:t>
      </w:r>
      <w:r w:rsidR="00B536F7" w:rsidRPr="00C349AC">
        <w:rPr>
          <w:rFonts w:cs="Arial"/>
          <w:i/>
          <w:iCs/>
          <w:color w:val="000000" w:themeColor="text1"/>
          <w:sz w:val="28"/>
          <w:szCs w:val="28"/>
          <w:lang w:val="es-MX"/>
        </w:rPr>
        <w:t xml:space="preserve">no había </w:t>
      </w:r>
      <w:r w:rsidR="001B5A1F" w:rsidRPr="00C349AC">
        <w:rPr>
          <w:rFonts w:cs="Arial"/>
          <w:i/>
          <w:iCs/>
          <w:color w:val="000000" w:themeColor="text1"/>
          <w:sz w:val="28"/>
          <w:szCs w:val="28"/>
          <w:lang w:val="es-MX"/>
        </w:rPr>
        <w:t xml:space="preserve">razón para estudiar </w:t>
      </w:r>
      <w:r w:rsidR="00B536F7" w:rsidRPr="00C349AC">
        <w:rPr>
          <w:rFonts w:cs="Arial"/>
          <w:i/>
          <w:iCs/>
          <w:color w:val="000000" w:themeColor="text1"/>
          <w:sz w:val="28"/>
          <w:szCs w:val="28"/>
          <w:lang w:val="es-MX"/>
        </w:rPr>
        <w:t>la existencia de una posible</w:t>
      </w:r>
      <w:r w:rsidR="001B5A1F" w:rsidRPr="00C349AC">
        <w:rPr>
          <w:rFonts w:cs="Arial"/>
          <w:i/>
          <w:iCs/>
          <w:color w:val="000000" w:themeColor="text1"/>
          <w:sz w:val="28"/>
          <w:szCs w:val="28"/>
          <w:lang w:val="es-MX"/>
        </w:rPr>
        <w:t xml:space="preserve"> omisión legislativa en un sistema normativo que </w:t>
      </w:r>
      <w:r w:rsidR="00B536F7" w:rsidRPr="00C349AC">
        <w:rPr>
          <w:rFonts w:cs="Arial"/>
          <w:i/>
          <w:iCs/>
          <w:color w:val="000000" w:themeColor="text1"/>
          <w:sz w:val="28"/>
          <w:szCs w:val="28"/>
          <w:lang w:val="es-MX"/>
        </w:rPr>
        <w:t>había sido materialmente modificado</w:t>
      </w:r>
      <w:r w:rsidR="001B5A1F" w:rsidRPr="00C349AC">
        <w:rPr>
          <w:rFonts w:cs="Arial"/>
          <w:color w:val="000000" w:themeColor="text1"/>
          <w:sz w:val="28"/>
          <w:szCs w:val="28"/>
          <w:lang w:val="es-MX"/>
        </w:rPr>
        <w:t xml:space="preserve">. </w:t>
      </w:r>
      <w:r w:rsidR="00B536F7" w:rsidRPr="00C349AC">
        <w:rPr>
          <w:rFonts w:cs="Arial"/>
          <w:color w:val="000000" w:themeColor="text1"/>
          <w:sz w:val="28"/>
          <w:szCs w:val="28"/>
          <w:lang w:val="es-MX"/>
        </w:rPr>
        <w:t xml:space="preserve">Ello, pues aun considerando que </w:t>
      </w:r>
      <w:r w:rsidR="001B5A1F" w:rsidRPr="00C349AC">
        <w:rPr>
          <w:rFonts w:cs="Arial"/>
          <w:color w:val="000000" w:themeColor="text1"/>
          <w:sz w:val="28"/>
          <w:szCs w:val="28"/>
          <w:lang w:val="es-MX"/>
        </w:rPr>
        <w:t>la omisión alegada</w:t>
      </w:r>
      <w:r w:rsidR="00B536F7" w:rsidRPr="00C349AC">
        <w:rPr>
          <w:rFonts w:cs="Arial"/>
          <w:color w:val="000000" w:themeColor="text1"/>
          <w:sz w:val="28"/>
          <w:szCs w:val="28"/>
          <w:lang w:val="es-MX"/>
        </w:rPr>
        <w:t xml:space="preserve"> existía</w:t>
      </w:r>
      <w:r w:rsidR="001B5A1F" w:rsidRPr="00C349AC">
        <w:rPr>
          <w:rFonts w:cs="Arial"/>
          <w:color w:val="000000" w:themeColor="text1"/>
          <w:sz w:val="28"/>
          <w:szCs w:val="28"/>
          <w:lang w:val="es-MX"/>
        </w:rPr>
        <w:t xml:space="preserve">, no </w:t>
      </w:r>
      <w:r w:rsidR="00B536F7" w:rsidRPr="00C349AC">
        <w:rPr>
          <w:rFonts w:cs="Arial"/>
          <w:color w:val="000000" w:themeColor="text1"/>
          <w:sz w:val="28"/>
          <w:szCs w:val="28"/>
          <w:lang w:val="es-MX"/>
        </w:rPr>
        <w:t>tenía</w:t>
      </w:r>
      <w:r w:rsidR="001B5A1F" w:rsidRPr="00C349AC">
        <w:rPr>
          <w:rFonts w:cs="Arial"/>
          <w:color w:val="000000" w:themeColor="text1"/>
          <w:sz w:val="28"/>
          <w:szCs w:val="28"/>
          <w:lang w:val="es-MX"/>
        </w:rPr>
        <w:t xml:space="preserve"> sentido ordenar legislar respecto </w:t>
      </w:r>
      <w:r w:rsidR="00B536F7" w:rsidRPr="00C349AC">
        <w:rPr>
          <w:rFonts w:cs="Arial"/>
          <w:color w:val="000000" w:themeColor="text1"/>
          <w:sz w:val="28"/>
          <w:szCs w:val="28"/>
          <w:lang w:val="es-MX"/>
        </w:rPr>
        <w:t>de un</w:t>
      </w:r>
      <w:r w:rsidR="001B5A1F" w:rsidRPr="00C349AC">
        <w:rPr>
          <w:rFonts w:cs="Arial"/>
          <w:color w:val="000000" w:themeColor="text1"/>
          <w:sz w:val="28"/>
          <w:szCs w:val="28"/>
          <w:lang w:val="es-MX"/>
        </w:rPr>
        <w:t xml:space="preserve"> sistema que </w:t>
      </w:r>
      <w:r w:rsidR="00B536F7" w:rsidRPr="00C349AC">
        <w:rPr>
          <w:rFonts w:cs="Arial"/>
          <w:color w:val="000000" w:themeColor="text1"/>
          <w:sz w:val="28"/>
          <w:szCs w:val="28"/>
          <w:lang w:val="es-MX"/>
        </w:rPr>
        <w:t>había</w:t>
      </w:r>
      <w:r w:rsidR="001B5A1F" w:rsidRPr="00C349AC">
        <w:rPr>
          <w:rFonts w:cs="Arial"/>
          <w:color w:val="000000" w:themeColor="text1"/>
          <w:sz w:val="28"/>
          <w:szCs w:val="28"/>
          <w:lang w:val="es-MX"/>
        </w:rPr>
        <w:t xml:space="preserve"> </w:t>
      </w:r>
      <w:r w:rsidR="00B536F7" w:rsidRPr="00C349AC">
        <w:rPr>
          <w:rFonts w:cs="Arial"/>
          <w:color w:val="000000" w:themeColor="text1"/>
          <w:sz w:val="28"/>
          <w:szCs w:val="28"/>
          <w:lang w:val="es-MX"/>
        </w:rPr>
        <w:t xml:space="preserve">sido </w:t>
      </w:r>
      <w:r w:rsidR="001B5A1F" w:rsidRPr="00C349AC">
        <w:rPr>
          <w:rFonts w:cs="Arial"/>
          <w:color w:val="000000" w:themeColor="text1"/>
          <w:sz w:val="28"/>
          <w:szCs w:val="28"/>
          <w:lang w:val="es-MX"/>
        </w:rPr>
        <w:t>reformado</w:t>
      </w:r>
      <w:r w:rsidR="00B536F7" w:rsidRPr="00C349AC">
        <w:rPr>
          <w:rFonts w:cs="Arial"/>
          <w:color w:val="000000" w:themeColor="text1"/>
          <w:sz w:val="28"/>
          <w:szCs w:val="28"/>
          <w:lang w:val="es-MX"/>
        </w:rPr>
        <w:t>, máxime</w:t>
      </w:r>
      <w:r w:rsidR="001B5A1F" w:rsidRPr="00C349AC">
        <w:rPr>
          <w:rFonts w:cs="Arial"/>
          <w:color w:val="000000" w:themeColor="text1"/>
          <w:sz w:val="28"/>
          <w:szCs w:val="28"/>
          <w:lang w:val="es-MX"/>
        </w:rPr>
        <w:t xml:space="preserve"> que la deficiencia </w:t>
      </w:r>
      <w:r w:rsidR="00B536F7" w:rsidRPr="00C349AC">
        <w:rPr>
          <w:rFonts w:cs="Arial"/>
          <w:color w:val="000000" w:themeColor="text1"/>
          <w:sz w:val="28"/>
          <w:szCs w:val="28"/>
          <w:lang w:val="es-MX"/>
        </w:rPr>
        <w:t>en cuestión pudo haber</w:t>
      </w:r>
      <w:r w:rsidR="001B5A1F" w:rsidRPr="00C349AC">
        <w:rPr>
          <w:rFonts w:cs="Arial"/>
          <w:color w:val="000000" w:themeColor="text1"/>
          <w:sz w:val="28"/>
          <w:szCs w:val="28"/>
          <w:lang w:val="es-MX"/>
        </w:rPr>
        <w:t xml:space="preserve"> </w:t>
      </w:r>
      <w:r w:rsidR="00B536F7" w:rsidRPr="00C349AC">
        <w:rPr>
          <w:rFonts w:cs="Arial"/>
          <w:color w:val="000000" w:themeColor="text1"/>
          <w:sz w:val="28"/>
          <w:szCs w:val="28"/>
          <w:lang w:val="es-MX"/>
        </w:rPr>
        <w:t xml:space="preserve">sido </w:t>
      </w:r>
      <w:r w:rsidR="001B5A1F" w:rsidRPr="00C349AC">
        <w:rPr>
          <w:rFonts w:cs="Arial"/>
          <w:color w:val="000000" w:themeColor="text1"/>
          <w:sz w:val="28"/>
          <w:szCs w:val="28"/>
          <w:lang w:val="es-MX"/>
        </w:rPr>
        <w:t xml:space="preserve">colmada en el nuevo sistema normativo, el cual no </w:t>
      </w:r>
      <w:r w:rsidR="00B536F7" w:rsidRPr="00C349AC">
        <w:rPr>
          <w:rFonts w:cs="Arial"/>
          <w:color w:val="000000" w:themeColor="text1"/>
          <w:sz w:val="28"/>
          <w:szCs w:val="28"/>
          <w:lang w:val="es-MX"/>
        </w:rPr>
        <w:t>podía</w:t>
      </w:r>
      <w:r w:rsidR="001B5A1F" w:rsidRPr="00C349AC">
        <w:rPr>
          <w:rFonts w:cs="Arial"/>
          <w:color w:val="000000" w:themeColor="text1"/>
          <w:sz w:val="28"/>
          <w:szCs w:val="28"/>
          <w:lang w:val="es-MX"/>
        </w:rPr>
        <w:t xml:space="preserve"> ser estudiado en </w:t>
      </w:r>
      <w:r w:rsidR="00B536F7" w:rsidRPr="00C349AC">
        <w:rPr>
          <w:rFonts w:cs="Arial"/>
          <w:color w:val="000000" w:themeColor="text1"/>
          <w:sz w:val="28"/>
          <w:szCs w:val="28"/>
          <w:lang w:val="es-MX"/>
        </w:rPr>
        <w:t xml:space="preserve">ese </w:t>
      </w:r>
      <w:r w:rsidR="001B5A1F" w:rsidRPr="00C349AC">
        <w:rPr>
          <w:rFonts w:cs="Arial"/>
          <w:color w:val="000000" w:themeColor="text1"/>
          <w:sz w:val="28"/>
          <w:szCs w:val="28"/>
          <w:lang w:val="es-MX"/>
        </w:rPr>
        <w:t>momento</w:t>
      </w:r>
      <w:r w:rsidR="00B536F7" w:rsidRPr="00C349AC">
        <w:rPr>
          <w:rStyle w:val="Refdenotaalpie"/>
          <w:rFonts w:cs="Arial"/>
          <w:color w:val="000000" w:themeColor="text1"/>
          <w:sz w:val="28"/>
          <w:szCs w:val="28"/>
          <w:lang w:val="es-MX"/>
        </w:rPr>
        <w:footnoteReference w:id="11"/>
      </w:r>
      <w:r w:rsidR="00B536F7" w:rsidRPr="00C349AC">
        <w:rPr>
          <w:rFonts w:cs="Arial"/>
          <w:color w:val="000000" w:themeColor="text1"/>
          <w:sz w:val="28"/>
          <w:szCs w:val="28"/>
          <w:lang w:val="es-MX"/>
        </w:rPr>
        <w:t xml:space="preserve">. </w:t>
      </w:r>
    </w:p>
    <w:p w14:paraId="37D621F2" w14:textId="77777777" w:rsidR="005D53E3" w:rsidRPr="00C349AC" w:rsidRDefault="005D53E3" w:rsidP="00556E9F">
      <w:pPr>
        <w:pStyle w:val="corte4fondo"/>
        <w:autoSpaceDE w:val="0"/>
        <w:autoSpaceDN w:val="0"/>
        <w:adjustRightInd w:val="0"/>
        <w:ind w:right="51" w:firstLine="0"/>
        <w:rPr>
          <w:rFonts w:cs="Arial"/>
          <w:color w:val="000000" w:themeColor="text1"/>
          <w:sz w:val="28"/>
          <w:szCs w:val="28"/>
          <w:lang w:val="es-ES_tradnl"/>
        </w:rPr>
      </w:pPr>
    </w:p>
    <w:p w14:paraId="47688654" w14:textId="1097F263" w:rsidR="00AD1A7F" w:rsidRPr="00C349AC" w:rsidRDefault="00DC1A86" w:rsidP="00556E9F">
      <w:pPr>
        <w:pStyle w:val="corte4fondo"/>
        <w:autoSpaceDE w:val="0"/>
        <w:autoSpaceDN w:val="0"/>
        <w:adjustRightInd w:val="0"/>
        <w:ind w:right="51" w:firstLine="0"/>
        <w:rPr>
          <w:rFonts w:cs="Arial"/>
          <w:color w:val="000000" w:themeColor="text1"/>
          <w:sz w:val="28"/>
          <w:szCs w:val="28"/>
          <w:lang w:val="es-ES_tradnl"/>
        </w:rPr>
      </w:pPr>
      <w:r w:rsidRPr="00C349AC">
        <w:rPr>
          <w:rFonts w:cs="Arial"/>
          <w:color w:val="000000" w:themeColor="text1"/>
          <w:sz w:val="28"/>
          <w:szCs w:val="28"/>
          <w:lang w:val="es-ES_tradnl"/>
        </w:rPr>
        <w:lastRenderedPageBreak/>
        <w:tab/>
      </w:r>
      <w:r w:rsidR="00B536F7" w:rsidRPr="00C349AC">
        <w:rPr>
          <w:rFonts w:cs="Arial"/>
          <w:color w:val="000000" w:themeColor="text1"/>
          <w:sz w:val="28"/>
          <w:szCs w:val="28"/>
          <w:lang w:val="es-ES_tradnl"/>
        </w:rPr>
        <w:t>Finalmente</w:t>
      </w:r>
      <w:r w:rsidRPr="00C349AC">
        <w:rPr>
          <w:rFonts w:cs="Arial"/>
          <w:color w:val="000000" w:themeColor="text1"/>
          <w:sz w:val="28"/>
          <w:szCs w:val="28"/>
          <w:lang w:val="es-ES_tradnl"/>
        </w:rPr>
        <w:t>,</w:t>
      </w:r>
      <w:r w:rsidR="00B536F7" w:rsidRPr="00C349AC">
        <w:rPr>
          <w:rFonts w:cs="Arial"/>
          <w:color w:val="000000" w:themeColor="text1"/>
          <w:sz w:val="28"/>
          <w:szCs w:val="28"/>
          <w:lang w:val="es-ES_tradnl"/>
        </w:rPr>
        <w:t xml:space="preserve"> cabe señalar que,</w:t>
      </w:r>
      <w:r w:rsidRPr="00C349AC">
        <w:rPr>
          <w:rFonts w:cs="Arial"/>
          <w:color w:val="000000" w:themeColor="text1"/>
          <w:sz w:val="28"/>
          <w:szCs w:val="28"/>
          <w:lang w:val="es-ES_tradnl"/>
        </w:rPr>
        <w:t xml:space="preserve"> aun y cuando se considerara que </w:t>
      </w:r>
      <w:r w:rsidR="005D53E3" w:rsidRPr="00C349AC">
        <w:rPr>
          <w:rFonts w:cs="Arial"/>
          <w:color w:val="000000" w:themeColor="text1"/>
          <w:sz w:val="28"/>
          <w:szCs w:val="28"/>
          <w:lang w:val="es-ES_tradnl"/>
        </w:rPr>
        <w:t xml:space="preserve">algunas de </w:t>
      </w:r>
      <w:r w:rsidR="00B536F7" w:rsidRPr="00C349AC">
        <w:rPr>
          <w:rFonts w:cs="Arial"/>
          <w:color w:val="000000" w:themeColor="text1"/>
          <w:sz w:val="28"/>
          <w:szCs w:val="28"/>
          <w:lang w:val="es-ES_tradnl"/>
        </w:rPr>
        <w:t xml:space="preserve">las </w:t>
      </w:r>
      <w:r w:rsidRPr="00C349AC">
        <w:rPr>
          <w:rFonts w:cs="Arial"/>
          <w:color w:val="000000" w:themeColor="text1"/>
          <w:sz w:val="28"/>
          <w:szCs w:val="28"/>
          <w:lang w:val="es-ES_tradnl"/>
        </w:rPr>
        <w:t>disposiciones</w:t>
      </w:r>
      <w:r w:rsidR="00B536F7" w:rsidRPr="00C349AC">
        <w:rPr>
          <w:rFonts w:cs="Arial"/>
          <w:color w:val="000000" w:themeColor="text1"/>
          <w:sz w:val="28"/>
          <w:szCs w:val="28"/>
          <w:lang w:val="es-ES_tradnl"/>
        </w:rPr>
        <w:t xml:space="preserve"> de los Capítulos VI y VIII </w:t>
      </w:r>
      <w:r w:rsidRPr="00C349AC">
        <w:rPr>
          <w:rFonts w:cs="Arial"/>
          <w:color w:val="000000" w:themeColor="text1"/>
          <w:sz w:val="28"/>
          <w:szCs w:val="28"/>
          <w:lang w:val="es-ES_tradnl"/>
        </w:rPr>
        <w:t xml:space="preserve">no sufrieron </w:t>
      </w:r>
      <w:r w:rsidR="00B536F7" w:rsidRPr="00C349AC">
        <w:rPr>
          <w:rFonts w:cs="Arial"/>
          <w:color w:val="000000" w:themeColor="text1"/>
          <w:sz w:val="28"/>
          <w:szCs w:val="28"/>
          <w:lang w:val="es-ES_tradnl"/>
        </w:rPr>
        <w:t xml:space="preserve">realmente </w:t>
      </w:r>
      <w:r w:rsidRPr="00C349AC">
        <w:rPr>
          <w:rFonts w:cs="Arial"/>
          <w:color w:val="000000" w:themeColor="text1"/>
          <w:sz w:val="28"/>
          <w:szCs w:val="28"/>
          <w:lang w:val="es-ES_tradnl"/>
        </w:rPr>
        <w:t>un cambio en su sentido normativo por virtud de la reforma de diciembre de dos mil diecinueve</w:t>
      </w:r>
      <w:r w:rsidR="005D53E3" w:rsidRPr="00C349AC">
        <w:rPr>
          <w:rFonts w:cs="Arial"/>
          <w:color w:val="000000" w:themeColor="text1"/>
          <w:sz w:val="28"/>
          <w:szCs w:val="28"/>
          <w:lang w:val="es-ES_tradnl"/>
        </w:rPr>
        <w:t xml:space="preserve">, lo cierto es que la CNDH </w:t>
      </w:r>
      <w:r w:rsidRPr="00C349AC">
        <w:rPr>
          <w:rFonts w:cs="Arial"/>
          <w:color w:val="000000" w:themeColor="text1"/>
          <w:sz w:val="28"/>
          <w:szCs w:val="28"/>
          <w:lang w:val="es-ES_tradnl"/>
        </w:rPr>
        <w:t xml:space="preserve">no impugnó estos preceptos por </w:t>
      </w:r>
      <w:r w:rsidRPr="00C349AC">
        <w:rPr>
          <w:rFonts w:cs="Arial"/>
          <w:i/>
          <w:iCs/>
          <w:color w:val="000000" w:themeColor="text1"/>
          <w:sz w:val="28"/>
          <w:szCs w:val="28"/>
          <w:lang w:val="es-ES_tradnl"/>
        </w:rPr>
        <w:t>vicios propios</w:t>
      </w:r>
      <w:r w:rsidRPr="00C349AC">
        <w:rPr>
          <w:rFonts w:cs="Arial"/>
          <w:color w:val="000000" w:themeColor="text1"/>
          <w:sz w:val="28"/>
          <w:szCs w:val="28"/>
          <w:lang w:val="es-ES_tradnl"/>
        </w:rPr>
        <w:t xml:space="preserve">, sino que </w:t>
      </w:r>
      <w:r w:rsidR="005D53E3" w:rsidRPr="00C349AC">
        <w:rPr>
          <w:rFonts w:cs="Arial"/>
          <w:color w:val="000000" w:themeColor="text1"/>
          <w:sz w:val="28"/>
          <w:szCs w:val="28"/>
          <w:lang w:val="es-ES_tradnl"/>
        </w:rPr>
        <w:t xml:space="preserve">se limitó a </w:t>
      </w:r>
      <w:r w:rsidR="00BF1DA9" w:rsidRPr="00C349AC">
        <w:rPr>
          <w:rFonts w:cs="Arial"/>
          <w:color w:val="000000" w:themeColor="text1"/>
          <w:sz w:val="28"/>
          <w:szCs w:val="28"/>
          <w:lang w:val="es-ES_tradnl"/>
        </w:rPr>
        <w:t xml:space="preserve">señalarlos </w:t>
      </w:r>
      <w:r w:rsidRPr="00C349AC">
        <w:rPr>
          <w:rFonts w:cs="Arial"/>
          <w:color w:val="000000" w:themeColor="text1"/>
          <w:sz w:val="28"/>
          <w:szCs w:val="28"/>
          <w:lang w:val="es-ES_tradnl"/>
        </w:rPr>
        <w:t xml:space="preserve">como parte del sistema normativo que consideró deficiente u omisivo. Por tanto, aun </w:t>
      </w:r>
      <w:r w:rsidR="005D53E3" w:rsidRPr="00C349AC">
        <w:rPr>
          <w:rFonts w:cs="Arial"/>
          <w:color w:val="000000" w:themeColor="text1"/>
          <w:sz w:val="28"/>
          <w:szCs w:val="28"/>
          <w:lang w:val="es-ES_tradnl"/>
        </w:rPr>
        <w:t>considerando</w:t>
      </w:r>
      <w:r w:rsidRPr="00C349AC">
        <w:rPr>
          <w:rFonts w:cs="Arial"/>
          <w:color w:val="000000" w:themeColor="text1"/>
          <w:sz w:val="28"/>
          <w:szCs w:val="28"/>
          <w:lang w:val="es-ES_tradnl"/>
        </w:rPr>
        <w:t xml:space="preserve"> que tales disposiciones no forman parte </w:t>
      </w:r>
      <w:r w:rsidRPr="00C349AC">
        <w:rPr>
          <w:rFonts w:cs="Arial"/>
          <w:i/>
          <w:color w:val="000000" w:themeColor="text1"/>
          <w:sz w:val="28"/>
          <w:szCs w:val="28"/>
          <w:lang w:val="es-ES_tradnl"/>
        </w:rPr>
        <w:t>en sentido estricto</w:t>
      </w:r>
      <w:r w:rsidRPr="00C349AC">
        <w:rPr>
          <w:rFonts w:cs="Arial"/>
          <w:color w:val="000000" w:themeColor="text1"/>
          <w:sz w:val="28"/>
          <w:szCs w:val="28"/>
          <w:lang w:val="es-ES_tradnl"/>
        </w:rPr>
        <w:t xml:space="preserve"> del sistema normativo reformado</w:t>
      </w:r>
      <w:r w:rsidR="005D53E3" w:rsidRPr="00C349AC">
        <w:rPr>
          <w:rFonts w:cs="Arial"/>
          <w:color w:val="000000" w:themeColor="text1"/>
          <w:sz w:val="28"/>
          <w:szCs w:val="28"/>
          <w:lang w:val="es-ES_tradnl"/>
        </w:rPr>
        <w:t xml:space="preserve">, </w:t>
      </w:r>
      <w:r w:rsidRPr="00C349AC">
        <w:rPr>
          <w:rFonts w:cs="Arial"/>
          <w:color w:val="000000" w:themeColor="text1"/>
          <w:sz w:val="28"/>
          <w:szCs w:val="28"/>
          <w:lang w:val="es-ES_tradnl"/>
        </w:rPr>
        <w:t xml:space="preserve">la presente acción </w:t>
      </w:r>
      <w:r w:rsidR="005D53E3" w:rsidRPr="00C349AC">
        <w:rPr>
          <w:rFonts w:cs="Arial"/>
          <w:color w:val="000000" w:themeColor="text1"/>
          <w:sz w:val="28"/>
          <w:szCs w:val="28"/>
          <w:lang w:val="es-ES_tradnl"/>
        </w:rPr>
        <w:t>habría resultado</w:t>
      </w:r>
      <w:r w:rsidRPr="00C349AC">
        <w:rPr>
          <w:rFonts w:cs="Arial"/>
          <w:color w:val="000000" w:themeColor="text1"/>
          <w:sz w:val="28"/>
          <w:szCs w:val="28"/>
          <w:lang w:val="es-ES_tradnl"/>
        </w:rPr>
        <w:t xml:space="preserve"> de cualquier modo improcedente, al no haberse formulado conceptos de invalidez dirigidos a cuestionar </w:t>
      </w:r>
      <w:r w:rsidR="00B536F7" w:rsidRPr="00C349AC">
        <w:rPr>
          <w:rFonts w:cs="Arial"/>
          <w:color w:val="000000" w:themeColor="text1"/>
          <w:sz w:val="28"/>
          <w:szCs w:val="28"/>
          <w:lang w:val="es-ES_tradnl"/>
        </w:rPr>
        <w:t xml:space="preserve">su </w:t>
      </w:r>
      <w:r w:rsidRPr="00C349AC">
        <w:rPr>
          <w:rFonts w:cs="Arial"/>
          <w:color w:val="000000" w:themeColor="text1"/>
          <w:sz w:val="28"/>
          <w:szCs w:val="28"/>
          <w:lang w:val="es-ES_tradnl"/>
        </w:rPr>
        <w:t xml:space="preserve">constitucionalidad </w:t>
      </w:r>
      <w:r w:rsidR="00BF1DA9" w:rsidRPr="00C349AC">
        <w:rPr>
          <w:rFonts w:cs="Arial"/>
          <w:color w:val="000000" w:themeColor="text1"/>
          <w:sz w:val="28"/>
          <w:szCs w:val="28"/>
          <w:lang w:val="es-ES_tradnl"/>
        </w:rPr>
        <w:t>de forma individual</w:t>
      </w:r>
      <w:r w:rsidRPr="00C349AC">
        <w:rPr>
          <w:rStyle w:val="Refdenotaalpie"/>
          <w:rFonts w:eastAsia="Calibri" w:cs="Arial"/>
          <w:color w:val="000000" w:themeColor="text1"/>
          <w:sz w:val="28"/>
          <w:szCs w:val="28"/>
          <w:lang w:val="es-ES_tradnl"/>
        </w:rPr>
        <w:footnoteReference w:id="12"/>
      </w:r>
      <w:r w:rsidRPr="00C349AC">
        <w:rPr>
          <w:rFonts w:cs="Arial"/>
          <w:color w:val="000000" w:themeColor="text1"/>
          <w:sz w:val="28"/>
          <w:szCs w:val="28"/>
          <w:lang w:val="es-ES_tradnl"/>
        </w:rPr>
        <w:t xml:space="preserve">. </w:t>
      </w:r>
    </w:p>
    <w:p w14:paraId="18AEF26D" w14:textId="0E10040D" w:rsidR="00AD1A7F" w:rsidRPr="00C349AC" w:rsidRDefault="00AD1A7F" w:rsidP="00556E9F">
      <w:pPr>
        <w:pStyle w:val="corte4fondo"/>
        <w:autoSpaceDE w:val="0"/>
        <w:autoSpaceDN w:val="0"/>
        <w:adjustRightInd w:val="0"/>
        <w:ind w:right="51" w:firstLine="0"/>
        <w:rPr>
          <w:rFonts w:cs="Arial"/>
          <w:color w:val="000000" w:themeColor="text1"/>
          <w:sz w:val="28"/>
          <w:szCs w:val="28"/>
          <w:lang w:val="es-ES_tradnl"/>
        </w:rPr>
      </w:pPr>
    </w:p>
    <w:p w14:paraId="17781149" w14:textId="77777777" w:rsidR="00BE24FD" w:rsidRPr="00C349AC" w:rsidRDefault="00BE24FD" w:rsidP="00556E9F">
      <w:pPr>
        <w:pStyle w:val="corte4fondo"/>
        <w:autoSpaceDE w:val="0"/>
        <w:autoSpaceDN w:val="0"/>
        <w:adjustRightInd w:val="0"/>
        <w:ind w:right="51" w:firstLine="0"/>
        <w:rPr>
          <w:rFonts w:cs="Arial"/>
          <w:color w:val="000000" w:themeColor="text1"/>
          <w:sz w:val="28"/>
          <w:szCs w:val="28"/>
          <w:lang w:val="es-ES_tradnl"/>
        </w:rPr>
      </w:pPr>
    </w:p>
    <w:p w14:paraId="728122FC" w14:textId="4856F39C" w:rsidR="00AD1A7F" w:rsidRPr="00C349AC" w:rsidRDefault="00AD1A7F" w:rsidP="00AD1A7F">
      <w:pPr>
        <w:pStyle w:val="corte4fondo"/>
        <w:autoSpaceDE w:val="0"/>
        <w:autoSpaceDN w:val="0"/>
        <w:adjustRightInd w:val="0"/>
        <w:ind w:right="51" w:firstLine="0"/>
        <w:jc w:val="center"/>
        <w:rPr>
          <w:rFonts w:cs="Arial"/>
          <w:color w:val="000000" w:themeColor="text1"/>
          <w:sz w:val="28"/>
          <w:szCs w:val="28"/>
          <w:lang w:val="es-ES_tradnl"/>
        </w:rPr>
      </w:pPr>
      <w:r w:rsidRPr="00C349AC">
        <w:rPr>
          <w:rFonts w:cs="Arial"/>
          <w:color w:val="000000" w:themeColor="text1"/>
          <w:sz w:val="28"/>
          <w:szCs w:val="28"/>
          <w:lang w:val="es-ES_tradnl"/>
        </w:rPr>
        <w:t>***</w:t>
      </w:r>
    </w:p>
    <w:p w14:paraId="38F0E774" w14:textId="77777777" w:rsidR="00DC1A86" w:rsidRPr="00C349AC" w:rsidRDefault="00DC1A86" w:rsidP="00556E9F">
      <w:pPr>
        <w:spacing w:after="0" w:line="360" w:lineRule="auto"/>
        <w:jc w:val="both"/>
        <w:rPr>
          <w:rFonts w:ascii="Arial" w:hAnsi="Arial" w:cs="Arial"/>
          <w:color w:val="000000" w:themeColor="text1"/>
          <w:sz w:val="28"/>
          <w:szCs w:val="28"/>
          <w:highlight w:val="yellow"/>
          <w:lang w:val="es-ES_tradnl"/>
        </w:rPr>
      </w:pPr>
    </w:p>
    <w:p w14:paraId="18012958" w14:textId="6723560E" w:rsidR="005D53E3" w:rsidRPr="00C349AC" w:rsidRDefault="005D53E3" w:rsidP="00556E9F">
      <w:pPr>
        <w:pStyle w:val="Prrafodelista"/>
        <w:numPr>
          <w:ilvl w:val="0"/>
          <w:numId w:val="1"/>
        </w:numPr>
        <w:spacing w:after="0" w:line="360" w:lineRule="auto"/>
        <w:jc w:val="both"/>
        <w:rPr>
          <w:rFonts w:ascii="Arial" w:hAnsi="Arial" w:cs="Arial"/>
          <w:b/>
          <w:bCs/>
          <w:color w:val="000000" w:themeColor="text1"/>
          <w:sz w:val="28"/>
          <w:szCs w:val="28"/>
          <w:lang w:val="es-ES_tradnl"/>
        </w:rPr>
      </w:pPr>
      <w:r w:rsidRPr="00C349AC">
        <w:rPr>
          <w:rFonts w:ascii="Arial" w:hAnsi="Arial" w:cs="Arial"/>
          <w:b/>
          <w:bCs/>
          <w:color w:val="000000" w:themeColor="text1"/>
          <w:sz w:val="28"/>
          <w:szCs w:val="28"/>
          <w:lang w:val="es-ES_tradnl"/>
        </w:rPr>
        <w:t xml:space="preserve">Voto concurrente en relación con el </w:t>
      </w:r>
      <w:r w:rsidR="00091699" w:rsidRPr="00C349AC">
        <w:rPr>
          <w:rFonts w:ascii="Arial" w:hAnsi="Arial" w:cs="Arial"/>
          <w:b/>
          <w:bCs/>
          <w:color w:val="000000" w:themeColor="text1"/>
          <w:sz w:val="28"/>
          <w:szCs w:val="28"/>
          <w:lang w:val="es-ES_tradnl"/>
        </w:rPr>
        <w:t>considerando Sexto (estudio de fondo)</w:t>
      </w:r>
    </w:p>
    <w:p w14:paraId="786FDDE9" w14:textId="76A13890" w:rsidR="005D53E3" w:rsidRPr="00C349AC" w:rsidRDefault="005D53E3" w:rsidP="00556E9F">
      <w:pPr>
        <w:spacing w:after="0" w:line="360" w:lineRule="auto"/>
        <w:jc w:val="both"/>
        <w:rPr>
          <w:rFonts w:ascii="Arial" w:hAnsi="Arial" w:cs="Arial"/>
          <w:b/>
          <w:bCs/>
          <w:color w:val="000000" w:themeColor="text1"/>
          <w:sz w:val="28"/>
          <w:szCs w:val="28"/>
          <w:lang w:val="es-ES_tradnl"/>
        </w:rPr>
      </w:pPr>
    </w:p>
    <w:p w14:paraId="27E04BE1" w14:textId="77777777" w:rsidR="00FA2F60" w:rsidRPr="00C349AC" w:rsidRDefault="00FA2F60" w:rsidP="00556E9F">
      <w:pPr>
        <w:pStyle w:val="Prrafodelista"/>
        <w:numPr>
          <w:ilvl w:val="0"/>
          <w:numId w:val="3"/>
        </w:numPr>
        <w:spacing w:after="0" w:line="360" w:lineRule="auto"/>
        <w:jc w:val="both"/>
        <w:rPr>
          <w:rFonts w:ascii="Arial" w:hAnsi="Arial" w:cs="Arial"/>
          <w:b/>
          <w:bCs/>
          <w:color w:val="000000" w:themeColor="text1"/>
          <w:sz w:val="28"/>
          <w:szCs w:val="28"/>
          <w:lang w:val="es-ES_tradnl"/>
        </w:rPr>
      </w:pPr>
      <w:r w:rsidRPr="00C349AC">
        <w:rPr>
          <w:rFonts w:ascii="Arial" w:hAnsi="Arial" w:cs="Arial"/>
          <w:b/>
          <w:bCs/>
          <w:color w:val="000000" w:themeColor="text1"/>
          <w:sz w:val="28"/>
          <w:szCs w:val="28"/>
          <w:lang w:val="es-ES_tradnl"/>
        </w:rPr>
        <w:t>Tema 1. C</w:t>
      </w:r>
      <w:r w:rsidR="005D53E3" w:rsidRPr="00C349AC">
        <w:rPr>
          <w:rFonts w:ascii="Arial" w:hAnsi="Arial" w:cs="Arial"/>
          <w:b/>
          <w:bCs/>
          <w:color w:val="000000" w:themeColor="text1"/>
          <w:sz w:val="28"/>
          <w:szCs w:val="28"/>
          <w:lang w:val="es-ES_tradnl"/>
        </w:rPr>
        <w:t>onstitucionalidad del Capítulo VIII, denominado “Registro Administrativo de Detenciones”</w:t>
      </w:r>
      <w:r w:rsidRPr="00C349AC">
        <w:rPr>
          <w:rFonts w:ascii="Arial" w:hAnsi="Arial" w:cs="Arial"/>
          <w:b/>
          <w:bCs/>
          <w:color w:val="000000" w:themeColor="text1"/>
          <w:sz w:val="28"/>
          <w:szCs w:val="28"/>
          <w:lang w:val="es-ES_tradnl"/>
        </w:rPr>
        <w:t xml:space="preserve">. </w:t>
      </w:r>
    </w:p>
    <w:p w14:paraId="4B8C9E0C" w14:textId="77777777" w:rsidR="00FA2F60" w:rsidRPr="00C349AC" w:rsidRDefault="00FA2F60" w:rsidP="00556E9F">
      <w:pPr>
        <w:spacing w:after="0" w:line="360" w:lineRule="auto"/>
        <w:jc w:val="both"/>
        <w:rPr>
          <w:rFonts w:ascii="Arial" w:hAnsi="Arial" w:cs="Arial"/>
          <w:color w:val="000000" w:themeColor="text1"/>
          <w:sz w:val="28"/>
          <w:szCs w:val="28"/>
          <w:lang w:val="es-ES_tradnl"/>
        </w:rPr>
      </w:pPr>
    </w:p>
    <w:p w14:paraId="457585B0" w14:textId="731F395F" w:rsidR="005D53E3" w:rsidRPr="00C349AC" w:rsidRDefault="00FA2F60" w:rsidP="00556E9F">
      <w:pPr>
        <w:spacing w:after="0" w:line="360" w:lineRule="auto"/>
        <w:jc w:val="both"/>
        <w:rPr>
          <w:rFonts w:ascii="Arial" w:hAnsi="Arial" w:cs="Arial"/>
          <w:b/>
          <w:bCs/>
          <w:color w:val="000000" w:themeColor="text1"/>
          <w:sz w:val="28"/>
          <w:szCs w:val="28"/>
          <w:lang w:val="es-ES_tradnl"/>
        </w:rPr>
      </w:pPr>
      <w:r w:rsidRPr="00C349AC">
        <w:rPr>
          <w:rFonts w:ascii="Arial" w:hAnsi="Arial" w:cs="Arial"/>
          <w:color w:val="000000" w:themeColor="text1"/>
          <w:sz w:val="28"/>
          <w:szCs w:val="28"/>
          <w:lang w:val="es-ES_tradnl"/>
        </w:rPr>
        <w:t xml:space="preserve">En su demanda, la CNDH argumentó </w:t>
      </w:r>
      <w:r w:rsidR="005D53E3" w:rsidRPr="00C349AC">
        <w:rPr>
          <w:rFonts w:ascii="Arial" w:hAnsi="Arial" w:cs="Arial"/>
          <w:color w:val="000000" w:themeColor="text1"/>
          <w:sz w:val="28"/>
          <w:szCs w:val="28"/>
          <w:lang w:val="es-ES_tradnl"/>
        </w:rPr>
        <w:t>que los artículos 148 a 155 de la Ley del Sistema de Seguridad Ciudadana de la Ciudad de México</w:t>
      </w:r>
      <w:r w:rsidR="00556E9F" w:rsidRPr="00C349AC">
        <w:rPr>
          <w:rFonts w:ascii="Arial" w:hAnsi="Arial" w:cs="Arial"/>
          <w:color w:val="000000" w:themeColor="text1"/>
          <w:sz w:val="28"/>
          <w:szCs w:val="28"/>
          <w:lang w:val="es-ES_tradnl"/>
        </w:rPr>
        <w:t xml:space="preserve"> </w:t>
      </w:r>
      <w:r w:rsidR="00B60AB9" w:rsidRPr="00C349AC">
        <w:rPr>
          <w:rFonts w:ascii="Arial" w:hAnsi="Arial" w:cs="Arial"/>
          <w:color w:val="000000" w:themeColor="text1"/>
          <w:sz w:val="28"/>
          <w:szCs w:val="28"/>
          <w:lang w:val="es-ES_tradnl"/>
        </w:rPr>
        <w:t>(</w:t>
      </w:r>
      <w:r w:rsidRPr="00C349AC">
        <w:rPr>
          <w:rFonts w:ascii="Arial" w:hAnsi="Arial" w:cs="Arial"/>
          <w:color w:val="000000" w:themeColor="text1"/>
          <w:sz w:val="28"/>
          <w:szCs w:val="28"/>
          <w:lang w:val="es-ES_tradnl"/>
        </w:rPr>
        <w:t>los cuales se refieren al “Registro Administrativo de Detenciones”</w:t>
      </w:r>
      <w:r w:rsidR="00B60AB9" w:rsidRPr="00C349AC">
        <w:rPr>
          <w:rFonts w:ascii="Arial" w:hAnsi="Arial" w:cs="Arial"/>
          <w:color w:val="000000" w:themeColor="text1"/>
          <w:sz w:val="28"/>
          <w:szCs w:val="28"/>
          <w:lang w:val="es-ES_tradnl"/>
        </w:rPr>
        <w:t>)</w:t>
      </w:r>
      <w:r w:rsidRPr="00C349AC">
        <w:rPr>
          <w:rFonts w:ascii="Arial" w:hAnsi="Arial" w:cs="Arial"/>
          <w:color w:val="000000" w:themeColor="text1"/>
          <w:sz w:val="28"/>
          <w:szCs w:val="28"/>
          <w:lang w:val="es-ES_tradnl"/>
        </w:rPr>
        <w:t xml:space="preserve"> son inconstitucionales pues </w:t>
      </w:r>
      <w:r w:rsidR="005D53E3" w:rsidRPr="00C349AC">
        <w:rPr>
          <w:rFonts w:ascii="Arial" w:hAnsi="Arial" w:cs="Arial"/>
          <w:color w:val="000000" w:themeColor="text1"/>
          <w:sz w:val="28"/>
          <w:szCs w:val="28"/>
          <w:lang w:val="es-ES_tradnl"/>
        </w:rPr>
        <w:t xml:space="preserve">el legislador </w:t>
      </w:r>
      <w:r w:rsidRPr="00C349AC">
        <w:rPr>
          <w:rFonts w:ascii="Arial" w:hAnsi="Arial" w:cs="Arial"/>
          <w:color w:val="000000" w:themeColor="text1"/>
          <w:sz w:val="28"/>
          <w:szCs w:val="28"/>
          <w:lang w:val="es-ES_tradnl"/>
        </w:rPr>
        <w:t>capitalino</w:t>
      </w:r>
      <w:r w:rsidR="005D53E3" w:rsidRPr="00C349AC">
        <w:rPr>
          <w:rFonts w:ascii="Arial" w:hAnsi="Arial" w:cs="Arial"/>
          <w:color w:val="000000" w:themeColor="text1"/>
          <w:sz w:val="28"/>
          <w:szCs w:val="28"/>
          <w:lang w:val="es-ES_tradnl"/>
        </w:rPr>
        <w:t xml:space="preserve"> carece de competencia </w:t>
      </w:r>
      <w:r w:rsidR="005D53E3" w:rsidRPr="00C349AC">
        <w:rPr>
          <w:rFonts w:ascii="Arial" w:hAnsi="Arial" w:cs="Arial"/>
          <w:color w:val="000000" w:themeColor="text1"/>
          <w:sz w:val="28"/>
          <w:szCs w:val="28"/>
          <w:lang w:val="es-ES_tradnl"/>
        </w:rPr>
        <w:lastRenderedPageBreak/>
        <w:t xml:space="preserve">para legislar </w:t>
      </w:r>
      <w:r w:rsidRPr="00C349AC">
        <w:rPr>
          <w:rFonts w:ascii="Arial" w:hAnsi="Arial" w:cs="Arial"/>
          <w:color w:val="000000" w:themeColor="text1"/>
          <w:sz w:val="28"/>
          <w:szCs w:val="28"/>
          <w:lang w:val="es-ES_tradnl"/>
        </w:rPr>
        <w:t xml:space="preserve">al respecto, </w:t>
      </w:r>
      <w:r w:rsidR="005D53E3" w:rsidRPr="00C349AC">
        <w:rPr>
          <w:rFonts w:ascii="Arial" w:hAnsi="Arial" w:cs="Arial"/>
          <w:color w:val="000000" w:themeColor="text1"/>
          <w:sz w:val="28"/>
          <w:szCs w:val="28"/>
          <w:lang w:val="es-ES_tradnl"/>
        </w:rPr>
        <w:t xml:space="preserve">al ser una facultad exclusiva del Congreso de la Unión.   </w:t>
      </w:r>
    </w:p>
    <w:p w14:paraId="489693B1" w14:textId="77777777" w:rsidR="005D53E3" w:rsidRPr="00C349AC" w:rsidRDefault="005D53E3" w:rsidP="00556E9F">
      <w:pPr>
        <w:spacing w:after="0" w:line="360" w:lineRule="auto"/>
        <w:ind w:firstLine="709"/>
        <w:jc w:val="both"/>
        <w:rPr>
          <w:rFonts w:ascii="Arial" w:hAnsi="Arial" w:cs="Arial"/>
          <w:color w:val="000000" w:themeColor="text1"/>
          <w:sz w:val="28"/>
          <w:szCs w:val="28"/>
          <w:lang w:val="es-ES_tradnl"/>
        </w:rPr>
      </w:pPr>
    </w:p>
    <w:p w14:paraId="53ACD693" w14:textId="0C5A9E78" w:rsidR="005D53E3" w:rsidRPr="00C349AC" w:rsidRDefault="00FA2F60" w:rsidP="00556E9F">
      <w:pPr>
        <w:spacing w:after="0" w:line="360" w:lineRule="auto"/>
        <w:ind w:firstLine="709"/>
        <w:jc w:val="both"/>
        <w:rPr>
          <w:rFonts w:ascii="Arial" w:hAnsi="Arial" w:cs="Arial"/>
          <w:color w:val="000000" w:themeColor="text1"/>
          <w:sz w:val="28"/>
          <w:szCs w:val="28"/>
        </w:rPr>
      </w:pPr>
      <w:r w:rsidRPr="00C349AC">
        <w:rPr>
          <w:rFonts w:ascii="Arial" w:hAnsi="Arial" w:cs="Arial"/>
          <w:color w:val="000000" w:themeColor="text1"/>
          <w:sz w:val="28"/>
          <w:szCs w:val="28"/>
          <w:lang w:val="es-ES_tradnl"/>
        </w:rPr>
        <w:t xml:space="preserve">El </w:t>
      </w:r>
      <w:r w:rsidR="005D53E3" w:rsidRPr="00C349AC">
        <w:rPr>
          <w:rFonts w:ascii="Arial" w:hAnsi="Arial" w:cs="Arial"/>
          <w:color w:val="000000" w:themeColor="text1"/>
          <w:sz w:val="28"/>
          <w:szCs w:val="28"/>
          <w:lang w:val="es-ES_tradnl"/>
        </w:rPr>
        <w:t xml:space="preserve">proyecto presentado y discutido en la sesión proponía reconocer la validez de dichos preceptos, bajo el argumento de que el Congreso de la Ciudad de México cuenta con </w:t>
      </w:r>
      <w:r w:rsidR="005D53E3" w:rsidRPr="00C349AC">
        <w:rPr>
          <w:rFonts w:ascii="Arial" w:hAnsi="Arial" w:cs="Arial"/>
          <w:i/>
          <w:iCs/>
          <w:color w:val="000000" w:themeColor="text1"/>
          <w:sz w:val="28"/>
          <w:szCs w:val="28"/>
          <w:lang w:val="es-ES_tradnl"/>
        </w:rPr>
        <w:t>facultades concurrentes</w:t>
      </w:r>
      <w:r w:rsidR="005D53E3" w:rsidRPr="00C349AC">
        <w:rPr>
          <w:rFonts w:ascii="Arial" w:hAnsi="Arial" w:cs="Arial"/>
          <w:color w:val="000000" w:themeColor="text1"/>
          <w:sz w:val="28"/>
          <w:szCs w:val="28"/>
          <w:lang w:val="es-ES_tradnl"/>
        </w:rPr>
        <w:t xml:space="preserve"> </w:t>
      </w:r>
      <w:r w:rsidR="005D53E3" w:rsidRPr="00C349AC">
        <w:rPr>
          <w:rFonts w:ascii="Arial" w:hAnsi="Arial" w:cs="Arial"/>
          <w:color w:val="000000" w:themeColor="text1"/>
          <w:sz w:val="28"/>
          <w:szCs w:val="28"/>
        </w:rPr>
        <w:t>para legislar en materia de registro de detenciones, así como para emitir las disposiciones que estime pertinentes en la integración del Registro Nacional</w:t>
      </w:r>
      <w:r w:rsidR="005D53E3" w:rsidRPr="00C349AC">
        <w:rPr>
          <w:rStyle w:val="Refdenotaalpie"/>
          <w:rFonts w:ascii="Arial" w:hAnsi="Arial" w:cs="Arial"/>
          <w:color w:val="000000" w:themeColor="text1"/>
          <w:sz w:val="28"/>
          <w:szCs w:val="28"/>
        </w:rPr>
        <w:footnoteReference w:id="13"/>
      </w:r>
      <w:r w:rsidR="001059F7">
        <w:rPr>
          <w:rFonts w:ascii="Arial" w:hAnsi="Arial" w:cs="Arial"/>
          <w:color w:val="000000" w:themeColor="text1"/>
          <w:sz w:val="28"/>
          <w:szCs w:val="28"/>
        </w:rPr>
        <w:t>.</w:t>
      </w:r>
      <w:r w:rsidR="005D53E3" w:rsidRPr="00C349AC">
        <w:rPr>
          <w:rFonts w:ascii="Arial" w:hAnsi="Arial" w:cs="Arial"/>
          <w:color w:val="000000" w:themeColor="text1"/>
          <w:sz w:val="28"/>
          <w:szCs w:val="28"/>
        </w:rPr>
        <w:t xml:space="preserve"> </w:t>
      </w:r>
    </w:p>
    <w:p w14:paraId="28B0A71C" w14:textId="77777777" w:rsidR="005D53E3" w:rsidRPr="00C349AC" w:rsidRDefault="005D53E3" w:rsidP="00556E9F">
      <w:pPr>
        <w:spacing w:after="0" w:line="360" w:lineRule="auto"/>
        <w:ind w:firstLine="709"/>
        <w:jc w:val="both"/>
        <w:rPr>
          <w:rFonts w:ascii="Arial" w:hAnsi="Arial" w:cs="Arial"/>
          <w:color w:val="000000" w:themeColor="text1"/>
          <w:sz w:val="28"/>
          <w:szCs w:val="28"/>
        </w:rPr>
      </w:pPr>
    </w:p>
    <w:p w14:paraId="1C07B19E" w14:textId="39CB5FDC" w:rsidR="005D53E3" w:rsidRPr="00C349AC" w:rsidRDefault="00556E9F" w:rsidP="00556E9F">
      <w:pPr>
        <w:spacing w:after="0" w:line="360" w:lineRule="auto"/>
        <w:ind w:firstLine="709"/>
        <w:jc w:val="both"/>
        <w:rPr>
          <w:rFonts w:ascii="Arial" w:hAnsi="Arial" w:cs="Arial"/>
          <w:color w:val="000000" w:themeColor="text1"/>
          <w:sz w:val="28"/>
          <w:szCs w:val="28"/>
        </w:rPr>
      </w:pPr>
      <w:r w:rsidRPr="00C349AC">
        <w:rPr>
          <w:rFonts w:ascii="Arial" w:hAnsi="Arial" w:cs="Arial"/>
          <w:color w:val="000000" w:themeColor="text1"/>
          <w:sz w:val="28"/>
          <w:szCs w:val="28"/>
        </w:rPr>
        <w:t>No obstante</w:t>
      </w:r>
      <w:r w:rsidR="00FA2F60" w:rsidRPr="00C349AC">
        <w:rPr>
          <w:rFonts w:ascii="Arial" w:hAnsi="Arial" w:cs="Arial"/>
          <w:color w:val="000000" w:themeColor="text1"/>
          <w:sz w:val="28"/>
          <w:szCs w:val="28"/>
        </w:rPr>
        <w:t xml:space="preserve">, </w:t>
      </w:r>
      <w:r w:rsidR="005D53E3" w:rsidRPr="00C349AC">
        <w:rPr>
          <w:rFonts w:ascii="Arial" w:hAnsi="Arial" w:cs="Arial"/>
          <w:color w:val="000000" w:themeColor="text1"/>
          <w:sz w:val="28"/>
          <w:szCs w:val="28"/>
        </w:rPr>
        <w:t>una mayoría de siete Ministras y Ministros votamos en</w:t>
      </w:r>
      <w:r w:rsidR="00FA2F60" w:rsidRPr="00C349AC">
        <w:rPr>
          <w:rFonts w:ascii="Arial" w:hAnsi="Arial" w:cs="Arial"/>
          <w:color w:val="000000" w:themeColor="text1"/>
          <w:sz w:val="28"/>
          <w:szCs w:val="28"/>
        </w:rPr>
        <w:t xml:space="preserve"> contra de la propuesta y por considerar </w:t>
      </w:r>
      <w:r w:rsidR="005D53E3" w:rsidRPr="00C349AC">
        <w:rPr>
          <w:rFonts w:ascii="Arial" w:hAnsi="Arial" w:cs="Arial"/>
          <w:color w:val="000000" w:themeColor="text1"/>
          <w:sz w:val="28"/>
          <w:szCs w:val="28"/>
        </w:rPr>
        <w:t>que los artículos referidos sí eran inconstitucionales</w:t>
      </w:r>
      <w:r w:rsidR="00FA2F60" w:rsidRPr="00C349AC">
        <w:rPr>
          <w:rFonts w:ascii="Arial" w:hAnsi="Arial" w:cs="Arial"/>
          <w:color w:val="000000" w:themeColor="text1"/>
          <w:sz w:val="28"/>
          <w:szCs w:val="28"/>
        </w:rPr>
        <w:t xml:space="preserve"> por violar la competencia exclusiva del Congreso de la Unión para legislar sobre registros de detenciones</w:t>
      </w:r>
      <w:r w:rsidR="00FA2F60" w:rsidRPr="00C349AC">
        <w:rPr>
          <w:rStyle w:val="Refdenotaalpie"/>
          <w:rFonts w:ascii="Arial" w:hAnsi="Arial" w:cs="Arial"/>
          <w:color w:val="000000" w:themeColor="text1"/>
          <w:sz w:val="28"/>
          <w:szCs w:val="28"/>
        </w:rPr>
        <w:footnoteReference w:id="14"/>
      </w:r>
      <w:r w:rsidR="005D53E3" w:rsidRPr="00C349AC">
        <w:rPr>
          <w:rFonts w:ascii="Arial" w:hAnsi="Arial" w:cs="Arial"/>
          <w:color w:val="000000" w:themeColor="text1"/>
          <w:sz w:val="28"/>
          <w:szCs w:val="28"/>
        </w:rPr>
        <w:t xml:space="preserve">. </w:t>
      </w:r>
      <w:r w:rsidR="00FA2F60" w:rsidRPr="00C349AC">
        <w:rPr>
          <w:rFonts w:ascii="Arial" w:hAnsi="Arial" w:cs="Arial"/>
          <w:color w:val="000000" w:themeColor="text1"/>
          <w:sz w:val="28"/>
          <w:szCs w:val="28"/>
        </w:rPr>
        <w:t>Sin embargo, al no haberse</w:t>
      </w:r>
      <w:r w:rsidR="005D53E3" w:rsidRPr="00C349AC">
        <w:rPr>
          <w:rFonts w:ascii="Arial" w:hAnsi="Arial" w:cs="Arial"/>
          <w:color w:val="000000" w:themeColor="text1"/>
          <w:sz w:val="28"/>
          <w:szCs w:val="28"/>
        </w:rPr>
        <w:t xml:space="preserve"> alcanz</w:t>
      </w:r>
      <w:r w:rsidR="00FA2F60" w:rsidRPr="00C349AC">
        <w:rPr>
          <w:rFonts w:ascii="Arial" w:hAnsi="Arial" w:cs="Arial"/>
          <w:color w:val="000000" w:themeColor="text1"/>
          <w:sz w:val="28"/>
          <w:szCs w:val="28"/>
        </w:rPr>
        <w:t>ado</w:t>
      </w:r>
      <w:r w:rsidR="005D53E3" w:rsidRPr="00C349AC">
        <w:rPr>
          <w:rFonts w:ascii="Arial" w:hAnsi="Arial" w:cs="Arial"/>
          <w:color w:val="000000" w:themeColor="text1"/>
          <w:sz w:val="28"/>
          <w:szCs w:val="28"/>
        </w:rPr>
        <w:t xml:space="preserve"> la mayoría calificada de ocho votos</w:t>
      </w:r>
      <w:r w:rsidR="00FA2F60" w:rsidRPr="00C349AC">
        <w:rPr>
          <w:rFonts w:ascii="Arial" w:hAnsi="Arial" w:cs="Arial"/>
          <w:color w:val="000000" w:themeColor="text1"/>
          <w:sz w:val="28"/>
          <w:szCs w:val="28"/>
        </w:rPr>
        <w:t xml:space="preserve"> que exige el artículo </w:t>
      </w:r>
      <w:r w:rsidR="001B5A1F" w:rsidRPr="00C349AC">
        <w:rPr>
          <w:rFonts w:ascii="Arial" w:hAnsi="Arial" w:cs="Arial"/>
          <w:color w:val="000000" w:themeColor="text1"/>
          <w:sz w:val="28"/>
          <w:szCs w:val="28"/>
        </w:rPr>
        <w:t>105</w:t>
      </w:r>
      <w:r w:rsidR="00FA2F60" w:rsidRPr="00C349AC">
        <w:rPr>
          <w:rFonts w:ascii="Arial" w:hAnsi="Arial" w:cs="Arial"/>
          <w:color w:val="000000" w:themeColor="text1"/>
          <w:sz w:val="28"/>
          <w:szCs w:val="28"/>
        </w:rPr>
        <w:t xml:space="preserve"> de la Constitución</w:t>
      </w:r>
      <w:r w:rsidR="005D53E3" w:rsidRPr="00C349AC">
        <w:rPr>
          <w:rFonts w:ascii="Arial" w:hAnsi="Arial" w:cs="Arial"/>
          <w:color w:val="000000" w:themeColor="text1"/>
          <w:sz w:val="28"/>
          <w:szCs w:val="28"/>
        </w:rPr>
        <w:t xml:space="preserve"> para </w:t>
      </w:r>
      <w:r w:rsidR="00FA2F60" w:rsidRPr="00C349AC">
        <w:rPr>
          <w:rFonts w:ascii="Arial" w:hAnsi="Arial" w:cs="Arial"/>
          <w:color w:val="000000" w:themeColor="text1"/>
          <w:sz w:val="28"/>
          <w:szCs w:val="28"/>
        </w:rPr>
        <w:t>emitir</w:t>
      </w:r>
      <w:r w:rsidR="005D53E3" w:rsidRPr="00C349AC">
        <w:rPr>
          <w:rFonts w:ascii="Arial" w:hAnsi="Arial" w:cs="Arial"/>
          <w:color w:val="000000" w:themeColor="text1"/>
          <w:sz w:val="28"/>
          <w:szCs w:val="28"/>
        </w:rPr>
        <w:t xml:space="preserve"> una declaratoria general</w:t>
      </w:r>
      <w:r w:rsidR="00B60AB9" w:rsidRPr="00C349AC">
        <w:rPr>
          <w:rFonts w:ascii="Arial" w:hAnsi="Arial" w:cs="Arial"/>
          <w:color w:val="000000" w:themeColor="text1"/>
          <w:sz w:val="28"/>
          <w:szCs w:val="28"/>
        </w:rPr>
        <w:t xml:space="preserve"> de inconstitucionalidad</w:t>
      </w:r>
      <w:r w:rsidR="005D53E3" w:rsidRPr="00C349AC">
        <w:rPr>
          <w:rFonts w:ascii="Arial" w:hAnsi="Arial" w:cs="Arial"/>
          <w:color w:val="000000" w:themeColor="text1"/>
          <w:sz w:val="28"/>
          <w:szCs w:val="28"/>
        </w:rPr>
        <w:t xml:space="preserve">, </w:t>
      </w:r>
      <w:r w:rsidR="00FA2F60" w:rsidRPr="00C349AC">
        <w:rPr>
          <w:rFonts w:ascii="Arial" w:hAnsi="Arial" w:cs="Arial"/>
          <w:color w:val="000000" w:themeColor="text1"/>
          <w:sz w:val="28"/>
          <w:szCs w:val="28"/>
        </w:rPr>
        <w:t xml:space="preserve">la acción se </w:t>
      </w:r>
      <w:r w:rsidR="00FA2F60" w:rsidRPr="00C349AC">
        <w:rPr>
          <w:rFonts w:ascii="Arial" w:hAnsi="Arial" w:cs="Arial"/>
          <w:i/>
          <w:iCs/>
          <w:color w:val="000000" w:themeColor="text1"/>
          <w:sz w:val="28"/>
          <w:szCs w:val="28"/>
        </w:rPr>
        <w:t>desestimó</w:t>
      </w:r>
      <w:r w:rsidR="00FA2F60" w:rsidRPr="00C349AC">
        <w:rPr>
          <w:rFonts w:ascii="Arial" w:hAnsi="Arial" w:cs="Arial"/>
          <w:color w:val="000000" w:themeColor="text1"/>
          <w:sz w:val="28"/>
          <w:szCs w:val="28"/>
        </w:rPr>
        <w:t xml:space="preserve"> en este punto. </w:t>
      </w:r>
    </w:p>
    <w:p w14:paraId="3A8658B6" w14:textId="4F06212C" w:rsidR="00FA2F60" w:rsidRPr="00C349AC" w:rsidRDefault="00FA2F60" w:rsidP="00556E9F">
      <w:pPr>
        <w:spacing w:after="0" w:line="360" w:lineRule="auto"/>
        <w:ind w:firstLine="709"/>
        <w:jc w:val="both"/>
        <w:rPr>
          <w:rFonts w:ascii="Arial" w:hAnsi="Arial" w:cs="Arial"/>
          <w:color w:val="000000" w:themeColor="text1"/>
          <w:sz w:val="28"/>
          <w:szCs w:val="28"/>
        </w:rPr>
      </w:pPr>
    </w:p>
    <w:p w14:paraId="393373C5" w14:textId="33A7762C" w:rsidR="00FA2F60" w:rsidRPr="00C349AC" w:rsidRDefault="001B5A1F" w:rsidP="00556E9F">
      <w:pPr>
        <w:spacing w:after="0" w:line="360" w:lineRule="auto"/>
        <w:ind w:firstLine="709"/>
        <w:jc w:val="both"/>
        <w:rPr>
          <w:rFonts w:ascii="Arial" w:hAnsi="Arial" w:cs="Arial"/>
          <w:color w:val="000000" w:themeColor="text1"/>
          <w:sz w:val="28"/>
          <w:szCs w:val="28"/>
        </w:rPr>
      </w:pPr>
      <w:r w:rsidRPr="00C349AC">
        <w:rPr>
          <w:rFonts w:ascii="Arial" w:hAnsi="Arial" w:cs="Arial"/>
          <w:color w:val="000000" w:themeColor="text1"/>
          <w:sz w:val="28"/>
          <w:szCs w:val="28"/>
        </w:rPr>
        <w:t>En ese orden de ideas</w:t>
      </w:r>
      <w:r w:rsidR="00FA2F60" w:rsidRPr="00C349AC">
        <w:rPr>
          <w:rFonts w:ascii="Arial" w:hAnsi="Arial" w:cs="Arial"/>
          <w:color w:val="000000" w:themeColor="text1"/>
          <w:sz w:val="28"/>
          <w:szCs w:val="28"/>
        </w:rPr>
        <w:t xml:space="preserve">, </w:t>
      </w:r>
      <w:r w:rsidR="00BB35C7" w:rsidRPr="00C349AC">
        <w:rPr>
          <w:rFonts w:ascii="Arial" w:hAnsi="Arial" w:cs="Arial"/>
          <w:color w:val="000000" w:themeColor="text1"/>
          <w:sz w:val="28"/>
          <w:szCs w:val="28"/>
        </w:rPr>
        <w:t>formulo</w:t>
      </w:r>
      <w:r w:rsidR="00FA2F60" w:rsidRPr="00C349AC">
        <w:rPr>
          <w:rFonts w:ascii="Arial" w:hAnsi="Arial" w:cs="Arial"/>
          <w:color w:val="000000" w:themeColor="text1"/>
          <w:sz w:val="28"/>
          <w:szCs w:val="28"/>
        </w:rPr>
        <w:t xml:space="preserve"> este voto a fin de explicar por qué razón, a mi juicio, los artículos 148 a 155 de la Ley impugnada </w:t>
      </w:r>
      <w:r w:rsidR="00B60AB9" w:rsidRPr="00C349AC">
        <w:rPr>
          <w:rFonts w:ascii="Arial" w:hAnsi="Arial" w:cs="Arial"/>
          <w:color w:val="000000" w:themeColor="text1"/>
          <w:sz w:val="28"/>
          <w:szCs w:val="28"/>
        </w:rPr>
        <w:t xml:space="preserve">sí </w:t>
      </w:r>
      <w:r w:rsidR="00FA2F60" w:rsidRPr="00C349AC">
        <w:rPr>
          <w:rFonts w:ascii="Arial" w:hAnsi="Arial" w:cs="Arial"/>
          <w:color w:val="000000" w:themeColor="text1"/>
          <w:sz w:val="28"/>
          <w:szCs w:val="28"/>
        </w:rPr>
        <w:t xml:space="preserve">son inconstitucionales. </w:t>
      </w:r>
    </w:p>
    <w:p w14:paraId="22595C56" w14:textId="59381ED1" w:rsidR="00FA2F60" w:rsidRPr="00C349AC" w:rsidRDefault="00FA2F60" w:rsidP="00556E9F">
      <w:pPr>
        <w:spacing w:after="0" w:line="360" w:lineRule="auto"/>
        <w:ind w:firstLine="709"/>
        <w:jc w:val="both"/>
        <w:rPr>
          <w:rFonts w:ascii="Arial" w:hAnsi="Arial" w:cs="Arial"/>
          <w:color w:val="000000" w:themeColor="text1"/>
          <w:sz w:val="28"/>
          <w:szCs w:val="28"/>
        </w:rPr>
      </w:pPr>
    </w:p>
    <w:p w14:paraId="50615302" w14:textId="6127129E" w:rsidR="00556E9F" w:rsidRPr="00C349AC" w:rsidRDefault="00FA2F60" w:rsidP="00556E9F">
      <w:pPr>
        <w:spacing w:after="0" w:line="360" w:lineRule="auto"/>
        <w:ind w:firstLine="709"/>
        <w:jc w:val="both"/>
        <w:rPr>
          <w:rFonts w:ascii="Arial" w:hAnsi="Arial" w:cs="Arial"/>
          <w:i/>
          <w:iCs/>
          <w:color w:val="000000" w:themeColor="text1"/>
          <w:sz w:val="28"/>
          <w:szCs w:val="28"/>
        </w:rPr>
      </w:pPr>
      <w:r w:rsidRPr="00C349AC">
        <w:rPr>
          <w:rFonts w:ascii="Arial" w:hAnsi="Arial" w:cs="Arial"/>
          <w:color w:val="000000" w:themeColor="text1"/>
          <w:sz w:val="28"/>
          <w:szCs w:val="28"/>
        </w:rPr>
        <w:lastRenderedPageBreak/>
        <w:t>Como sostuve en la acción de inconstitucionalidad 79/2019</w:t>
      </w:r>
      <w:r w:rsidRPr="00C349AC">
        <w:rPr>
          <w:rStyle w:val="Refdenotaalpie"/>
          <w:rFonts w:ascii="Arial" w:hAnsi="Arial" w:cs="Arial"/>
          <w:color w:val="000000" w:themeColor="text1"/>
          <w:sz w:val="28"/>
          <w:szCs w:val="28"/>
        </w:rPr>
        <w:footnoteReference w:id="15"/>
      </w:r>
      <w:r w:rsidRPr="00C349AC">
        <w:rPr>
          <w:rFonts w:ascii="Arial" w:hAnsi="Arial" w:cs="Arial"/>
          <w:color w:val="000000" w:themeColor="text1"/>
          <w:sz w:val="28"/>
          <w:szCs w:val="28"/>
        </w:rPr>
        <w:t xml:space="preserve">, el </w:t>
      </w:r>
      <w:r w:rsidR="008D7D01" w:rsidRPr="00C349AC">
        <w:rPr>
          <w:rFonts w:ascii="Arial" w:hAnsi="Arial" w:cs="Arial"/>
          <w:color w:val="000000" w:themeColor="text1"/>
          <w:sz w:val="28"/>
          <w:szCs w:val="28"/>
        </w:rPr>
        <w:t>veintisiete</w:t>
      </w:r>
      <w:r w:rsidRPr="00C349AC">
        <w:rPr>
          <w:rFonts w:ascii="Arial" w:hAnsi="Arial" w:cs="Arial"/>
          <w:color w:val="000000" w:themeColor="text1"/>
          <w:sz w:val="28"/>
          <w:szCs w:val="28"/>
        </w:rPr>
        <w:t xml:space="preserve"> de marzo de </w:t>
      </w:r>
      <w:r w:rsidR="008D7D01" w:rsidRPr="00C349AC">
        <w:rPr>
          <w:rFonts w:ascii="Arial" w:hAnsi="Arial" w:cs="Arial"/>
          <w:color w:val="000000" w:themeColor="text1"/>
          <w:sz w:val="28"/>
          <w:szCs w:val="28"/>
        </w:rPr>
        <w:t>dos mil diecinueve</w:t>
      </w:r>
      <w:r w:rsidRPr="00C349AC">
        <w:rPr>
          <w:rFonts w:ascii="Arial" w:hAnsi="Arial" w:cs="Arial"/>
          <w:color w:val="000000" w:themeColor="text1"/>
          <w:sz w:val="28"/>
          <w:szCs w:val="28"/>
        </w:rPr>
        <w:t xml:space="preserve"> entró en vigor la reforma al artículo 73, fracción XXIII, de la Constitución General, la cual le otorgó al Congreso de la Unión la </w:t>
      </w:r>
      <w:r w:rsidRPr="00C349AC">
        <w:rPr>
          <w:rFonts w:ascii="Arial" w:hAnsi="Arial" w:cs="Arial"/>
          <w:i/>
          <w:iCs/>
          <w:color w:val="000000" w:themeColor="text1"/>
          <w:sz w:val="28"/>
          <w:szCs w:val="28"/>
        </w:rPr>
        <w:t>facultad exclusiva</w:t>
      </w:r>
      <w:r w:rsidRPr="00C349AC">
        <w:rPr>
          <w:rFonts w:ascii="Arial" w:hAnsi="Arial" w:cs="Arial"/>
          <w:color w:val="000000" w:themeColor="text1"/>
          <w:sz w:val="28"/>
          <w:szCs w:val="28"/>
        </w:rPr>
        <w:t xml:space="preserve"> para emitir la Ley Nacional del Registro Nacional de Detenciones</w:t>
      </w:r>
      <w:r w:rsidRPr="00C349AC">
        <w:rPr>
          <w:rStyle w:val="Refdenotaalpie"/>
          <w:rFonts w:ascii="Arial" w:hAnsi="Arial" w:cs="Arial"/>
          <w:color w:val="000000" w:themeColor="text1"/>
          <w:sz w:val="28"/>
          <w:szCs w:val="28"/>
        </w:rPr>
        <w:footnoteReference w:id="16"/>
      </w:r>
      <w:r w:rsidR="00556E9F" w:rsidRPr="00C349AC">
        <w:rPr>
          <w:rFonts w:ascii="Arial" w:hAnsi="Arial" w:cs="Arial"/>
          <w:color w:val="000000" w:themeColor="text1"/>
          <w:sz w:val="28"/>
          <w:szCs w:val="28"/>
        </w:rPr>
        <w:t>; de</w:t>
      </w:r>
      <w:r w:rsidRPr="00C349AC">
        <w:rPr>
          <w:rFonts w:ascii="Arial" w:hAnsi="Arial" w:cs="Arial"/>
          <w:color w:val="000000" w:themeColor="text1"/>
          <w:sz w:val="28"/>
          <w:szCs w:val="28"/>
        </w:rPr>
        <w:t xml:space="preserve"> tal suerte que, </w:t>
      </w:r>
      <w:r w:rsidRPr="00C349AC">
        <w:rPr>
          <w:rFonts w:ascii="Arial" w:hAnsi="Arial" w:cs="Arial"/>
          <w:i/>
          <w:iCs/>
          <w:color w:val="000000" w:themeColor="text1"/>
          <w:sz w:val="28"/>
          <w:szCs w:val="28"/>
        </w:rPr>
        <w:t xml:space="preserve">a partir de esa fecha, los Estados perdieron facultades para legislar en esta materia. </w:t>
      </w:r>
    </w:p>
    <w:p w14:paraId="46AEA04E" w14:textId="77777777" w:rsidR="00556E9F" w:rsidRPr="00C349AC" w:rsidRDefault="00556E9F" w:rsidP="00556E9F">
      <w:pPr>
        <w:spacing w:after="0" w:line="360" w:lineRule="auto"/>
        <w:ind w:firstLine="709"/>
        <w:jc w:val="both"/>
        <w:rPr>
          <w:rFonts w:ascii="Arial" w:hAnsi="Arial" w:cs="Arial"/>
          <w:color w:val="000000" w:themeColor="text1"/>
          <w:sz w:val="28"/>
          <w:szCs w:val="28"/>
        </w:rPr>
      </w:pPr>
    </w:p>
    <w:p w14:paraId="679CF9F0" w14:textId="6ADD2127" w:rsidR="00556E9F" w:rsidRPr="00C349AC" w:rsidRDefault="00FA2F60" w:rsidP="00556E9F">
      <w:pPr>
        <w:spacing w:after="0" w:line="360" w:lineRule="auto"/>
        <w:ind w:firstLine="709"/>
        <w:jc w:val="both"/>
        <w:rPr>
          <w:rFonts w:ascii="Arial" w:hAnsi="Arial" w:cs="Arial"/>
          <w:color w:val="000000" w:themeColor="text1"/>
          <w:sz w:val="28"/>
          <w:szCs w:val="28"/>
        </w:rPr>
      </w:pPr>
      <w:r w:rsidRPr="00C349AC">
        <w:rPr>
          <w:rFonts w:ascii="Arial" w:hAnsi="Arial" w:cs="Arial"/>
          <w:color w:val="000000" w:themeColor="text1"/>
          <w:sz w:val="28"/>
          <w:szCs w:val="28"/>
        </w:rPr>
        <w:t>En efecto, del dictamen de la Cámara de Senadores se advierte que la intención de la reforma era que un solo instrumento —refiriéndose al registro nacional— concentr</w:t>
      </w:r>
      <w:r w:rsidR="00556E9F" w:rsidRPr="00C349AC">
        <w:rPr>
          <w:rFonts w:ascii="Arial" w:hAnsi="Arial" w:cs="Arial"/>
          <w:color w:val="000000" w:themeColor="text1"/>
          <w:sz w:val="28"/>
          <w:szCs w:val="28"/>
        </w:rPr>
        <w:t>ara</w:t>
      </w:r>
      <w:r w:rsidRPr="00C349AC">
        <w:rPr>
          <w:rFonts w:ascii="Arial" w:hAnsi="Arial" w:cs="Arial"/>
          <w:color w:val="000000" w:themeColor="text1"/>
          <w:sz w:val="28"/>
          <w:szCs w:val="28"/>
        </w:rPr>
        <w:t xml:space="preserve"> la información de todas las detenciones que se realicen en el país, sean de carácter administrativo o penal. En ese sentido, el </w:t>
      </w:r>
      <w:r w:rsidR="008D7D01" w:rsidRPr="00C349AC">
        <w:rPr>
          <w:rFonts w:ascii="Arial" w:hAnsi="Arial" w:cs="Arial"/>
          <w:color w:val="000000" w:themeColor="text1"/>
          <w:sz w:val="28"/>
          <w:szCs w:val="28"/>
        </w:rPr>
        <w:t>veintisiete</w:t>
      </w:r>
      <w:r w:rsidR="00556E9F" w:rsidRPr="00C349AC">
        <w:rPr>
          <w:rFonts w:ascii="Arial" w:hAnsi="Arial" w:cs="Arial"/>
          <w:color w:val="000000" w:themeColor="text1"/>
          <w:sz w:val="28"/>
          <w:szCs w:val="28"/>
        </w:rPr>
        <w:t xml:space="preserve"> </w:t>
      </w:r>
      <w:r w:rsidRPr="00C349AC">
        <w:rPr>
          <w:rFonts w:ascii="Arial" w:hAnsi="Arial" w:cs="Arial"/>
          <w:color w:val="000000" w:themeColor="text1"/>
          <w:sz w:val="28"/>
          <w:szCs w:val="28"/>
        </w:rPr>
        <w:t xml:space="preserve">de mayo de </w:t>
      </w:r>
      <w:r w:rsidR="008D7D01" w:rsidRPr="00C349AC">
        <w:rPr>
          <w:rFonts w:ascii="Arial" w:hAnsi="Arial" w:cs="Arial"/>
          <w:color w:val="000000" w:themeColor="text1"/>
          <w:sz w:val="28"/>
          <w:szCs w:val="28"/>
        </w:rPr>
        <w:t>dos mil diecinueve</w:t>
      </w:r>
      <w:r w:rsidRPr="00C349AC">
        <w:rPr>
          <w:rFonts w:ascii="Arial" w:hAnsi="Arial" w:cs="Arial"/>
          <w:color w:val="000000" w:themeColor="text1"/>
          <w:sz w:val="28"/>
          <w:szCs w:val="28"/>
        </w:rPr>
        <w:t xml:space="preserve"> el Congreso de la Unión expidió la Ley Nacional de Registro de Detenciones</w:t>
      </w:r>
      <w:r w:rsidR="00556E9F" w:rsidRPr="00C349AC">
        <w:rPr>
          <w:rFonts w:ascii="Arial" w:hAnsi="Arial" w:cs="Arial"/>
          <w:color w:val="000000" w:themeColor="text1"/>
          <w:sz w:val="28"/>
          <w:szCs w:val="28"/>
        </w:rPr>
        <w:t xml:space="preserve">. </w:t>
      </w:r>
    </w:p>
    <w:p w14:paraId="42723ED5" w14:textId="77777777" w:rsidR="00556E9F" w:rsidRPr="00C349AC" w:rsidRDefault="00556E9F" w:rsidP="00556E9F">
      <w:pPr>
        <w:spacing w:after="0" w:line="360" w:lineRule="auto"/>
        <w:ind w:firstLine="709"/>
        <w:jc w:val="both"/>
        <w:rPr>
          <w:rFonts w:ascii="Arial" w:hAnsi="Arial" w:cs="Arial"/>
          <w:color w:val="000000" w:themeColor="text1"/>
          <w:sz w:val="28"/>
          <w:szCs w:val="28"/>
        </w:rPr>
      </w:pPr>
    </w:p>
    <w:p w14:paraId="5765E8DA" w14:textId="7376017F" w:rsidR="00556E9F" w:rsidRPr="00C349AC" w:rsidRDefault="00556E9F" w:rsidP="00556E9F">
      <w:pPr>
        <w:spacing w:after="0" w:line="360" w:lineRule="auto"/>
        <w:ind w:firstLine="709"/>
        <w:jc w:val="both"/>
        <w:rPr>
          <w:rFonts w:ascii="Arial" w:hAnsi="Arial" w:cs="Arial"/>
          <w:color w:val="000000" w:themeColor="text1"/>
          <w:sz w:val="28"/>
          <w:szCs w:val="28"/>
        </w:rPr>
      </w:pPr>
      <w:r w:rsidRPr="00C349AC">
        <w:rPr>
          <w:rFonts w:ascii="Arial" w:hAnsi="Arial" w:cs="Arial"/>
          <w:color w:val="000000" w:themeColor="text1"/>
          <w:sz w:val="28"/>
          <w:szCs w:val="28"/>
        </w:rPr>
        <w:t xml:space="preserve">Al respecto, es importante destacar que </w:t>
      </w:r>
      <w:r w:rsidR="00FA2F60" w:rsidRPr="00C349AC">
        <w:rPr>
          <w:rFonts w:ascii="Arial" w:hAnsi="Arial" w:cs="Arial"/>
          <w:color w:val="000000" w:themeColor="text1"/>
          <w:sz w:val="28"/>
          <w:szCs w:val="28"/>
        </w:rPr>
        <w:t>si bien es cierto que dicho registro forma parte del Sistema Nacional de Información en Seguridad Pública</w:t>
      </w:r>
      <w:r w:rsidR="00FA2F60" w:rsidRPr="00C349AC">
        <w:rPr>
          <w:rStyle w:val="Refdenotaalpie"/>
          <w:rFonts w:ascii="Arial" w:hAnsi="Arial" w:cs="Arial"/>
          <w:color w:val="000000" w:themeColor="text1"/>
          <w:sz w:val="28"/>
          <w:szCs w:val="28"/>
        </w:rPr>
        <w:footnoteReference w:id="17"/>
      </w:r>
      <w:r w:rsidR="00FA2F60" w:rsidRPr="00C349AC">
        <w:rPr>
          <w:rFonts w:ascii="Arial" w:hAnsi="Arial" w:cs="Arial"/>
          <w:color w:val="000000" w:themeColor="text1"/>
          <w:sz w:val="28"/>
          <w:szCs w:val="28"/>
        </w:rPr>
        <w:t xml:space="preserve">, en su regulación no participan los Estados, pues la Constitución reservó esa materia al Congreso de la Unión. </w:t>
      </w:r>
    </w:p>
    <w:p w14:paraId="313E9152" w14:textId="77777777" w:rsidR="00556E9F" w:rsidRPr="00C349AC" w:rsidRDefault="00556E9F" w:rsidP="00556E9F">
      <w:pPr>
        <w:spacing w:after="0" w:line="360" w:lineRule="auto"/>
        <w:ind w:firstLine="709"/>
        <w:jc w:val="both"/>
        <w:rPr>
          <w:rFonts w:ascii="Arial" w:hAnsi="Arial" w:cs="Arial"/>
          <w:color w:val="000000" w:themeColor="text1"/>
          <w:sz w:val="28"/>
          <w:szCs w:val="28"/>
        </w:rPr>
      </w:pPr>
    </w:p>
    <w:p w14:paraId="3E4F6EED" w14:textId="0C97F67E" w:rsidR="00FA2F60" w:rsidRPr="00C349AC" w:rsidRDefault="00FA2F60" w:rsidP="00556E9F">
      <w:pPr>
        <w:spacing w:after="0" w:line="360" w:lineRule="auto"/>
        <w:ind w:firstLine="708"/>
        <w:jc w:val="both"/>
        <w:rPr>
          <w:rFonts w:ascii="Arial" w:hAnsi="Arial" w:cs="Arial"/>
          <w:color w:val="000000" w:themeColor="text1"/>
          <w:sz w:val="28"/>
          <w:szCs w:val="28"/>
        </w:rPr>
      </w:pPr>
      <w:r w:rsidRPr="00C349AC">
        <w:rPr>
          <w:rFonts w:ascii="Arial" w:hAnsi="Arial" w:cs="Arial"/>
          <w:color w:val="000000" w:themeColor="text1"/>
          <w:sz w:val="28"/>
          <w:szCs w:val="28"/>
        </w:rPr>
        <w:t>Consecuentemente, si los artículos impugnados se refieren al “Registro Administrativo de Detenciones” de la Ciudad de México y los mismos fueron publicados el primero de agosto de dos mil diecinueve</w:t>
      </w:r>
      <w:r w:rsidR="00556E9F" w:rsidRPr="00C349AC">
        <w:rPr>
          <w:rFonts w:ascii="Arial" w:hAnsi="Arial" w:cs="Arial"/>
          <w:color w:val="000000" w:themeColor="text1"/>
          <w:sz w:val="28"/>
          <w:szCs w:val="28"/>
        </w:rPr>
        <w:t xml:space="preserve"> (</w:t>
      </w:r>
      <w:r w:rsidRPr="00C349AC">
        <w:rPr>
          <w:rFonts w:ascii="Arial" w:hAnsi="Arial" w:cs="Arial"/>
          <w:color w:val="000000" w:themeColor="text1"/>
          <w:sz w:val="28"/>
          <w:szCs w:val="28"/>
        </w:rPr>
        <w:t>esto es, cuando ya era una facultad exclusiva del Congreso de la Unión</w:t>
      </w:r>
      <w:r w:rsidR="00556E9F" w:rsidRPr="00C349AC">
        <w:rPr>
          <w:rFonts w:ascii="Arial" w:hAnsi="Arial" w:cs="Arial"/>
          <w:color w:val="000000" w:themeColor="text1"/>
          <w:sz w:val="28"/>
          <w:szCs w:val="28"/>
        </w:rPr>
        <w:t>)</w:t>
      </w:r>
      <w:r w:rsidRPr="00C349AC">
        <w:rPr>
          <w:rFonts w:ascii="Arial" w:hAnsi="Arial" w:cs="Arial"/>
          <w:color w:val="000000" w:themeColor="text1"/>
          <w:sz w:val="28"/>
          <w:szCs w:val="28"/>
        </w:rPr>
        <w:t xml:space="preserve"> es claro que los mismos resultan inconstitucionales por falta de competencia del Congreso de la Ciudad de México.  </w:t>
      </w:r>
    </w:p>
    <w:p w14:paraId="3A2F3F34" w14:textId="77777777" w:rsidR="00556E9F" w:rsidRPr="00C349AC" w:rsidRDefault="00556E9F" w:rsidP="00556E9F">
      <w:pPr>
        <w:spacing w:after="0" w:line="360" w:lineRule="auto"/>
        <w:ind w:firstLine="708"/>
        <w:jc w:val="both"/>
        <w:rPr>
          <w:rFonts w:ascii="Arial" w:hAnsi="Arial" w:cs="Arial"/>
          <w:color w:val="000000" w:themeColor="text1"/>
          <w:sz w:val="28"/>
          <w:szCs w:val="28"/>
        </w:rPr>
      </w:pPr>
    </w:p>
    <w:p w14:paraId="3D7D70F6" w14:textId="6A39D38B" w:rsidR="0000584B" w:rsidRPr="00C349AC" w:rsidRDefault="00556E9F" w:rsidP="001059F7">
      <w:pPr>
        <w:spacing w:after="0" w:line="360" w:lineRule="auto"/>
        <w:ind w:firstLine="708"/>
        <w:jc w:val="both"/>
        <w:rPr>
          <w:rFonts w:ascii="Arial" w:hAnsi="Arial" w:cs="Arial"/>
          <w:color w:val="000000" w:themeColor="text1"/>
          <w:sz w:val="28"/>
          <w:szCs w:val="28"/>
        </w:rPr>
      </w:pPr>
      <w:r w:rsidRPr="00C349AC">
        <w:rPr>
          <w:rFonts w:ascii="Arial" w:hAnsi="Arial" w:cs="Arial"/>
          <w:color w:val="000000" w:themeColor="text1"/>
          <w:sz w:val="28"/>
          <w:szCs w:val="28"/>
        </w:rPr>
        <w:t xml:space="preserve">Cabe señalar </w:t>
      </w:r>
      <w:r w:rsidR="00FA2F60" w:rsidRPr="00C349AC">
        <w:rPr>
          <w:rFonts w:ascii="Arial" w:hAnsi="Arial" w:cs="Arial"/>
          <w:color w:val="000000" w:themeColor="text1"/>
          <w:sz w:val="28"/>
          <w:szCs w:val="28"/>
        </w:rPr>
        <w:t>que esta conclusión no se ve refutada por el hecho de que el artículo Tercero Transitorio de la Ley Nacional del Registro de Detenciones mantenga la vigencia del Registro Administrativo de Detenciones hasta que entre completamente en vigor el Registro Nacional</w:t>
      </w:r>
      <w:r w:rsidR="00FA2F60" w:rsidRPr="00C349AC">
        <w:rPr>
          <w:rStyle w:val="Refdenotaalpie"/>
          <w:rFonts w:ascii="Arial" w:hAnsi="Arial" w:cs="Arial"/>
          <w:color w:val="000000" w:themeColor="text1"/>
          <w:sz w:val="28"/>
          <w:szCs w:val="28"/>
        </w:rPr>
        <w:footnoteReference w:id="18"/>
      </w:r>
      <w:r w:rsidR="00FA2F60" w:rsidRPr="00C349AC">
        <w:rPr>
          <w:rFonts w:ascii="Arial" w:hAnsi="Arial" w:cs="Arial"/>
          <w:color w:val="000000" w:themeColor="text1"/>
          <w:sz w:val="28"/>
          <w:szCs w:val="28"/>
        </w:rPr>
        <w:t xml:space="preserve">. </w:t>
      </w:r>
      <w:r w:rsidR="00FA2F60" w:rsidRPr="00C349AC">
        <w:rPr>
          <w:rFonts w:ascii="Arial" w:hAnsi="Arial" w:cs="Arial"/>
          <w:color w:val="000000" w:themeColor="text1"/>
          <w:sz w:val="28"/>
          <w:szCs w:val="28"/>
          <w:lang w:val="es-ES_tradnl"/>
        </w:rPr>
        <w:t>Ello</w:t>
      </w:r>
      <w:r w:rsidRPr="00C349AC">
        <w:rPr>
          <w:rFonts w:ascii="Arial" w:hAnsi="Arial" w:cs="Arial"/>
          <w:color w:val="000000" w:themeColor="text1"/>
          <w:sz w:val="28"/>
          <w:szCs w:val="28"/>
          <w:lang w:val="es-ES_tradnl"/>
        </w:rPr>
        <w:t xml:space="preserve"> es así,</w:t>
      </w:r>
      <w:r w:rsidR="00FA2F60" w:rsidRPr="00C349AC">
        <w:rPr>
          <w:rFonts w:ascii="Arial" w:hAnsi="Arial" w:cs="Arial"/>
          <w:color w:val="000000" w:themeColor="text1"/>
          <w:sz w:val="28"/>
          <w:szCs w:val="28"/>
          <w:lang w:val="es-ES_tradnl"/>
        </w:rPr>
        <w:t xml:space="preserve"> ya que </w:t>
      </w:r>
      <w:r w:rsidR="00FA2F60" w:rsidRPr="00C349AC">
        <w:rPr>
          <w:rFonts w:ascii="Arial" w:hAnsi="Arial" w:cs="Arial"/>
          <w:color w:val="000000" w:themeColor="text1"/>
          <w:sz w:val="28"/>
          <w:szCs w:val="28"/>
        </w:rPr>
        <w:t>lo único que se mantiene por virtud de dicho transitorio es el Registro Administrativo de Detenciones, lo cual no implica que se tenga una facultad legislativa para regularlo. Además, se trata de un artículo transitorio previsto en una Ley Nacional y no en la Constitución, por lo que no podría servir de fundamento para otorgar una competencia a los Estados que está reservada constitucionalmente a la Federación.</w:t>
      </w:r>
    </w:p>
    <w:p w14:paraId="289A6085" w14:textId="77777777" w:rsidR="005D53E3" w:rsidRPr="00C349AC" w:rsidRDefault="005D53E3" w:rsidP="00556E9F">
      <w:pPr>
        <w:spacing w:after="0" w:line="360" w:lineRule="auto"/>
        <w:jc w:val="both"/>
        <w:rPr>
          <w:rFonts w:ascii="Arial" w:hAnsi="Arial" w:cs="Arial"/>
          <w:b/>
          <w:bCs/>
          <w:color w:val="000000" w:themeColor="text1"/>
          <w:sz w:val="28"/>
          <w:szCs w:val="28"/>
          <w:lang w:val="es-ES_tradnl"/>
        </w:rPr>
      </w:pPr>
    </w:p>
    <w:p w14:paraId="0CEC2004" w14:textId="5499B805" w:rsidR="00DC1A86" w:rsidRPr="00C349AC" w:rsidRDefault="00556E9F" w:rsidP="00556E9F">
      <w:pPr>
        <w:pStyle w:val="Prrafodelista"/>
        <w:numPr>
          <w:ilvl w:val="0"/>
          <w:numId w:val="3"/>
        </w:numPr>
        <w:spacing w:after="0" w:line="360" w:lineRule="auto"/>
        <w:jc w:val="both"/>
        <w:rPr>
          <w:rFonts w:ascii="Arial" w:hAnsi="Arial" w:cs="Arial"/>
          <w:b/>
          <w:bCs/>
          <w:color w:val="000000" w:themeColor="text1"/>
          <w:sz w:val="28"/>
          <w:szCs w:val="28"/>
          <w:lang w:val="es-ES_tradnl"/>
        </w:rPr>
      </w:pPr>
      <w:r w:rsidRPr="00C349AC">
        <w:rPr>
          <w:rFonts w:ascii="Arial" w:hAnsi="Arial" w:cs="Arial"/>
          <w:b/>
          <w:bCs/>
          <w:color w:val="000000" w:themeColor="text1"/>
          <w:sz w:val="28"/>
          <w:szCs w:val="28"/>
          <w:lang w:val="es-ES_tradnl"/>
        </w:rPr>
        <w:t xml:space="preserve">Tema 2. </w:t>
      </w:r>
      <w:r w:rsidR="00DC1A86" w:rsidRPr="00C349AC">
        <w:rPr>
          <w:rFonts w:ascii="Arial" w:hAnsi="Arial" w:cs="Arial"/>
          <w:b/>
          <w:bCs/>
          <w:color w:val="000000" w:themeColor="text1"/>
          <w:sz w:val="28"/>
          <w:szCs w:val="28"/>
          <w:lang w:val="es-ES_tradnl"/>
        </w:rPr>
        <w:t>Inconstitucionalidad del artículo 131</w:t>
      </w:r>
      <w:r w:rsidRPr="00C349AC">
        <w:rPr>
          <w:rFonts w:ascii="Arial" w:hAnsi="Arial" w:cs="Arial"/>
          <w:b/>
          <w:bCs/>
          <w:color w:val="000000" w:themeColor="text1"/>
          <w:sz w:val="28"/>
          <w:szCs w:val="28"/>
          <w:lang w:val="es-ES_tradnl"/>
        </w:rPr>
        <w:t xml:space="preserve">. </w:t>
      </w:r>
    </w:p>
    <w:p w14:paraId="5994E8E2" w14:textId="77777777" w:rsidR="00DC1A86" w:rsidRPr="00C349AC" w:rsidRDefault="00DC1A86" w:rsidP="00556E9F">
      <w:pPr>
        <w:pStyle w:val="Prrafodelista"/>
        <w:spacing w:after="0" w:line="360" w:lineRule="auto"/>
        <w:ind w:left="1080"/>
        <w:jc w:val="both"/>
        <w:rPr>
          <w:rFonts w:ascii="Arial" w:hAnsi="Arial" w:cs="Arial"/>
          <w:b/>
          <w:bCs/>
          <w:color w:val="000000" w:themeColor="text1"/>
          <w:sz w:val="28"/>
          <w:szCs w:val="28"/>
          <w:lang w:val="es-ES_tradnl"/>
        </w:rPr>
      </w:pPr>
    </w:p>
    <w:p w14:paraId="0E7F649F" w14:textId="0B9B1E35" w:rsidR="00BB35C7" w:rsidRPr="00C349AC" w:rsidRDefault="001B5A1F" w:rsidP="00F4149B">
      <w:pPr>
        <w:spacing w:after="0" w:line="360" w:lineRule="auto"/>
        <w:jc w:val="both"/>
        <w:rPr>
          <w:rFonts w:ascii="Arial" w:hAnsi="Arial" w:cs="Arial"/>
          <w:iCs/>
          <w:color w:val="000000" w:themeColor="text1"/>
          <w:sz w:val="28"/>
          <w:szCs w:val="28"/>
        </w:rPr>
      </w:pPr>
      <w:r w:rsidRPr="00C349AC">
        <w:rPr>
          <w:rFonts w:ascii="Arial" w:hAnsi="Arial" w:cs="Arial"/>
          <w:color w:val="000000" w:themeColor="text1"/>
          <w:sz w:val="28"/>
          <w:szCs w:val="28"/>
          <w:lang w:val="es-ES_tradnl"/>
        </w:rPr>
        <w:t xml:space="preserve">En este segundo apartado, el </w:t>
      </w:r>
      <w:r w:rsidR="00DC1A86" w:rsidRPr="00C349AC">
        <w:rPr>
          <w:rFonts w:ascii="Arial" w:hAnsi="Arial" w:cs="Arial"/>
          <w:color w:val="000000" w:themeColor="text1"/>
          <w:sz w:val="28"/>
          <w:szCs w:val="28"/>
          <w:lang w:val="es-ES_tradnl"/>
        </w:rPr>
        <w:t>Tribunal Pleno declaró la inconstitucionalidad d</w:t>
      </w:r>
      <w:r w:rsidR="00FB7067" w:rsidRPr="00C349AC">
        <w:rPr>
          <w:rFonts w:ascii="Arial" w:hAnsi="Arial" w:cs="Arial"/>
          <w:iCs/>
          <w:color w:val="000000" w:themeColor="text1"/>
          <w:sz w:val="28"/>
          <w:szCs w:val="28"/>
        </w:rPr>
        <w:t>el artículo 131 de la Ley del Sistema de Seguridad Ciudadana de la Ciudad de México</w:t>
      </w:r>
      <w:r w:rsidR="00FB7067" w:rsidRPr="00C349AC">
        <w:rPr>
          <w:rFonts w:ascii="Arial" w:hAnsi="Arial" w:cs="Arial"/>
          <w:color w:val="000000" w:themeColor="text1"/>
          <w:sz w:val="28"/>
          <w:szCs w:val="28"/>
          <w:lang w:val="es-ES_tradnl"/>
        </w:rPr>
        <w:t xml:space="preserve"> en</w:t>
      </w:r>
      <w:r w:rsidR="00DC1A86" w:rsidRPr="00C349AC">
        <w:rPr>
          <w:rFonts w:ascii="Arial" w:hAnsi="Arial" w:cs="Arial"/>
          <w:color w:val="000000" w:themeColor="text1"/>
          <w:sz w:val="28"/>
          <w:szCs w:val="28"/>
          <w:lang w:val="es-ES_tradnl"/>
        </w:rPr>
        <w:t xml:space="preserve"> la porción normativa </w:t>
      </w:r>
      <w:r w:rsidR="00FB7067" w:rsidRPr="00C349AC">
        <w:rPr>
          <w:rFonts w:ascii="Arial" w:hAnsi="Arial" w:cs="Arial"/>
          <w:color w:val="000000" w:themeColor="text1"/>
          <w:sz w:val="28"/>
          <w:szCs w:val="28"/>
          <w:lang w:val="es-ES_tradnl"/>
        </w:rPr>
        <w:t xml:space="preserve">que decía </w:t>
      </w:r>
      <w:r w:rsidR="00DC1A86" w:rsidRPr="00C349AC">
        <w:rPr>
          <w:rFonts w:ascii="Arial" w:hAnsi="Arial" w:cs="Arial"/>
          <w:i/>
          <w:color w:val="000000" w:themeColor="text1"/>
          <w:sz w:val="28"/>
          <w:szCs w:val="28"/>
        </w:rPr>
        <w:t xml:space="preserve">“cuya consulta es exclusiva de las instituciones de seguridad ciudadana que estén facultadas en cada caso, a través de las personas servidoras </w:t>
      </w:r>
      <w:r w:rsidR="00DC1A86" w:rsidRPr="00C349AC">
        <w:rPr>
          <w:rFonts w:ascii="Arial" w:hAnsi="Arial" w:cs="Arial"/>
          <w:i/>
          <w:color w:val="000000" w:themeColor="text1"/>
          <w:sz w:val="28"/>
          <w:szCs w:val="28"/>
        </w:rPr>
        <w:lastRenderedPageBreak/>
        <w:t>públicas que cada institución designe, por lo que el público no tendrá acceso a la información que en ellos se contenga”</w:t>
      </w:r>
      <w:r w:rsidR="00DC1A86" w:rsidRPr="00C349AC">
        <w:rPr>
          <w:rFonts w:ascii="Arial" w:hAnsi="Arial" w:cs="Arial"/>
          <w:iCs/>
          <w:color w:val="000000" w:themeColor="text1"/>
          <w:sz w:val="28"/>
          <w:szCs w:val="28"/>
        </w:rPr>
        <w:t xml:space="preserve">. </w:t>
      </w:r>
    </w:p>
    <w:p w14:paraId="6E9A80B1" w14:textId="77777777" w:rsidR="00BB35C7" w:rsidRPr="00C349AC" w:rsidRDefault="00BB35C7" w:rsidP="00F4149B">
      <w:pPr>
        <w:spacing w:after="0" w:line="360" w:lineRule="auto"/>
        <w:jc w:val="both"/>
        <w:rPr>
          <w:rFonts w:ascii="Arial" w:hAnsi="Arial" w:cs="Arial"/>
          <w:iCs/>
          <w:color w:val="000000" w:themeColor="text1"/>
          <w:sz w:val="28"/>
          <w:szCs w:val="28"/>
        </w:rPr>
      </w:pPr>
    </w:p>
    <w:p w14:paraId="2D40E14D" w14:textId="635837A9" w:rsidR="00DC1A86" w:rsidRPr="00C349AC" w:rsidRDefault="00CF5D4E" w:rsidP="00BB35C7">
      <w:pPr>
        <w:spacing w:after="0" w:line="360" w:lineRule="auto"/>
        <w:ind w:firstLine="708"/>
        <w:jc w:val="both"/>
        <w:rPr>
          <w:rFonts w:ascii="Arial" w:hAnsi="Arial" w:cs="Arial"/>
          <w:iCs/>
          <w:color w:val="000000" w:themeColor="text1"/>
          <w:sz w:val="28"/>
          <w:szCs w:val="28"/>
        </w:rPr>
      </w:pPr>
      <w:r w:rsidRPr="00C349AC">
        <w:rPr>
          <w:rFonts w:ascii="Arial" w:hAnsi="Arial" w:cs="Arial"/>
          <w:color w:val="000000" w:themeColor="text1"/>
          <w:sz w:val="28"/>
          <w:szCs w:val="28"/>
          <w:lang w:val="es-ES_tradnl"/>
        </w:rPr>
        <w:t>Al respecto, la mayoría</w:t>
      </w:r>
      <w:r w:rsidR="00BF1DA9" w:rsidRPr="00C349AC">
        <w:rPr>
          <w:rFonts w:ascii="Arial" w:hAnsi="Arial" w:cs="Arial"/>
          <w:color w:val="000000" w:themeColor="text1"/>
          <w:sz w:val="28"/>
          <w:szCs w:val="28"/>
          <w:lang w:val="es-ES_tradnl"/>
        </w:rPr>
        <w:t xml:space="preserve"> </w:t>
      </w:r>
      <w:r w:rsidR="00FB7067" w:rsidRPr="00C349AC">
        <w:rPr>
          <w:rFonts w:ascii="Arial" w:hAnsi="Arial" w:cs="Arial"/>
          <w:color w:val="000000" w:themeColor="text1"/>
          <w:sz w:val="28"/>
          <w:szCs w:val="28"/>
          <w:lang w:val="es-ES_tradnl"/>
        </w:rPr>
        <w:t>consideró</w:t>
      </w:r>
      <w:r w:rsidR="00DC1A86" w:rsidRPr="00C349AC">
        <w:rPr>
          <w:rFonts w:ascii="Arial" w:hAnsi="Arial" w:cs="Arial"/>
          <w:color w:val="000000" w:themeColor="text1"/>
          <w:sz w:val="28"/>
          <w:szCs w:val="28"/>
          <w:lang w:val="es-ES_tradnl"/>
        </w:rPr>
        <w:t xml:space="preserve"> que</w:t>
      </w:r>
      <w:r w:rsidR="00556E9F" w:rsidRPr="00C349AC">
        <w:rPr>
          <w:rFonts w:ascii="Arial" w:hAnsi="Arial" w:cs="Arial"/>
          <w:color w:val="000000" w:themeColor="text1"/>
          <w:sz w:val="28"/>
          <w:szCs w:val="28"/>
          <w:lang w:val="es-ES_tradnl"/>
        </w:rPr>
        <w:t xml:space="preserve"> dicha porción</w:t>
      </w:r>
      <w:r w:rsidR="00DC1A86" w:rsidRPr="00C349AC">
        <w:rPr>
          <w:rFonts w:ascii="Arial" w:hAnsi="Arial" w:cs="Arial"/>
          <w:color w:val="000000" w:themeColor="text1"/>
          <w:sz w:val="28"/>
          <w:szCs w:val="28"/>
          <w:lang w:val="es-ES_tradnl"/>
        </w:rPr>
        <w:t xml:space="preserve"> impedía</w:t>
      </w:r>
      <w:r w:rsidR="00FB7067" w:rsidRPr="00C349AC">
        <w:rPr>
          <w:rFonts w:ascii="Arial" w:hAnsi="Arial" w:cs="Arial"/>
          <w:color w:val="000000" w:themeColor="text1"/>
          <w:sz w:val="28"/>
          <w:szCs w:val="28"/>
          <w:lang w:val="es-ES_tradnl"/>
        </w:rPr>
        <w:t xml:space="preserve"> hacer una interpretación sistemática de</w:t>
      </w:r>
      <w:r w:rsidR="001B5A1F" w:rsidRPr="00C349AC">
        <w:rPr>
          <w:rFonts w:ascii="Arial" w:hAnsi="Arial" w:cs="Arial"/>
          <w:color w:val="000000" w:themeColor="text1"/>
          <w:sz w:val="28"/>
          <w:szCs w:val="28"/>
          <w:lang w:val="es-ES_tradnl"/>
        </w:rPr>
        <w:t xml:space="preserve">l artículo </w:t>
      </w:r>
      <w:r w:rsidR="00FB7067" w:rsidRPr="00C349AC">
        <w:rPr>
          <w:rFonts w:ascii="Arial" w:hAnsi="Arial" w:cs="Arial"/>
          <w:color w:val="000000" w:themeColor="text1"/>
          <w:sz w:val="28"/>
          <w:szCs w:val="28"/>
          <w:lang w:val="es-ES_tradnl"/>
        </w:rPr>
        <w:t>con las leyes generales y locales de transparencia, lo que ocasionaba</w:t>
      </w:r>
      <w:r w:rsidR="00DC1A86" w:rsidRPr="00C349AC">
        <w:rPr>
          <w:rFonts w:ascii="Arial" w:hAnsi="Arial" w:cs="Arial"/>
          <w:color w:val="000000" w:themeColor="text1"/>
          <w:sz w:val="28"/>
          <w:szCs w:val="28"/>
          <w:lang w:val="es-ES_tradnl"/>
        </w:rPr>
        <w:t xml:space="preserve"> </w:t>
      </w:r>
      <w:r w:rsidR="00FB7067" w:rsidRPr="00C349AC">
        <w:rPr>
          <w:rFonts w:ascii="Arial" w:hAnsi="Arial" w:cs="Arial"/>
          <w:color w:val="000000" w:themeColor="text1"/>
          <w:sz w:val="28"/>
          <w:szCs w:val="28"/>
          <w:lang w:val="es-ES_tradnl"/>
        </w:rPr>
        <w:t xml:space="preserve">que la causal de reserva fuera </w:t>
      </w:r>
      <w:r w:rsidR="00556E9F" w:rsidRPr="00C349AC">
        <w:rPr>
          <w:rFonts w:ascii="Arial" w:hAnsi="Arial" w:cs="Arial"/>
          <w:color w:val="000000" w:themeColor="text1"/>
          <w:sz w:val="28"/>
          <w:szCs w:val="28"/>
          <w:lang w:val="es-ES_tradnl"/>
        </w:rPr>
        <w:t>“</w:t>
      </w:r>
      <w:r w:rsidR="00DC1A86" w:rsidRPr="00C349AC">
        <w:rPr>
          <w:rFonts w:ascii="Arial" w:hAnsi="Arial" w:cs="Arial"/>
          <w:color w:val="000000" w:themeColor="text1"/>
          <w:sz w:val="28"/>
          <w:szCs w:val="28"/>
          <w:lang w:val="es-ES_tradnl"/>
        </w:rPr>
        <w:t>absoluta</w:t>
      </w:r>
      <w:r w:rsidR="00556E9F" w:rsidRPr="00C349AC">
        <w:rPr>
          <w:rFonts w:ascii="Arial" w:hAnsi="Arial" w:cs="Arial"/>
          <w:color w:val="000000" w:themeColor="text1"/>
          <w:sz w:val="28"/>
          <w:szCs w:val="28"/>
          <w:lang w:val="es-ES_tradnl"/>
        </w:rPr>
        <w:t>”</w:t>
      </w:r>
      <w:r w:rsidR="00FB7067" w:rsidRPr="00C349AC">
        <w:rPr>
          <w:rFonts w:ascii="Arial" w:hAnsi="Arial" w:cs="Arial"/>
          <w:color w:val="000000" w:themeColor="text1"/>
          <w:sz w:val="28"/>
          <w:szCs w:val="28"/>
          <w:lang w:val="es-ES_tradnl"/>
        </w:rPr>
        <w:t xml:space="preserve"> y, por tanto, contraria </w:t>
      </w:r>
      <w:r w:rsidR="00DC1A86" w:rsidRPr="00C349AC">
        <w:rPr>
          <w:rFonts w:ascii="Arial" w:hAnsi="Arial" w:cs="Arial"/>
          <w:color w:val="000000" w:themeColor="text1"/>
          <w:sz w:val="28"/>
          <w:szCs w:val="28"/>
          <w:lang w:val="es-ES_tradnl"/>
        </w:rPr>
        <w:t>al principio de máxima publicidad.</w:t>
      </w:r>
      <w:r w:rsidR="00FB7067" w:rsidRPr="00C349AC">
        <w:rPr>
          <w:rFonts w:ascii="Arial" w:hAnsi="Arial" w:cs="Arial"/>
          <w:color w:val="000000" w:themeColor="text1"/>
          <w:sz w:val="28"/>
          <w:szCs w:val="28"/>
          <w:lang w:val="es-ES_tradnl"/>
        </w:rPr>
        <w:t xml:space="preserve"> Esto último, de conformidad con lo resuelto por este Tribunal Pleno en la acción de inconstitucionalidad </w:t>
      </w:r>
      <w:r w:rsidR="001B5A1F" w:rsidRPr="00C349AC">
        <w:rPr>
          <w:rFonts w:ascii="Arial" w:hAnsi="Arial" w:cs="Arial"/>
          <w:color w:val="000000" w:themeColor="text1"/>
          <w:sz w:val="28"/>
          <w:szCs w:val="28"/>
          <w:lang w:val="es-ES_tradnl"/>
        </w:rPr>
        <w:t xml:space="preserve">66/2019, en donde se analizó una disposición muy similar, pero de la Ley General del Sistema Nacional de Seguridad Pública. </w:t>
      </w:r>
    </w:p>
    <w:p w14:paraId="0F6871B9" w14:textId="77777777" w:rsidR="00FB7067" w:rsidRPr="00C349AC" w:rsidRDefault="00FB7067" w:rsidP="00556E9F">
      <w:pPr>
        <w:spacing w:after="0" w:line="360" w:lineRule="auto"/>
        <w:jc w:val="both"/>
        <w:rPr>
          <w:rFonts w:ascii="Arial" w:hAnsi="Arial" w:cs="Arial"/>
          <w:b/>
          <w:bCs/>
          <w:color w:val="000000" w:themeColor="text1"/>
          <w:sz w:val="28"/>
          <w:szCs w:val="28"/>
          <w:lang w:val="es-ES_tradnl"/>
        </w:rPr>
      </w:pPr>
    </w:p>
    <w:p w14:paraId="2D1C3568" w14:textId="4DCAFB02" w:rsidR="00DC1A86" w:rsidRPr="00C349AC" w:rsidRDefault="00BF1DA9" w:rsidP="00FB7067">
      <w:pPr>
        <w:spacing w:after="0" w:line="360" w:lineRule="auto"/>
        <w:ind w:firstLine="708"/>
        <w:jc w:val="both"/>
        <w:rPr>
          <w:rFonts w:ascii="Arial" w:hAnsi="Arial" w:cs="Arial"/>
          <w:bCs/>
          <w:color w:val="000000" w:themeColor="text1"/>
          <w:sz w:val="28"/>
          <w:szCs w:val="28"/>
        </w:rPr>
      </w:pPr>
      <w:r w:rsidRPr="00C349AC">
        <w:rPr>
          <w:rFonts w:ascii="Arial" w:hAnsi="Arial" w:cs="Arial"/>
          <w:color w:val="000000" w:themeColor="text1"/>
          <w:sz w:val="28"/>
          <w:szCs w:val="28"/>
          <w:lang w:val="es-ES_tradnl"/>
        </w:rPr>
        <w:t>C</w:t>
      </w:r>
      <w:r w:rsidR="00FB7067" w:rsidRPr="00C349AC">
        <w:rPr>
          <w:rFonts w:ascii="Arial" w:hAnsi="Arial" w:cs="Arial"/>
          <w:color w:val="000000" w:themeColor="text1"/>
          <w:sz w:val="28"/>
          <w:szCs w:val="28"/>
          <w:lang w:val="es-ES_tradnl"/>
        </w:rPr>
        <w:t>oincido con la mayoría en que la porción normativa señalada es inconstitucional.</w:t>
      </w:r>
      <w:r w:rsidR="001059F7">
        <w:rPr>
          <w:rFonts w:ascii="Arial" w:hAnsi="Arial" w:cs="Arial"/>
          <w:color w:val="000000" w:themeColor="text1"/>
          <w:sz w:val="28"/>
          <w:szCs w:val="28"/>
          <w:lang w:val="es-ES_tradnl"/>
        </w:rPr>
        <w:t xml:space="preserve"> </w:t>
      </w:r>
      <w:r w:rsidR="00DC1A86" w:rsidRPr="00C349AC">
        <w:rPr>
          <w:rFonts w:ascii="Arial" w:hAnsi="Arial" w:cs="Arial"/>
          <w:bCs/>
          <w:color w:val="000000" w:themeColor="text1"/>
          <w:sz w:val="28"/>
          <w:szCs w:val="28"/>
        </w:rPr>
        <w:t xml:space="preserve">Sin embargo, </w:t>
      </w:r>
      <w:r w:rsidR="001B5A1F" w:rsidRPr="00C349AC">
        <w:rPr>
          <w:rFonts w:ascii="Arial" w:hAnsi="Arial" w:cs="Arial"/>
          <w:bCs/>
          <w:color w:val="000000" w:themeColor="text1"/>
          <w:sz w:val="28"/>
          <w:szCs w:val="28"/>
        </w:rPr>
        <w:t xml:space="preserve">al igual que en la acción de inconstitucionalidad 66/2019, </w:t>
      </w:r>
      <w:r w:rsidR="00FB7067" w:rsidRPr="00C349AC">
        <w:rPr>
          <w:rFonts w:ascii="Arial" w:hAnsi="Arial" w:cs="Arial"/>
          <w:bCs/>
          <w:color w:val="000000" w:themeColor="text1"/>
          <w:sz w:val="28"/>
          <w:szCs w:val="28"/>
        </w:rPr>
        <w:t>me aparto de las consideraciones</w:t>
      </w:r>
      <w:r w:rsidR="00DC1A86" w:rsidRPr="00C349AC">
        <w:rPr>
          <w:rFonts w:ascii="Arial" w:hAnsi="Arial" w:cs="Arial"/>
          <w:bCs/>
          <w:color w:val="000000" w:themeColor="text1"/>
          <w:sz w:val="28"/>
          <w:szCs w:val="28"/>
        </w:rPr>
        <w:t xml:space="preserve"> toda vez que, </w:t>
      </w:r>
      <w:r w:rsidR="00FB7067" w:rsidRPr="00C349AC">
        <w:rPr>
          <w:rFonts w:ascii="Arial" w:hAnsi="Arial" w:cs="Arial"/>
          <w:bCs/>
          <w:color w:val="000000" w:themeColor="text1"/>
          <w:sz w:val="28"/>
          <w:szCs w:val="28"/>
        </w:rPr>
        <w:t>a mi juicio</w:t>
      </w:r>
      <w:r w:rsidR="00DC1A86" w:rsidRPr="00C349AC">
        <w:rPr>
          <w:rFonts w:ascii="Arial" w:hAnsi="Arial" w:cs="Arial"/>
          <w:bCs/>
          <w:color w:val="000000" w:themeColor="text1"/>
          <w:sz w:val="28"/>
          <w:szCs w:val="28"/>
        </w:rPr>
        <w:t>, para justificar la invalidez de la porción en cuestión no basta</w:t>
      </w:r>
      <w:r w:rsidR="00FB7067" w:rsidRPr="00C349AC">
        <w:rPr>
          <w:rFonts w:ascii="Arial" w:hAnsi="Arial" w:cs="Arial"/>
          <w:bCs/>
          <w:color w:val="000000" w:themeColor="text1"/>
          <w:sz w:val="28"/>
          <w:szCs w:val="28"/>
        </w:rPr>
        <w:t>ba</w:t>
      </w:r>
      <w:r w:rsidR="00DC1A86" w:rsidRPr="00C349AC">
        <w:rPr>
          <w:rFonts w:ascii="Arial" w:hAnsi="Arial" w:cs="Arial"/>
          <w:bCs/>
          <w:color w:val="000000" w:themeColor="text1"/>
          <w:sz w:val="28"/>
          <w:szCs w:val="28"/>
        </w:rPr>
        <w:t xml:space="preserve"> con señalar que ésta contiene una reserva “absoluta”, sino que deb</w:t>
      </w:r>
      <w:r w:rsidR="00FB7067" w:rsidRPr="00C349AC">
        <w:rPr>
          <w:rFonts w:ascii="Arial" w:hAnsi="Arial" w:cs="Arial"/>
          <w:bCs/>
          <w:color w:val="000000" w:themeColor="text1"/>
          <w:sz w:val="28"/>
          <w:szCs w:val="28"/>
        </w:rPr>
        <w:t>ió</w:t>
      </w:r>
      <w:r w:rsidR="00DC1A86" w:rsidRPr="00C349AC">
        <w:rPr>
          <w:rFonts w:ascii="Arial" w:hAnsi="Arial" w:cs="Arial"/>
          <w:bCs/>
          <w:color w:val="000000" w:themeColor="text1"/>
          <w:sz w:val="28"/>
          <w:szCs w:val="28"/>
        </w:rPr>
        <w:t xml:space="preserve"> aplicarse un </w:t>
      </w:r>
      <w:r w:rsidR="00DC1A86" w:rsidRPr="00C349AC">
        <w:rPr>
          <w:rFonts w:ascii="Arial" w:hAnsi="Arial" w:cs="Arial"/>
          <w:bCs/>
          <w:i/>
          <w:iCs/>
          <w:color w:val="000000" w:themeColor="text1"/>
          <w:sz w:val="28"/>
          <w:szCs w:val="28"/>
        </w:rPr>
        <w:t>test de proporcionalidad</w:t>
      </w:r>
      <w:r w:rsidR="00DC1A86" w:rsidRPr="00C349AC">
        <w:rPr>
          <w:rFonts w:ascii="Arial" w:hAnsi="Arial" w:cs="Arial"/>
          <w:bCs/>
          <w:color w:val="000000" w:themeColor="text1"/>
          <w:sz w:val="28"/>
          <w:szCs w:val="28"/>
        </w:rPr>
        <w:t>, el cual</w:t>
      </w:r>
      <w:r w:rsidR="00FB7067" w:rsidRPr="00C349AC">
        <w:rPr>
          <w:rFonts w:ascii="Arial" w:hAnsi="Arial" w:cs="Arial"/>
          <w:bCs/>
          <w:color w:val="000000" w:themeColor="text1"/>
          <w:sz w:val="28"/>
          <w:szCs w:val="28"/>
        </w:rPr>
        <w:t xml:space="preserve">, a mi modo de ver, </w:t>
      </w:r>
      <w:r w:rsidR="00DC1A86" w:rsidRPr="00C349AC">
        <w:rPr>
          <w:rFonts w:ascii="Arial" w:hAnsi="Arial" w:cs="Arial"/>
          <w:bCs/>
          <w:color w:val="000000" w:themeColor="text1"/>
          <w:sz w:val="28"/>
          <w:szCs w:val="28"/>
        </w:rPr>
        <w:t>no se supera en el caso</w:t>
      </w:r>
      <w:r w:rsidR="00FB7067" w:rsidRPr="00C349AC">
        <w:rPr>
          <w:rStyle w:val="Refdenotaalpie"/>
          <w:rFonts w:ascii="Arial" w:hAnsi="Arial" w:cs="Arial"/>
          <w:bCs/>
          <w:color w:val="000000" w:themeColor="text1"/>
          <w:sz w:val="28"/>
          <w:szCs w:val="28"/>
        </w:rPr>
        <w:footnoteReference w:id="19"/>
      </w:r>
      <w:r w:rsidR="00DC1A86" w:rsidRPr="00C349AC">
        <w:rPr>
          <w:rFonts w:ascii="Arial" w:hAnsi="Arial" w:cs="Arial"/>
          <w:bCs/>
          <w:color w:val="000000" w:themeColor="text1"/>
          <w:sz w:val="28"/>
          <w:szCs w:val="28"/>
        </w:rPr>
        <w:t>.</w:t>
      </w:r>
      <w:r w:rsidR="00FB7067" w:rsidRPr="00C349AC">
        <w:rPr>
          <w:rFonts w:ascii="Arial" w:hAnsi="Arial" w:cs="Arial"/>
          <w:bCs/>
          <w:color w:val="000000" w:themeColor="text1"/>
          <w:sz w:val="28"/>
          <w:szCs w:val="28"/>
        </w:rPr>
        <w:t xml:space="preserve"> </w:t>
      </w:r>
    </w:p>
    <w:p w14:paraId="6C21FEB4" w14:textId="6F353CAB" w:rsidR="00FB7067" w:rsidRPr="00C349AC" w:rsidRDefault="00FB7067" w:rsidP="00FB7067">
      <w:pPr>
        <w:spacing w:after="0" w:line="360" w:lineRule="auto"/>
        <w:ind w:firstLine="708"/>
        <w:jc w:val="both"/>
        <w:rPr>
          <w:rFonts w:ascii="Arial" w:hAnsi="Arial" w:cs="Arial"/>
          <w:bCs/>
          <w:color w:val="000000" w:themeColor="text1"/>
          <w:sz w:val="28"/>
          <w:szCs w:val="28"/>
        </w:rPr>
      </w:pPr>
    </w:p>
    <w:p w14:paraId="09211BAF" w14:textId="19EEE669" w:rsidR="00C57C1D" w:rsidRPr="00C349AC" w:rsidRDefault="00C57C1D" w:rsidP="00C57C1D">
      <w:pPr>
        <w:spacing w:after="0" w:line="360" w:lineRule="auto"/>
        <w:ind w:firstLine="708"/>
        <w:jc w:val="both"/>
        <w:rPr>
          <w:rFonts w:ascii="Arial" w:hAnsi="Arial" w:cs="Arial"/>
          <w:bCs/>
          <w:i/>
          <w:iCs/>
          <w:color w:val="000000" w:themeColor="text1"/>
          <w:sz w:val="28"/>
          <w:szCs w:val="28"/>
        </w:rPr>
      </w:pPr>
      <w:r w:rsidRPr="00C349AC">
        <w:rPr>
          <w:rFonts w:ascii="Arial" w:hAnsi="Arial" w:cs="Arial"/>
          <w:bCs/>
          <w:color w:val="000000" w:themeColor="text1"/>
          <w:sz w:val="28"/>
          <w:szCs w:val="28"/>
        </w:rPr>
        <w:t xml:space="preserve">En efecto, como he señalado consistentemente desde la acción de inconstitucionalidad 73/2017, no puede determinarse la inconstitucionalidad de una norma por el solo hecho de establecer una reserva a una categoría de información o no delegar al operador jurídico la evaluación del posible daño. Lo anterior es así, pues podrían existir casos específicos en los cuales dichas limitaciones sean necesarias en una sociedad democrática para salvaguardar el interés público o la seguridad nacional, en términos del artículo 6 constitucional. En todo </w:t>
      </w:r>
      <w:r w:rsidRPr="00C349AC">
        <w:rPr>
          <w:rFonts w:ascii="Arial" w:hAnsi="Arial" w:cs="Arial"/>
          <w:bCs/>
          <w:color w:val="000000" w:themeColor="text1"/>
          <w:sz w:val="28"/>
          <w:szCs w:val="28"/>
        </w:rPr>
        <w:lastRenderedPageBreak/>
        <w:t xml:space="preserve">caso, la constitucionalidad de estas normas debe ser analizada mediante la aplicación de un </w:t>
      </w:r>
      <w:r w:rsidRPr="00C349AC">
        <w:rPr>
          <w:rFonts w:ascii="Arial" w:hAnsi="Arial" w:cs="Arial"/>
          <w:bCs/>
          <w:i/>
          <w:iCs/>
          <w:color w:val="000000" w:themeColor="text1"/>
          <w:sz w:val="28"/>
          <w:szCs w:val="28"/>
        </w:rPr>
        <w:t>test de proporcionalidad</w:t>
      </w:r>
      <w:r w:rsidRPr="00C349AC">
        <w:rPr>
          <w:rFonts w:ascii="Arial" w:hAnsi="Arial" w:cs="Arial"/>
          <w:bCs/>
          <w:color w:val="000000" w:themeColor="text1"/>
          <w:sz w:val="28"/>
          <w:szCs w:val="28"/>
        </w:rPr>
        <w:t xml:space="preserve">, al imponer </w:t>
      </w:r>
      <w:r w:rsidRPr="00C349AC">
        <w:rPr>
          <w:rFonts w:ascii="Arial" w:hAnsi="Arial" w:cs="Arial"/>
          <w:bCs/>
          <w:i/>
          <w:iCs/>
          <w:color w:val="000000" w:themeColor="text1"/>
          <w:sz w:val="28"/>
          <w:szCs w:val="28"/>
        </w:rPr>
        <w:t>prima facie</w:t>
      </w:r>
      <w:r w:rsidRPr="00C349AC">
        <w:rPr>
          <w:rFonts w:ascii="Arial" w:hAnsi="Arial" w:cs="Arial"/>
          <w:bCs/>
          <w:color w:val="000000" w:themeColor="text1"/>
          <w:sz w:val="28"/>
          <w:szCs w:val="28"/>
        </w:rPr>
        <w:t xml:space="preserve"> una limitación al derecho de acceso a la información. Es decir, </w:t>
      </w:r>
      <w:r w:rsidRPr="00C349AC">
        <w:rPr>
          <w:rFonts w:ascii="Arial" w:hAnsi="Arial" w:cs="Arial"/>
          <w:bCs/>
          <w:i/>
          <w:iCs/>
          <w:color w:val="000000" w:themeColor="text1"/>
          <w:sz w:val="28"/>
          <w:szCs w:val="28"/>
        </w:rPr>
        <w:t xml:space="preserve">debe analizarse si la misma persigue un fin legítimo y si la medida es idónea, necesaria y proporcional en sentido estricto. </w:t>
      </w:r>
    </w:p>
    <w:p w14:paraId="7EBED3B2" w14:textId="79CC4ACC" w:rsidR="00FB7067" w:rsidRPr="00C349AC" w:rsidRDefault="00FB7067" w:rsidP="00FB7067">
      <w:pPr>
        <w:spacing w:after="0" w:line="360" w:lineRule="auto"/>
        <w:ind w:firstLine="708"/>
        <w:jc w:val="both"/>
        <w:rPr>
          <w:rFonts w:ascii="Arial" w:hAnsi="Arial" w:cs="Arial"/>
          <w:bCs/>
          <w:color w:val="000000" w:themeColor="text1"/>
          <w:sz w:val="28"/>
          <w:szCs w:val="28"/>
        </w:rPr>
      </w:pPr>
    </w:p>
    <w:p w14:paraId="7484A917" w14:textId="14B37F61" w:rsidR="00DC1A86" w:rsidRPr="00C349AC" w:rsidRDefault="00DC1A86" w:rsidP="00556E9F">
      <w:pPr>
        <w:spacing w:after="0" w:line="360" w:lineRule="auto"/>
        <w:jc w:val="both"/>
        <w:rPr>
          <w:rFonts w:ascii="Arial" w:hAnsi="Arial" w:cs="Arial"/>
          <w:b/>
          <w:color w:val="000000" w:themeColor="text1"/>
          <w:sz w:val="28"/>
          <w:szCs w:val="28"/>
        </w:rPr>
      </w:pPr>
      <w:r w:rsidRPr="00C349AC">
        <w:rPr>
          <w:rFonts w:ascii="Arial" w:hAnsi="Arial" w:cs="Arial"/>
          <w:b/>
          <w:color w:val="000000" w:themeColor="text1"/>
          <w:sz w:val="28"/>
          <w:szCs w:val="28"/>
        </w:rPr>
        <w:tab/>
      </w:r>
      <w:r w:rsidR="00BB35C7" w:rsidRPr="00C349AC">
        <w:rPr>
          <w:rFonts w:ascii="Arial" w:hAnsi="Arial" w:cs="Arial"/>
          <w:bCs/>
          <w:color w:val="000000" w:themeColor="text1"/>
          <w:sz w:val="28"/>
          <w:szCs w:val="28"/>
        </w:rPr>
        <w:t xml:space="preserve">En </w:t>
      </w:r>
      <w:r w:rsidR="00C57C1D" w:rsidRPr="00C349AC">
        <w:rPr>
          <w:rFonts w:ascii="Arial" w:hAnsi="Arial" w:cs="Arial"/>
          <w:bCs/>
          <w:color w:val="000000" w:themeColor="text1"/>
          <w:sz w:val="28"/>
          <w:szCs w:val="28"/>
        </w:rPr>
        <w:t>el caso considero que la causa de reserva prevista en el artículo 131 de la ley impugnada cumple con la primera grada del test de proporcionalidad, pues la misma persigue</w:t>
      </w:r>
      <w:r w:rsidRPr="00C349AC">
        <w:rPr>
          <w:rFonts w:ascii="Arial" w:hAnsi="Arial" w:cs="Arial"/>
          <w:bCs/>
          <w:color w:val="000000" w:themeColor="text1"/>
          <w:sz w:val="28"/>
          <w:szCs w:val="28"/>
        </w:rPr>
        <w:t xml:space="preserve"> un </w:t>
      </w:r>
      <w:r w:rsidRPr="00C349AC">
        <w:rPr>
          <w:rFonts w:ascii="Arial" w:hAnsi="Arial" w:cs="Arial"/>
          <w:bCs/>
          <w:i/>
          <w:iCs/>
          <w:color w:val="000000" w:themeColor="text1"/>
          <w:sz w:val="28"/>
          <w:szCs w:val="28"/>
        </w:rPr>
        <w:t>fin legítimo</w:t>
      </w:r>
      <w:r w:rsidR="00C57C1D" w:rsidRPr="00C349AC">
        <w:rPr>
          <w:rFonts w:ascii="Arial" w:hAnsi="Arial" w:cs="Arial"/>
          <w:bCs/>
          <w:color w:val="000000" w:themeColor="text1"/>
          <w:sz w:val="28"/>
          <w:szCs w:val="28"/>
        </w:rPr>
        <w:t xml:space="preserve">: </w:t>
      </w:r>
      <w:r w:rsidRPr="00C349AC">
        <w:rPr>
          <w:rFonts w:ascii="Arial" w:hAnsi="Arial" w:cs="Arial"/>
          <w:bCs/>
          <w:color w:val="000000" w:themeColor="text1"/>
          <w:sz w:val="28"/>
          <w:szCs w:val="28"/>
        </w:rPr>
        <w:t xml:space="preserve">la protección de la seguridad pública o ciudadana. Además, </w:t>
      </w:r>
      <w:r w:rsidR="00FB7067" w:rsidRPr="00C349AC">
        <w:rPr>
          <w:rFonts w:ascii="Arial" w:hAnsi="Arial" w:cs="Arial"/>
          <w:bCs/>
          <w:color w:val="000000" w:themeColor="text1"/>
          <w:sz w:val="28"/>
          <w:szCs w:val="28"/>
        </w:rPr>
        <w:t>se trata de una medida</w:t>
      </w:r>
      <w:r w:rsidRPr="00C349AC">
        <w:rPr>
          <w:rFonts w:ascii="Arial" w:hAnsi="Arial" w:cs="Arial"/>
          <w:bCs/>
          <w:color w:val="000000" w:themeColor="text1"/>
          <w:sz w:val="28"/>
          <w:szCs w:val="28"/>
        </w:rPr>
        <w:t xml:space="preserve"> </w:t>
      </w:r>
      <w:r w:rsidRPr="00C349AC">
        <w:rPr>
          <w:rFonts w:ascii="Arial" w:hAnsi="Arial" w:cs="Arial"/>
          <w:bCs/>
          <w:i/>
          <w:iCs/>
          <w:color w:val="000000" w:themeColor="text1"/>
          <w:sz w:val="28"/>
          <w:szCs w:val="28"/>
        </w:rPr>
        <w:t>idónea</w:t>
      </w:r>
      <w:r w:rsidRPr="00C349AC">
        <w:rPr>
          <w:rFonts w:ascii="Arial" w:hAnsi="Arial" w:cs="Arial"/>
          <w:bCs/>
          <w:color w:val="000000" w:themeColor="text1"/>
          <w:sz w:val="28"/>
          <w:szCs w:val="28"/>
        </w:rPr>
        <w:t xml:space="preserve"> para alcanzar dicha finalidad, pues prohibir el acceso a la información contenida en la Plataforma puede contribuir a evitar riesgos a la seguridad pública. Sin embargo, </w:t>
      </w:r>
      <w:r w:rsidR="00FB7067" w:rsidRPr="00C349AC">
        <w:rPr>
          <w:rFonts w:ascii="Arial" w:hAnsi="Arial" w:cs="Arial"/>
          <w:bCs/>
          <w:color w:val="000000" w:themeColor="text1"/>
          <w:sz w:val="28"/>
          <w:szCs w:val="28"/>
        </w:rPr>
        <w:t xml:space="preserve">la disposición </w:t>
      </w:r>
      <w:r w:rsidRPr="00C349AC">
        <w:rPr>
          <w:rFonts w:ascii="Arial" w:hAnsi="Arial" w:cs="Arial"/>
          <w:bCs/>
          <w:color w:val="000000" w:themeColor="text1"/>
          <w:sz w:val="28"/>
          <w:szCs w:val="28"/>
        </w:rPr>
        <w:t>no supera la tercera grada de análisis</w:t>
      </w:r>
      <w:r w:rsidR="00C57C1D" w:rsidRPr="00C349AC">
        <w:rPr>
          <w:rFonts w:ascii="Arial" w:hAnsi="Arial" w:cs="Arial"/>
          <w:bCs/>
          <w:color w:val="000000" w:themeColor="text1"/>
          <w:sz w:val="28"/>
          <w:szCs w:val="28"/>
        </w:rPr>
        <w:t xml:space="preserve"> (</w:t>
      </w:r>
      <w:r w:rsidR="00C57C1D" w:rsidRPr="00C349AC">
        <w:rPr>
          <w:rFonts w:ascii="Arial" w:hAnsi="Arial" w:cs="Arial"/>
          <w:bCs/>
          <w:i/>
          <w:iCs/>
          <w:color w:val="000000" w:themeColor="text1"/>
          <w:sz w:val="28"/>
          <w:szCs w:val="28"/>
        </w:rPr>
        <w:t>necesidad</w:t>
      </w:r>
      <w:r w:rsidR="00C57C1D" w:rsidRPr="00C349AC">
        <w:rPr>
          <w:rFonts w:ascii="Arial" w:hAnsi="Arial" w:cs="Arial"/>
          <w:bCs/>
          <w:color w:val="000000" w:themeColor="text1"/>
          <w:sz w:val="28"/>
          <w:szCs w:val="28"/>
        </w:rPr>
        <w:t>)</w:t>
      </w:r>
      <w:r w:rsidRPr="00C349AC">
        <w:rPr>
          <w:rFonts w:ascii="Arial" w:hAnsi="Arial" w:cs="Arial"/>
          <w:bCs/>
          <w:color w:val="000000" w:themeColor="text1"/>
          <w:sz w:val="28"/>
          <w:szCs w:val="28"/>
        </w:rPr>
        <w:t xml:space="preserve">, consistente en que no existan medidas alternativas igualmente idóneas para lograr dicho fin, pero </w:t>
      </w:r>
      <w:r w:rsidRPr="00C349AC">
        <w:rPr>
          <w:rFonts w:ascii="Arial" w:hAnsi="Arial" w:cs="Arial"/>
          <w:bCs/>
          <w:i/>
          <w:iCs/>
          <w:color w:val="000000" w:themeColor="text1"/>
          <w:sz w:val="28"/>
          <w:szCs w:val="28"/>
        </w:rPr>
        <w:t>menos lesivas</w:t>
      </w:r>
      <w:r w:rsidRPr="00C349AC">
        <w:rPr>
          <w:rFonts w:ascii="Arial" w:hAnsi="Arial" w:cs="Arial"/>
          <w:bCs/>
          <w:color w:val="000000" w:themeColor="text1"/>
          <w:sz w:val="28"/>
          <w:szCs w:val="28"/>
        </w:rPr>
        <w:t xml:space="preserve"> para el derecho fundamental.</w:t>
      </w:r>
    </w:p>
    <w:p w14:paraId="2057BD56" w14:textId="77777777" w:rsidR="00DC1A86" w:rsidRPr="00C349AC" w:rsidRDefault="00DC1A86" w:rsidP="00556E9F">
      <w:pPr>
        <w:spacing w:after="0" w:line="360" w:lineRule="auto"/>
        <w:jc w:val="both"/>
        <w:rPr>
          <w:rFonts w:ascii="Arial" w:hAnsi="Arial" w:cs="Arial"/>
          <w:bCs/>
          <w:color w:val="000000" w:themeColor="text1"/>
          <w:sz w:val="28"/>
          <w:szCs w:val="28"/>
          <w:lang w:val="es-ES_tradnl"/>
        </w:rPr>
      </w:pPr>
    </w:p>
    <w:p w14:paraId="6319EC50" w14:textId="0AB71BD5" w:rsidR="00DC1A86" w:rsidRPr="00C349AC" w:rsidRDefault="00DC1A86" w:rsidP="00FB7067">
      <w:pPr>
        <w:spacing w:after="0" w:line="360" w:lineRule="auto"/>
        <w:jc w:val="both"/>
        <w:rPr>
          <w:rFonts w:ascii="Arial" w:hAnsi="Arial" w:cs="Arial"/>
          <w:bCs/>
          <w:color w:val="000000" w:themeColor="text1"/>
          <w:sz w:val="28"/>
          <w:szCs w:val="28"/>
          <w:lang w:val="es-ES_tradnl"/>
        </w:rPr>
      </w:pPr>
      <w:r w:rsidRPr="00C349AC">
        <w:rPr>
          <w:rFonts w:ascii="Arial" w:hAnsi="Arial" w:cs="Arial"/>
          <w:bCs/>
          <w:color w:val="000000" w:themeColor="text1"/>
          <w:sz w:val="28"/>
          <w:szCs w:val="28"/>
          <w:lang w:val="es-ES_tradnl"/>
        </w:rPr>
        <w:tab/>
        <w:t xml:space="preserve">Ello es así, pues la norma </w:t>
      </w:r>
      <w:r w:rsidRPr="00C349AC">
        <w:rPr>
          <w:rFonts w:ascii="Arial" w:hAnsi="Arial" w:cs="Arial"/>
          <w:bCs/>
          <w:color w:val="000000" w:themeColor="text1"/>
          <w:sz w:val="28"/>
          <w:szCs w:val="28"/>
        </w:rPr>
        <w:t xml:space="preserve">califica como reservada </w:t>
      </w:r>
      <w:r w:rsidRPr="00C349AC">
        <w:rPr>
          <w:rFonts w:ascii="Arial" w:hAnsi="Arial" w:cs="Arial"/>
          <w:bCs/>
          <w:iCs/>
          <w:color w:val="000000" w:themeColor="text1"/>
          <w:sz w:val="28"/>
          <w:szCs w:val="28"/>
        </w:rPr>
        <w:t>toda</w:t>
      </w:r>
      <w:r w:rsidRPr="00C349AC">
        <w:rPr>
          <w:rFonts w:ascii="Arial" w:hAnsi="Arial" w:cs="Arial"/>
          <w:bCs/>
          <w:i/>
          <w:color w:val="000000" w:themeColor="text1"/>
          <w:sz w:val="28"/>
          <w:szCs w:val="28"/>
        </w:rPr>
        <w:t xml:space="preserve"> </w:t>
      </w:r>
      <w:r w:rsidRPr="00C349AC">
        <w:rPr>
          <w:rFonts w:ascii="Arial" w:hAnsi="Arial" w:cs="Arial"/>
          <w:bCs/>
          <w:color w:val="000000" w:themeColor="text1"/>
          <w:sz w:val="28"/>
          <w:szCs w:val="28"/>
        </w:rPr>
        <w:t>la información de la Plataforma de Seguridad Ciudadana</w:t>
      </w:r>
      <w:r w:rsidRPr="00C349AC">
        <w:rPr>
          <w:rStyle w:val="Refdenotaalpie"/>
          <w:rFonts w:ascii="Arial" w:hAnsi="Arial" w:cs="Arial"/>
          <w:bCs/>
          <w:color w:val="000000" w:themeColor="text1"/>
          <w:sz w:val="28"/>
          <w:szCs w:val="28"/>
        </w:rPr>
        <w:footnoteReference w:id="20"/>
      </w:r>
      <w:r w:rsidR="00FB7067" w:rsidRPr="00C349AC">
        <w:rPr>
          <w:rFonts w:ascii="Arial" w:hAnsi="Arial" w:cs="Arial"/>
          <w:bCs/>
          <w:color w:val="000000" w:themeColor="text1"/>
          <w:sz w:val="28"/>
          <w:szCs w:val="28"/>
        </w:rPr>
        <w:t xml:space="preserve"> y</w:t>
      </w:r>
      <w:r w:rsidR="00D37C75" w:rsidRPr="00C349AC">
        <w:rPr>
          <w:rFonts w:ascii="Arial" w:hAnsi="Arial" w:cs="Arial"/>
          <w:bCs/>
          <w:color w:val="000000" w:themeColor="text1"/>
          <w:sz w:val="28"/>
          <w:szCs w:val="28"/>
        </w:rPr>
        <w:t xml:space="preserve"> </w:t>
      </w:r>
      <w:r w:rsidRPr="00C349AC">
        <w:rPr>
          <w:rFonts w:ascii="Arial" w:hAnsi="Arial" w:cs="Arial"/>
          <w:bCs/>
          <w:color w:val="000000" w:themeColor="text1"/>
          <w:sz w:val="28"/>
          <w:szCs w:val="28"/>
        </w:rPr>
        <w:t xml:space="preserve">si bien es cierto que muchos de los registros y sistemas de la Plataforma podrían contener información que amerite ser calificada como reservada por </w:t>
      </w:r>
      <w:r w:rsidRPr="00C349AC">
        <w:rPr>
          <w:rFonts w:ascii="Arial" w:hAnsi="Arial" w:cs="Arial"/>
          <w:bCs/>
          <w:color w:val="000000" w:themeColor="text1"/>
          <w:sz w:val="28"/>
          <w:szCs w:val="28"/>
        </w:rPr>
        <w:lastRenderedPageBreak/>
        <w:t xml:space="preserve">poner en riesgo la seguridad ciudadana, también lo es que, dada la diversidad de registros que lo componen, no es posible determinar </w:t>
      </w:r>
      <w:r w:rsidRPr="00C349AC">
        <w:rPr>
          <w:rFonts w:ascii="Arial" w:hAnsi="Arial" w:cs="Arial"/>
          <w:bCs/>
          <w:i/>
          <w:color w:val="000000" w:themeColor="text1"/>
          <w:sz w:val="28"/>
          <w:szCs w:val="28"/>
        </w:rPr>
        <w:t xml:space="preserve">a priori </w:t>
      </w:r>
      <w:r w:rsidRPr="00C349AC">
        <w:rPr>
          <w:rFonts w:ascii="Arial" w:hAnsi="Arial" w:cs="Arial"/>
          <w:bCs/>
          <w:color w:val="000000" w:themeColor="text1"/>
          <w:sz w:val="28"/>
          <w:szCs w:val="28"/>
        </w:rPr>
        <w:t>que el acceso a toda la información en ellos contenida ponga efectivamente en riesgo el interés público y, en específico, la seguridad pública.</w:t>
      </w:r>
      <w:r w:rsidR="00D37C75" w:rsidRPr="00C349AC">
        <w:rPr>
          <w:rFonts w:ascii="Arial" w:hAnsi="Arial" w:cs="Arial"/>
          <w:bCs/>
          <w:color w:val="000000" w:themeColor="text1"/>
          <w:sz w:val="28"/>
          <w:szCs w:val="28"/>
        </w:rPr>
        <w:t xml:space="preserve"> </w:t>
      </w:r>
      <w:r w:rsidRPr="00C349AC">
        <w:rPr>
          <w:rFonts w:ascii="Arial" w:hAnsi="Arial" w:cs="Arial"/>
          <w:color w:val="000000" w:themeColor="text1"/>
          <w:sz w:val="28"/>
          <w:szCs w:val="28"/>
        </w:rPr>
        <w:t xml:space="preserve">En otras palabras, la </w:t>
      </w:r>
      <w:r w:rsidR="00FB7067" w:rsidRPr="00C349AC">
        <w:rPr>
          <w:rFonts w:ascii="Arial" w:hAnsi="Arial" w:cs="Arial"/>
          <w:color w:val="000000" w:themeColor="text1"/>
          <w:sz w:val="28"/>
          <w:szCs w:val="28"/>
        </w:rPr>
        <w:t>disposición</w:t>
      </w:r>
      <w:r w:rsidRPr="00C349AC">
        <w:rPr>
          <w:rFonts w:ascii="Arial" w:hAnsi="Arial" w:cs="Arial"/>
          <w:color w:val="000000" w:themeColor="text1"/>
          <w:sz w:val="28"/>
          <w:szCs w:val="28"/>
        </w:rPr>
        <w:t xml:space="preserve"> resulta</w:t>
      </w:r>
      <w:r w:rsidR="00C57C1D" w:rsidRPr="00C349AC">
        <w:rPr>
          <w:rFonts w:ascii="Arial" w:hAnsi="Arial" w:cs="Arial"/>
          <w:color w:val="000000" w:themeColor="text1"/>
          <w:sz w:val="28"/>
          <w:szCs w:val="28"/>
        </w:rPr>
        <w:t xml:space="preserve"> en extremo</w:t>
      </w:r>
      <w:r w:rsidRPr="00C349AC">
        <w:rPr>
          <w:rFonts w:ascii="Arial" w:hAnsi="Arial" w:cs="Arial"/>
          <w:color w:val="000000" w:themeColor="text1"/>
          <w:sz w:val="28"/>
          <w:szCs w:val="28"/>
        </w:rPr>
        <w:t xml:space="preserve"> </w:t>
      </w:r>
      <w:r w:rsidRPr="00C349AC">
        <w:rPr>
          <w:rFonts w:ascii="Arial" w:hAnsi="Arial" w:cs="Arial"/>
          <w:i/>
          <w:iCs/>
          <w:color w:val="000000" w:themeColor="text1"/>
          <w:sz w:val="28"/>
          <w:szCs w:val="28"/>
        </w:rPr>
        <w:t>sobreinclusiva</w:t>
      </w:r>
      <w:r w:rsidRPr="00C349AC">
        <w:rPr>
          <w:rFonts w:ascii="Arial" w:hAnsi="Arial" w:cs="Arial"/>
          <w:color w:val="000000" w:themeColor="text1"/>
          <w:sz w:val="28"/>
          <w:szCs w:val="28"/>
        </w:rPr>
        <w:t xml:space="preserve">, pues comprende una gran cantidad de información, sin que sea posible determinar </w:t>
      </w:r>
      <w:r w:rsidR="00FB7067" w:rsidRPr="00C349AC">
        <w:rPr>
          <w:rFonts w:ascii="Arial" w:hAnsi="Arial" w:cs="Arial"/>
          <w:i/>
          <w:color w:val="000000" w:themeColor="text1"/>
          <w:sz w:val="28"/>
          <w:szCs w:val="28"/>
        </w:rPr>
        <w:t>ex ante</w:t>
      </w:r>
      <w:r w:rsidRPr="00C349AC">
        <w:rPr>
          <w:rFonts w:ascii="Arial" w:hAnsi="Arial" w:cs="Arial"/>
          <w:i/>
          <w:color w:val="000000" w:themeColor="text1"/>
          <w:sz w:val="28"/>
          <w:szCs w:val="28"/>
        </w:rPr>
        <w:t xml:space="preserve"> </w:t>
      </w:r>
      <w:r w:rsidRPr="00C349AC">
        <w:rPr>
          <w:rFonts w:ascii="Arial" w:hAnsi="Arial" w:cs="Arial"/>
          <w:color w:val="000000" w:themeColor="text1"/>
          <w:sz w:val="28"/>
          <w:szCs w:val="28"/>
        </w:rPr>
        <w:t xml:space="preserve">que toda ella puede poner en riesgo la seguridad pública. </w:t>
      </w:r>
    </w:p>
    <w:p w14:paraId="748BB092" w14:textId="77777777" w:rsidR="00DC1A86" w:rsidRPr="00C349AC" w:rsidRDefault="00DC1A86" w:rsidP="00556E9F">
      <w:pPr>
        <w:spacing w:after="0" w:line="360" w:lineRule="auto"/>
        <w:ind w:firstLine="709"/>
        <w:jc w:val="both"/>
        <w:rPr>
          <w:rFonts w:ascii="Arial" w:hAnsi="Arial" w:cs="Arial"/>
          <w:bCs/>
          <w:color w:val="000000" w:themeColor="text1"/>
          <w:sz w:val="28"/>
          <w:szCs w:val="28"/>
          <w:lang w:val="es-ES_tradnl"/>
        </w:rPr>
      </w:pPr>
    </w:p>
    <w:p w14:paraId="2E01C661" w14:textId="471611F1" w:rsidR="00DC1A86" w:rsidRPr="00C349AC" w:rsidRDefault="00B60AB9" w:rsidP="00556E9F">
      <w:pPr>
        <w:spacing w:after="0" w:line="360" w:lineRule="auto"/>
        <w:ind w:firstLine="709"/>
        <w:jc w:val="both"/>
        <w:rPr>
          <w:rFonts w:ascii="Arial" w:hAnsi="Arial" w:cs="Arial"/>
          <w:color w:val="000000" w:themeColor="text1"/>
          <w:sz w:val="28"/>
          <w:szCs w:val="28"/>
        </w:rPr>
      </w:pPr>
      <w:r w:rsidRPr="00C349AC">
        <w:rPr>
          <w:rFonts w:ascii="Arial" w:hAnsi="Arial" w:cs="Arial"/>
          <w:color w:val="000000" w:themeColor="text1"/>
          <w:sz w:val="28"/>
          <w:szCs w:val="28"/>
        </w:rPr>
        <w:t>A fin de evitar lo anterior</w:t>
      </w:r>
      <w:r w:rsidR="00DC1A86" w:rsidRPr="00C349AC">
        <w:rPr>
          <w:rFonts w:ascii="Arial" w:hAnsi="Arial" w:cs="Arial"/>
          <w:color w:val="000000" w:themeColor="text1"/>
          <w:sz w:val="28"/>
          <w:szCs w:val="28"/>
        </w:rPr>
        <w:t>,</w:t>
      </w:r>
      <w:r w:rsidRPr="00C349AC">
        <w:rPr>
          <w:rFonts w:ascii="Arial" w:hAnsi="Arial" w:cs="Arial"/>
          <w:color w:val="000000" w:themeColor="text1"/>
          <w:sz w:val="28"/>
          <w:szCs w:val="28"/>
        </w:rPr>
        <w:t xml:space="preserve"> </w:t>
      </w:r>
      <w:r w:rsidR="00DC1A86" w:rsidRPr="00C349AC">
        <w:rPr>
          <w:rFonts w:ascii="Arial" w:hAnsi="Arial" w:cs="Arial"/>
          <w:color w:val="000000" w:themeColor="text1"/>
          <w:sz w:val="28"/>
          <w:szCs w:val="28"/>
        </w:rPr>
        <w:t xml:space="preserve">el legislador pudo haber adoptado una medida </w:t>
      </w:r>
      <w:r w:rsidR="00DC1A86" w:rsidRPr="00C349AC">
        <w:rPr>
          <w:rFonts w:ascii="Arial" w:hAnsi="Arial" w:cs="Arial"/>
          <w:i/>
          <w:color w:val="000000" w:themeColor="text1"/>
          <w:sz w:val="28"/>
          <w:szCs w:val="28"/>
        </w:rPr>
        <w:t>menos lesiva</w:t>
      </w:r>
      <w:r w:rsidR="00DC1A86" w:rsidRPr="00C349AC">
        <w:rPr>
          <w:rFonts w:ascii="Arial" w:hAnsi="Arial" w:cs="Arial"/>
          <w:color w:val="000000" w:themeColor="text1"/>
          <w:sz w:val="28"/>
          <w:szCs w:val="28"/>
        </w:rPr>
        <w:t xml:space="preserve"> para el derecho de acceso a la información, como es delegar al operador jurídico la obligación de clasificar la información solicitada a partir de una </w:t>
      </w:r>
      <w:r w:rsidR="00DC1A86" w:rsidRPr="00C349AC">
        <w:rPr>
          <w:rFonts w:ascii="Arial" w:hAnsi="Arial" w:cs="Arial"/>
          <w:i/>
          <w:color w:val="000000" w:themeColor="text1"/>
          <w:sz w:val="28"/>
          <w:szCs w:val="28"/>
        </w:rPr>
        <w:t>prueba de daño</w:t>
      </w:r>
      <w:r w:rsidR="00DC1A86" w:rsidRPr="00C349AC">
        <w:rPr>
          <w:rFonts w:ascii="Arial" w:hAnsi="Arial" w:cs="Arial"/>
          <w:color w:val="000000" w:themeColor="text1"/>
          <w:sz w:val="28"/>
          <w:szCs w:val="28"/>
        </w:rPr>
        <w:t xml:space="preserve">, o bien, acotar la norma de tal manera que no toda la información contenida en la Plataforma sea reservada, sino sólo aquella que efectivamente ponga en riesgo la seguridad pública. </w:t>
      </w:r>
    </w:p>
    <w:p w14:paraId="4ECF0C72" w14:textId="781D548B" w:rsidR="00FB7067" w:rsidRPr="00C349AC" w:rsidRDefault="00FB7067" w:rsidP="00556E9F">
      <w:pPr>
        <w:spacing w:after="0" w:line="360" w:lineRule="auto"/>
        <w:ind w:firstLine="709"/>
        <w:jc w:val="both"/>
        <w:rPr>
          <w:rFonts w:ascii="Arial" w:hAnsi="Arial" w:cs="Arial"/>
          <w:color w:val="000000" w:themeColor="text1"/>
          <w:sz w:val="28"/>
          <w:szCs w:val="28"/>
        </w:rPr>
      </w:pPr>
    </w:p>
    <w:p w14:paraId="0FD14265" w14:textId="0D031316" w:rsidR="00C57C1D" w:rsidRPr="00C349AC" w:rsidRDefault="00FB7067" w:rsidP="00C57C1D">
      <w:pPr>
        <w:spacing w:after="0" w:line="360" w:lineRule="auto"/>
        <w:ind w:firstLine="709"/>
        <w:jc w:val="both"/>
        <w:rPr>
          <w:rFonts w:ascii="Arial" w:hAnsi="Arial" w:cs="Arial"/>
          <w:color w:val="000000" w:themeColor="text1"/>
          <w:sz w:val="28"/>
          <w:szCs w:val="28"/>
        </w:rPr>
      </w:pPr>
      <w:r w:rsidRPr="00C349AC">
        <w:rPr>
          <w:rFonts w:ascii="Arial" w:hAnsi="Arial" w:cs="Arial"/>
          <w:color w:val="000000" w:themeColor="text1"/>
          <w:sz w:val="28"/>
          <w:szCs w:val="28"/>
        </w:rPr>
        <w:t>Ahora bien, al igual que en el precedente, co</w:t>
      </w:r>
      <w:r w:rsidR="00C57C1D" w:rsidRPr="00C349AC">
        <w:rPr>
          <w:rFonts w:ascii="Arial" w:hAnsi="Arial" w:cs="Arial"/>
          <w:color w:val="000000" w:themeColor="text1"/>
          <w:sz w:val="28"/>
          <w:szCs w:val="28"/>
        </w:rPr>
        <w:t xml:space="preserve">incido con la mayoría en </w:t>
      </w:r>
      <w:r w:rsidRPr="00C349AC">
        <w:rPr>
          <w:rFonts w:ascii="Arial" w:hAnsi="Arial" w:cs="Arial"/>
          <w:color w:val="000000" w:themeColor="text1"/>
          <w:sz w:val="28"/>
          <w:szCs w:val="28"/>
        </w:rPr>
        <w:t>que</w:t>
      </w:r>
      <w:r w:rsidR="00C57C1D" w:rsidRPr="00C349AC">
        <w:rPr>
          <w:rFonts w:ascii="Arial" w:hAnsi="Arial" w:cs="Arial"/>
          <w:color w:val="000000" w:themeColor="text1"/>
          <w:sz w:val="28"/>
          <w:szCs w:val="28"/>
        </w:rPr>
        <w:t xml:space="preserve">, </w:t>
      </w:r>
      <w:r w:rsidRPr="00C349AC">
        <w:rPr>
          <w:rFonts w:ascii="Arial" w:hAnsi="Arial" w:cs="Arial"/>
          <w:color w:val="000000" w:themeColor="text1"/>
          <w:sz w:val="28"/>
          <w:szCs w:val="28"/>
        </w:rPr>
        <w:t xml:space="preserve">para </w:t>
      </w:r>
      <w:r w:rsidR="00C57C1D" w:rsidRPr="00C349AC">
        <w:rPr>
          <w:rFonts w:ascii="Arial" w:hAnsi="Arial" w:cs="Arial"/>
          <w:color w:val="000000" w:themeColor="text1"/>
          <w:sz w:val="28"/>
          <w:szCs w:val="28"/>
        </w:rPr>
        <w:t>solucionar este problema de inconstitucionalidad, no e</w:t>
      </w:r>
      <w:r w:rsidR="00C56798" w:rsidRPr="00C349AC">
        <w:rPr>
          <w:rFonts w:ascii="Arial" w:hAnsi="Arial" w:cs="Arial"/>
          <w:color w:val="000000" w:themeColor="text1"/>
          <w:sz w:val="28"/>
          <w:szCs w:val="28"/>
        </w:rPr>
        <w:t>ra</w:t>
      </w:r>
      <w:r w:rsidR="00C57C1D" w:rsidRPr="00C349AC">
        <w:rPr>
          <w:rFonts w:ascii="Arial" w:hAnsi="Arial" w:cs="Arial"/>
          <w:color w:val="000000" w:themeColor="text1"/>
          <w:sz w:val="28"/>
          <w:szCs w:val="28"/>
        </w:rPr>
        <w:t xml:space="preserve"> necesario declarar la invalidez total del precepto, sino que basta con invalidar la porción que dice “cuya consulta es exclusiva de las instituciones de seguridad ciudadana que estén facultadas en cada caso, a través de las personas servidoras públicas que cada institución designe, por lo que el público no tendrá acceso a la información que en ellos se contenga”. Lo anterior, </w:t>
      </w:r>
      <w:r w:rsidR="00FF0104" w:rsidRPr="00C349AC">
        <w:rPr>
          <w:rFonts w:ascii="Arial" w:hAnsi="Arial" w:cs="Arial"/>
          <w:color w:val="000000" w:themeColor="text1"/>
          <w:sz w:val="28"/>
          <w:szCs w:val="28"/>
        </w:rPr>
        <w:t xml:space="preserve">ya que, </w:t>
      </w:r>
      <w:r w:rsidR="00C57C1D" w:rsidRPr="00C349AC">
        <w:rPr>
          <w:rFonts w:ascii="Arial" w:hAnsi="Arial" w:cs="Arial"/>
          <w:color w:val="000000" w:themeColor="text1"/>
          <w:sz w:val="28"/>
          <w:szCs w:val="28"/>
        </w:rPr>
        <w:t>con dicha invalidez parcial</w:t>
      </w:r>
      <w:r w:rsidR="00FF0104" w:rsidRPr="00C349AC">
        <w:rPr>
          <w:rFonts w:ascii="Arial" w:hAnsi="Arial" w:cs="Arial"/>
          <w:color w:val="000000" w:themeColor="text1"/>
          <w:sz w:val="28"/>
          <w:szCs w:val="28"/>
        </w:rPr>
        <w:t xml:space="preserve">, </w:t>
      </w:r>
      <w:r w:rsidR="00C57C1D" w:rsidRPr="00C349AC">
        <w:rPr>
          <w:rFonts w:ascii="Arial" w:hAnsi="Arial" w:cs="Arial"/>
          <w:color w:val="000000" w:themeColor="text1"/>
          <w:sz w:val="28"/>
          <w:szCs w:val="28"/>
        </w:rPr>
        <w:t xml:space="preserve">aunado a la interpretación sistemática que </w:t>
      </w:r>
      <w:r w:rsidR="00010D3E">
        <w:rPr>
          <w:rFonts w:ascii="Arial" w:hAnsi="Arial" w:cs="Arial"/>
          <w:color w:val="000000" w:themeColor="text1"/>
          <w:sz w:val="28"/>
          <w:szCs w:val="28"/>
        </w:rPr>
        <w:t xml:space="preserve">se </w:t>
      </w:r>
      <w:r w:rsidR="00C57C1D" w:rsidRPr="00C349AC">
        <w:rPr>
          <w:rFonts w:ascii="Arial" w:hAnsi="Arial" w:cs="Arial"/>
          <w:color w:val="000000" w:themeColor="text1"/>
          <w:sz w:val="28"/>
          <w:szCs w:val="28"/>
        </w:rPr>
        <w:t xml:space="preserve">precisa en </w:t>
      </w:r>
      <w:r w:rsidR="00FF0104" w:rsidRPr="00C349AC">
        <w:rPr>
          <w:rFonts w:ascii="Arial" w:hAnsi="Arial" w:cs="Arial"/>
          <w:color w:val="000000" w:themeColor="text1"/>
          <w:sz w:val="28"/>
          <w:szCs w:val="28"/>
        </w:rPr>
        <w:t xml:space="preserve">la sentencia, </w:t>
      </w:r>
      <w:r w:rsidR="00C57C1D" w:rsidRPr="00C349AC">
        <w:rPr>
          <w:rFonts w:ascii="Arial" w:hAnsi="Arial" w:cs="Arial"/>
          <w:color w:val="000000" w:themeColor="text1"/>
          <w:sz w:val="28"/>
          <w:szCs w:val="28"/>
        </w:rPr>
        <w:t>se permite que los operadores jurídicos apliquen dicha causal de conformidad con los principios y bases previstos en la Ley General de Transparencia y Acceso a la Información Pública, incluyendo la prueba de daño y los plazos de reserva.</w:t>
      </w:r>
    </w:p>
    <w:p w14:paraId="15243C1A" w14:textId="77777777" w:rsidR="00DC1A86" w:rsidRPr="00C349AC" w:rsidRDefault="00DC1A86" w:rsidP="00556E9F">
      <w:pPr>
        <w:autoSpaceDE w:val="0"/>
        <w:autoSpaceDN w:val="0"/>
        <w:adjustRightInd w:val="0"/>
        <w:spacing w:after="0" w:line="360" w:lineRule="auto"/>
        <w:ind w:right="51"/>
        <w:jc w:val="both"/>
        <w:rPr>
          <w:rFonts w:ascii="Arial" w:hAnsi="Arial" w:cs="Arial"/>
          <w:color w:val="000000" w:themeColor="text1"/>
          <w:sz w:val="28"/>
          <w:szCs w:val="28"/>
        </w:rPr>
      </w:pPr>
    </w:p>
    <w:p w14:paraId="2A226226" w14:textId="49FFDBE7" w:rsidR="00DC1A86" w:rsidRPr="00C349AC" w:rsidRDefault="00FB7067" w:rsidP="00FB7067">
      <w:pPr>
        <w:pStyle w:val="Prrafodelista"/>
        <w:numPr>
          <w:ilvl w:val="0"/>
          <w:numId w:val="3"/>
        </w:numPr>
        <w:autoSpaceDE w:val="0"/>
        <w:autoSpaceDN w:val="0"/>
        <w:adjustRightInd w:val="0"/>
        <w:spacing w:after="0" w:line="360" w:lineRule="auto"/>
        <w:ind w:right="51"/>
        <w:jc w:val="both"/>
        <w:rPr>
          <w:rFonts w:ascii="Arial" w:hAnsi="Arial" w:cs="Arial"/>
          <w:color w:val="000000" w:themeColor="text1"/>
          <w:sz w:val="28"/>
          <w:szCs w:val="28"/>
        </w:rPr>
      </w:pPr>
      <w:r w:rsidRPr="00C349AC">
        <w:rPr>
          <w:rFonts w:ascii="Arial" w:hAnsi="Arial" w:cs="Arial"/>
          <w:b/>
          <w:bCs/>
          <w:color w:val="000000" w:themeColor="text1"/>
          <w:sz w:val="28"/>
          <w:szCs w:val="28"/>
          <w:lang w:val="es-ES_tradnl"/>
        </w:rPr>
        <w:t xml:space="preserve">Tema 3. </w:t>
      </w:r>
      <w:r w:rsidR="00DC1A86" w:rsidRPr="00C349AC">
        <w:rPr>
          <w:rFonts w:ascii="Arial" w:hAnsi="Arial" w:cs="Arial"/>
          <w:b/>
          <w:bCs/>
          <w:color w:val="000000" w:themeColor="text1"/>
          <w:sz w:val="28"/>
          <w:szCs w:val="28"/>
          <w:lang w:val="es-ES_tradnl"/>
        </w:rPr>
        <w:t>Inconstitucionalidad del artículo 3, fracción I</w:t>
      </w:r>
      <w:r w:rsidR="00010D3E">
        <w:rPr>
          <w:rFonts w:ascii="Arial" w:hAnsi="Arial" w:cs="Arial"/>
          <w:b/>
          <w:bCs/>
          <w:color w:val="000000" w:themeColor="text1"/>
          <w:sz w:val="28"/>
          <w:szCs w:val="28"/>
          <w:lang w:val="es-ES_tradnl"/>
        </w:rPr>
        <w:t>.</w:t>
      </w:r>
    </w:p>
    <w:p w14:paraId="041C2832" w14:textId="77777777" w:rsidR="00DC1A86" w:rsidRPr="00C349AC" w:rsidRDefault="00DC1A86" w:rsidP="00556E9F">
      <w:pPr>
        <w:spacing w:after="0" w:line="360" w:lineRule="auto"/>
        <w:jc w:val="both"/>
        <w:rPr>
          <w:rFonts w:ascii="Arial" w:hAnsi="Arial" w:cs="Arial"/>
          <w:color w:val="000000" w:themeColor="text1"/>
          <w:sz w:val="28"/>
          <w:szCs w:val="28"/>
          <w:highlight w:val="yellow"/>
          <w:lang w:val="es-ES_tradnl"/>
        </w:rPr>
      </w:pPr>
    </w:p>
    <w:p w14:paraId="00D26B18" w14:textId="781A4F5A" w:rsidR="00FB7067" w:rsidRPr="00C349AC" w:rsidRDefault="00FB7067" w:rsidP="00FB7067">
      <w:pPr>
        <w:spacing w:after="0" w:line="360" w:lineRule="auto"/>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 xml:space="preserve">En este apartado, la mayoría sostuvo que </w:t>
      </w:r>
      <w:r w:rsidR="00DC1A86" w:rsidRPr="00C349AC">
        <w:rPr>
          <w:rFonts w:ascii="Arial" w:hAnsi="Arial" w:cs="Arial"/>
          <w:color w:val="000000" w:themeColor="text1"/>
          <w:sz w:val="28"/>
          <w:szCs w:val="28"/>
          <w:lang w:val="es-ES_tradnl"/>
        </w:rPr>
        <w:t xml:space="preserve">la fracción I del artículo 3 de la Ley impugnada es inconstitucional </w:t>
      </w:r>
      <w:r w:rsidR="00B4157B" w:rsidRPr="00C349AC">
        <w:rPr>
          <w:rFonts w:ascii="Arial" w:hAnsi="Arial" w:cs="Arial"/>
          <w:color w:val="000000" w:themeColor="text1"/>
          <w:sz w:val="28"/>
          <w:szCs w:val="28"/>
          <w:lang w:val="es-ES_tradnl"/>
        </w:rPr>
        <w:t xml:space="preserve">ya </w:t>
      </w:r>
      <w:r w:rsidR="00DC1A86" w:rsidRPr="00C349AC">
        <w:rPr>
          <w:rFonts w:ascii="Arial" w:hAnsi="Arial" w:cs="Arial"/>
          <w:color w:val="000000" w:themeColor="text1"/>
          <w:sz w:val="28"/>
          <w:szCs w:val="28"/>
          <w:lang w:val="es-ES_tradnl"/>
        </w:rPr>
        <w:t>que, de conformidad con el artículo 73, fracción XXIII</w:t>
      </w:r>
      <w:r w:rsidR="00010D3E">
        <w:rPr>
          <w:rFonts w:ascii="Arial" w:hAnsi="Arial" w:cs="Arial"/>
          <w:color w:val="000000" w:themeColor="text1"/>
          <w:sz w:val="28"/>
          <w:szCs w:val="28"/>
          <w:lang w:val="es-ES_tradnl"/>
        </w:rPr>
        <w:t>,</w:t>
      </w:r>
      <w:r w:rsidR="00DC1A86" w:rsidRPr="00C349AC">
        <w:rPr>
          <w:rFonts w:ascii="Arial" w:hAnsi="Arial" w:cs="Arial"/>
          <w:color w:val="000000" w:themeColor="text1"/>
          <w:sz w:val="28"/>
          <w:szCs w:val="28"/>
          <w:lang w:val="es-ES_tradnl"/>
        </w:rPr>
        <w:t xml:space="preserve"> de la Constitución General, corresponde</w:t>
      </w:r>
      <w:r w:rsidR="00FF0104" w:rsidRPr="00C349AC">
        <w:rPr>
          <w:rFonts w:ascii="Arial" w:hAnsi="Arial" w:cs="Arial"/>
          <w:color w:val="000000" w:themeColor="text1"/>
          <w:sz w:val="28"/>
          <w:szCs w:val="28"/>
          <w:lang w:val="es-ES_tradnl"/>
        </w:rPr>
        <w:t xml:space="preserve"> en exclusiva</w:t>
      </w:r>
      <w:r w:rsidR="00DC1A86" w:rsidRPr="00C349AC">
        <w:rPr>
          <w:rFonts w:ascii="Arial" w:hAnsi="Arial" w:cs="Arial"/>
          <w:color w:val="000000" w:themeColor="text1"/>
          <w:sz w:val="28"/>
          <w:szCs w:val="28"/>
          <w:lang w:val="es-ES_tradnl"/>
        </w:rPr>
        <w:t xml:space="preserve"> al Congreso de la Unión establecer las bases de coordinación entre la Federación, las entidades federativas y los </w:t>
      </w:r>
      <w:r w:rsidR="00010D3E">
        <w:rPr>
          <w:rFonts w:ascii="Arial" w:hAnsi="Arial" w:cs="Arial"/>
          <w:color w:val="000000" w:themeColor="text1"/>
          <w:sz w:val="28"/>
          <w:szCs w:val="28"/>
          <w:lang w:val="es-ES_tradnl"/>
        </w:rPr>
        <w:t>M</w:t>
      </w:r>
      <w:r w:rsidR="00DC1A86" w:rsidRPr="00C349AC">
        <w:rPr>
          <w:rFonts w:ascii="Arial" w:hAnsi="Arial" w:cs="Arial"/>
          <w:color w:val="000000" w:themeColor="text1"/>
          <w:sz w:val="28"/>
          <w:szCs w:val="28"/>
          <w:lang w:val="es-ES_tradnl"/>
        </w:rPr>
        <w:t>unicipios</w:t>
      </w:r>
      <w:r w:rsidR="00FF0104" w:rsidRPr="00C349AC">
        <w:rPr>
          <w:rFonts w:ascii="Arial" w:hAnsi="Arial" w:cs="Arial"/>
          <w:color w:val="000000" w:themeColor="text1"/>
          <w:sz w:val="28"/>
          <w:szCs w:val="28"/>
          <w:lang w:val="es-ES_tradnl"/>
        </w:rPr>
        <w:t xml:space="preserve">. De manera que </w:t>
      </w:r>
      <w:r w:rsidR="00DC1A86" w:rsidRPr="00C349AC">
        <w:rPr>
          <w:rFonts w:ascii="Arial" w:hAnsi="Arial" w:cs="Arial"/>
          <w:color w:val="000000" w:themeColor="text1"/>
          <w:sz w:val="28"/>
          <w:szCs w:val="28"/>
          <w:lang w:val="es-ES_tradnl"/>
        </w:rPr>
        <w:t>los Estados carecen de competencia para establecer qu</w:t>
      </w:r>
      <w:r w:rsidR="00B4157B" w:rsidRPr="00C349AC">
        <w:rPr>
          <w:rFonts w:ascii="Arial" w:hAnsi="Arial" w:cs="Arial"/>
          <w:color w:val="000000" w:themeColor="text1"/>
          <w:sz w:val="28"/>
          <w:szCs w:val="28"/>
          <w:lang w:val="es-ES_tradnl"/>
        </w:rPr>
        <w:t>é</w:t>
      </w:r>
      <w:r w:rsidR="00DC1A86" w:rsidRPr="00C349AC">
        <w:rPr>
          <w:rFonts w:ascii="Arial" w:hAnsi="Arial" w:cs="Arial"/>
          <w:color w:val="000000" w:themeColor="text1"/>
          <w:sz w:val="28"/>
          <w:szCs w:val="28"/>
          <w:lang w:val="es-ES_tradnl"/>
        </w:rPr>
        <w:t xml:space="preserve"> normas serán de aplicación supletoria en la coordinación entre los tres órdenes de gobierno. </w:t>
      </w:r>
    </w:p>
    <w:p w14:paraId="2B8610FB" w14:textId="77777777" w:rsidR="00FB7067" w:rsidRPr="00C349AC" w:rsidRDefault="00FB7067" w:rsidP="00FB7067">
      <w:pPr>
        <w:spacing w:after="0" w:line="360" w:lineRule="auto"/>
        <w:jc w:val="both"/>
        <w:rPr>
          <w:rFonts w:ascii="Arial" w:hAnsi="Arial" w:cs="Arial"/>
          <w:color w:val="000000" w:themeColor="text1"/>
          <w:sz w:val="28"/>
          <w:szCs w:val="28"/>
          <w:lang w:val="es-ES_tradnl"/>
        </w:rPr>
      </w:pPr>
    </w:p>
    <w:p w14:paraId="2E85404C" w14:textId="56C63BE8" w:rsidR="00DC1A86" w:rsidRPr="00C349AC" w:rsidRDefault="00FF0104" w:rsidP="00B4157B">
      <w:pPr>
        <w:spacing w:after="0" w:line="360" w:lineRule="auto"/>
        <w:ind w:firstLine="708"/>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Adicionalmente</w:t>
      </w:r>
      <w:r w:rsidR="00FB7067" w:rsidRPr="00C349AC">
        <w:rPr>
          <w:rFonts w:ascii="Arial" w:hAnsi="Arial" w:cs="Arial"/>
          <w:color w:val="000000" w:themeColor="text1"/>
          <w:sz w:val="28"/>
          <w:szCs w:val="28"/>
          <w:lang w:val="es-ES_tradnl"/>
        </w:rPr>
        <w:t xml:space="preserve">, </w:t>
      </w:r>
      <w:r w:rsidRPr="00C349AC">
        <w:rPr>
          <w:rFonts w:ascii="Arial" w:hAnsi="Arial" w:cs="Arial"/>
          <w:color w:val="000000" w:themeColor="text1"/>
          <w:sz w:val="28"/>
          <w:szCs w:val="28"/>
          <w:lang w:val="es-ES_tradnl"/>
        </w:rPr>
        <w:t xml:space="preserve">la mayoría sostuvo </w:t>
      </w:r>
      <w:r w:rsidR="00FB7067" w:rsidRPr="00C349AC">
        <w:rPr>
          <w:rFonts w:ascii="Arial" w:hAnsi="Arial" w:cs="Arial"/>
          <w:color w:val="000000" w:themeColor="text1"/>
          <w:sz w:val="28"/>
          <w:szCs w:val="28"/>
          <w:lang w:val="es-ES_tradnl"/>
        </w:rPr>
        <w:t xml:space="preserve">que </w:t>
      </w:r>
      <w:r w:rsidR="00DC1A86" w:rsidRPr="00C349AC">
        <w:rPr>
          <w:rFonts w:ascii="Arial" w:hAnsi="Arial" w:cs="Arial"/>
          <w:color w:val="000000" w:themeColor="text1"/>
          <w:sz w:val="28"/>
          <w:szCs w:val="28"/>
          <w:lang w:val="es-ES_tradnl"/>
        </w:rPr>
        <w:t>las entidades federativas no están facultadas para asignar supletoriedad a las leyes generales y menos de leyes nacionale</w:t>
      </w:r>
      <w:r w:rsidR="00B4157B" w:rsidRPr="00C349AC">
        <w:rPr>
          <w:rFonts w:ascii="Arial" w:hAnsi="Arial" w:cs="Arial"/>
          <w:color w:val="000000" w:themeColor="text1"/>
          <w:sz w:val="28"/>
          <w:szCs w:val="28"/>
          <w:lang w:val="es-ES_tradnl"/>
        </w:rPr>
        <w:t>s.</w:t>
      </w:r>
      <w:r w:rsidR="00653B90" w:rsidRPr="00C349AC">
        <w:rPr>
          <w:rFonts w:ascii="Arial" w:hAnsi="Arial" w:cs="Arial"/>
          <w:color w:val="000000" w:themeColor="text1"/>
          <w:sz w:val="28"/>
          <w:szCs w:val="28"/>
          <w:lang w:val="es-ES_tradnl"/>
        </w:rPr>
        <w:t xml:space="preserve"> Así</w:t>
      </w:r>
      <w:r w:rsidR="00B4157B" w:rsidRPr="00C349AC">
        <w:rPr>
          <w:rFonts w:ascii="Arial" w:hAnsi="Arial" w:cs="Arial"/>
          <w:color w:val="000000" w:themeColor="text1"/>
          <w:sz w:val="28"/>
          <w:szCs w:val="28"/>
          <w:lang w:val="es-ES_tradnl"/>
        </w:rPr>
        <w:t xml:space="preserve">, </w:t>
      </w:r>
      <w:r w:rsidRPr="00C349AC">
        <w:rPr>
          <w:rFonts w:ascii="Arial" w:hAnsi="Arial" w:cs="Arial"/>
          <w:color w:val="000000" w:themeColor="text1"/>
          <w:sz w:val="28"/>
          <w:szCs w:val="28"/>
          <w:lang w:val="es-ES_tradnl"/>
        </w:rPr>
        <w:t xml:space="preserve">se </w:t>
      </w:r>
      <w:r w:rsidR="00794CBF" w:rsidRPr="00C349AC">
        <w:rPr>
          <w:rFonts w:ascii="Arial" w:hAnsi="Arial" w:cs="Arial"/>
          <w:color w:val="000000" w:themeColor="text1"/>
          <w:sz w:val="28"/>
          <w:szCs w:val="28"/>
          <w:lang w:val="es-ES_tradnl"/>
        </w:rPr>
        <w:t>estimó</w:t>
      </w:r>
      <w:r w:rsidR="00B4157B" w:rsidRPr="00C349AC">
        <w:rPr>
          <w:rFonts w:ascii="Arial" w:hAnsi="Arial" w:cs="Arial"/>
          <w:color w:val="000000" w:themeColor="text1"/>
          <w:sz w:val="28"/>
          <w:szCs w:val="28"/>
          <w:lang w:val="es-ES_tradnl"/>
        </w:rPr>
        <w:t xml:space="preserve"> que la norma efectivamente </w:t>
      </w:r>
      <w:r w:rsidR="00DC1A86" w:rsidRPr="00C349AC">
        <w:rPr>
          <w:rFonts w:ascii="Arial" w:hAnsi="Arial" w:cs="Arial"/>
          <w:color w:val="000000" w:themeColor="text1"/>
          <w:sz w:val="28"/>
          <w:szCs w:val="28"/>
          <w:lang w:val="es-ES_tradnl"/>
        </w:rPr>
        <w:t>genera inseguridad jurídica pues se refiere a casos de aplicación directa de determinadas legislaciones para apoyo y coordinación interinstitucional, al supeditar la aplicación de la Ley General del Sistema Nacional de Seguridad Pública, la Ley de Guardia Nacional y La Ley Nacional sobre el uso de la Fuerza, así como de diversas resoluciones y acuerdos emitidos por el Consejo Nacional de Seguridad Pública, provocando con ello que se vulnere el sistema de coordinación.</w:t>
      </w:r>
    </w:p>
    <w:p w14:paraId="0A64DFE9" w14:textId="5AEE9C53" w:rsidR="00B4157B" w:rsidRPr="00C349AC" w:rsidRDefault="00B4157B" w:rsidP="00B4157B">
      <w:pPr>
        <w:spacing w:after="0" w:line="360" w:lineRule="auto"/>
        <w:ind w:firstLine="708"/>
        <w:jc w:val="both"/>
        <w:rPr>
          <w:rFonts w:ascii="Arial" w:hAnsi="Arial" w:cs="Arial"/>
          <w:color w:val="000000" w:themeColor="text1"/>
          <w:sz w:val="28"/>
          <w:szCs w:val="28"/>
          <w:lang w:val="es-ES_tradnl"/>
        </w:rPr>
      </w:pPr>
    </w:p>
    <w:p w14:paraId="32E034C0" w14:textId="6A8C62F7" w:rsidR="00794CBF" w:rsidRPr="00C349AC" w:rsidRDefault="00D7277D" w:rsidP="00D7277D">
      <w:pPr>
        <w:spacing w:after="0" w:line="360" w:lineRule="auto"/>
        <w:ind w:firstLine="708"/>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C</w:t>
      </w:r>
      <w:r w:rsidR="00B4157B" w:rsidRPr="00C349AC">
        <w:rPr>
          <w:rFonts w:ascii="Arial" w:hAnsi="Arial" w:cs="Arial"/>
          <w:color w:val="000000" w:themeColor="text1"/>
          <w:sz w:val="28"/>
          <w:szCs w:val="28"/>
          <w:lang w:val="es-ES_tradnl"/>
        </w:rPr>
        <w:t>oincido con la mayoría en que el citado precepto es inconstitucional</w:t>
      </w:r>
      <w:r w:rsidR="00653B90" w:rsidRPr="00C349AC">
        <w:rPr>
          <w:rFonts w:ascii="Arial" w:hAnsi="Arial" w:cs="Arial"/>
          <w:color w:val="000000" w:themeColor="text1"/>
          <w:sz w:val="28"/>
          <w:szCs w:val="28"/>
          <w:lang w:val="es-ES_tradnl"/>
        </w:rPr>
        <w:t xml:space="preserve">, sobre todo </w:t>
      </w:r>
      <w:r w:rsidR="00FF0104" w:rsidRPr="00C349AC">
        <w:rPr>
          <w:rFonts w:ascii="Arial" w:hAnsi="Arial" w:cs="Arial"/>
          <w:color w:val="000000" w:themeColor="text1"/>
          <w:sz w:val="28"/>
          <w:szCs w:val="28"/>
          <w:lang w:val="es-ES_tradnl"/>
        </w:rPr>
        <w:t>por la primera de las razones antes mencionadas.</w:t>
      </w:r>
      <w:r w:rsidR="00B4157B" w:rsidRPr="00C349AC">
        <w:rPr>
          <w:rFonts w:ascii="Arial" w:hAnsi="Arial" w:cs="Arial"/>
          <w:color w:val="000000" w:themeColor="text1"/>
          <w:sz w:val="28"/>
          <w:szCs w:val="28"/>
          <w:lang w:val="es-ES_tradnl"/>
        </w:rPr>
        <w:t xml:space="preserve"> Como se señala </w:t>
      </w:r>
      <w:r w:rsidR="00794CBF" w:rsidRPr="00C349AC">
        <w:rPr>
          <w:rFonts w:ascii="Arial" w:hAnsi="Arial" w:cs="Arial"/>
          <w:color w:val="000000" w:themeColor="text1"/>
          <w:sz w:val="28"/>
          <w:szCs w:val="28"/>
          <w:lang w:val="es-ES_tradnl"/>
        </w:rPr>
        <w:t>en</w:t>
      </w:r>
      <w:r w:rsidR="00B4157B" w:rsidRPr="00C349AC">
        <w:rPr>
          <w:rFonts w:ascii="Arial" w:hAnsi="Arial" w:cs="Arial"/>
          <w:color w:val="000000" w:themeColor="text1"/>
          <w:sz w:val="28"/>
          <w:szCs w:val="28"/>
          <w:lang w:val="es-ES_tradnl"/>
        </w:rPr>
        <w:t xml:space="preserve"> la sentencia, el artículo 73, fracción XXIII, de la Constitución General establece que corresponde al Congreso de la Unión establecer las bases de coordinación entre la Federación, las entidades federativas y los Municipios, </w:t>
      </w:r>
      <w:r w:rsidR="00384BA0" w:rsidRPr="00C349AC">
        <w:rPr>
          <w:rFonts w:ascii="Arial" w:hAnsi="Arial" w:cs="Arial"/>
          <w:color w:val="000000" w:themeColor="text1"/>
          <w:sz w:val="28"/>
          <w:szCs w:val="28"/>
          <w:lang w:val="es-ES_tradnl"/>
        </w:rPr>
        <w:t>de manera</w:t>
      </w:r>
      <w:r w:rsidR="00B4157B" w:rsidRPr="00C349AC">
        <w:rPr>
          <w:rFonts w:ascii="Arial" w:hAnsi="Arial" w:cs="Arial"/>
          <w:color w:val="000000" w:themeColor="text1"/>
          <w:sz w:val="28"/>
          <w:szCs w:val="28"/>
          <w:lang w:val="es-ES_tradnl"/>
        </w:rPr>
        <w:t xml:space="preserve"> que los Estados carecen de competencia para establecer qué normas son de aplicación supletoria en este específico punto</w:t>
      </w:r>
      <w:r w:rsidR="00384BA0" w:rsidRPr="00C349AC">
        <w:rPr>
          <w:rFonts w:ascii="Arial" w:hAnsi="Arial" w:cs="Arial"/>
          <w:color w:val="000000" w:themeColor="text1"/>
          <w:sz w:val="28"/>
          <w:szCs w:val="28"/>
          <w:lang w:val="es-ES_tradnl"/>
        </w:rPr>
        <w:t xml:space="preserve">; </w:t>
      </w:r>
      <w:r w:rsidR="00B4157B" w:rsidRPr="00C349AC">
        <w:rPr>
          <w:rFonts w:ascii="Arial" w:hAnsi="Arial" w:cs="Arial"/>
          <w:color w:val="000000" w:themeColor="text1"/>
          <w:sz w:val="28"/>
          <w:szCs w:val="28"/>
          <w:lang w:val="es-ES_tradnl"/>
        </w:rPr>
        <w:t xml:space="preserve">es decir, </w:t>
      </w:r>
      <w:r w:rsidR="00DC1A86" w:rsidRPr="00C349AC">
        <w:rPr>
          <w:rFonts w:ascii="Arial" w:hAnsi="Arial" w:cs="Arial"/>
          <w:color w:val="000000" w:themeColor="text1"/>
          <w:sz w:val="28"/>
          <w:szCs w:val="28"/>
          <w:lang w:val="es-ES_tradnl"/>
        </w:rPr>
        <w:t xml:space="preserve">sobre la coordinación entre </w:t>
      </w:r>
      <w:r w:rsidR="00DC1A86" w:rsidRPr="00C349AC">
        <w:rPr>
          <w:rFonts w:ascii="Arial" w:hAnsi="Arial" w:cs="Arial"/>
          <w:color w:val="000000" w:themeColor="text1"/>
          <w:sz w:val="28"/>
          <w:szCs w:val="28"/>
          <w:lang w:val="es-ES_tradnl"/>
        </w:rPr>
        <w:lastRenderedPageBreak/>
        <w:t>los tres órdenes de gobierno</w:t>
      </w:r>
      <w:r w:rsidRPr="00C349AC">
        <w:rPr>
          <w:rFonts w:ascii="Arial" w:hAnsi="Arial" w:cs="Arial"/>
          <w:color w:val="000000" w:themeColor="text1"/>
          <w:sz w:val="28"/>
          <w:szCs w:val="28"/>
          <w:lang w:val="es-ES_tradnl"/>
        </w:rPr>
        <w:t xml:space="preserve"> en materia de seguridad. </w:t>
      </w:r>
      <w:r w:rsidR="00653B90" w:rsidRPr="00C349AC">
        <w:rPr>
          <w:rFonts w:ascii="Arial" w:hAnsi="Arial" w:cs="Arial"/>
          <w:color w:val="000000" w:themeColor="text1"/>
          <w:sz w:val="28"/>
          <w:szCs w:val="28"/>
          <w:lang w:val="es-ES_tradnl"/>
        </w:rPr>
        <w:t>No obstante</w:t>
      </w:r>
      <w:r w:rsidRPr="00C349AC">
        <w:rPr>
          <w:rFonts w:ascii="Arial" w:hAnsi="Arial" w:cs="Arial"/>
          <w:color w:val="000000" w:themeColor="text1"/>
          <w:sz w:val="28"/>
          <w:szCs w:val="28"/>
          <w:lang w:val="es-ES_tradnl"/>
        </w:rPr>
        <w:t xml:space="preserve">, me parece importante hacer </w:t>
      </w:r>
      <w:r w:rsidR="00794CBF" w:rsidRPr="00C349AC">
        <w:rPr>
          <w:rFonts w:ascii="Arial" w:hAnsi="Arial" w:cs="Arial"/>
          <w:color w:val="000000" w:themeColor="text1"/>
          <w:sz w:val="28"/>
          <w:szCs w:val="28"/>
          <w:lang w:val="es-ES_tradnl"/>
        </w:rPr>
        <w:t xml:space="preserve">la siguiente </w:t>
      </w:r>
      <w:r w:rsidRPr="00C349AC">
        <w:rPr>
          <w:rFonts w:ascii="Arial" w:hAnsi="Arial" w:cs="Arial"/>
          <w:color w:val="000000" w:themeColor="text1"/>
          <w:sz w:val="28"/>
          <w:szCs w:val="28"/>
          <w:lang w:val="es-ES_tradnl"/>
        </w:rPr>
        <w:t xml:space="preserve">precisión. </w:t>
      </w:r>
    </w:p>
    <w:p w14:paraId="6C124079" w14:textId="77777777" w:rsidR="00794CBF" w:rsidRPr="00C349AC" w:rsidRDefault="00794CBF" w:rsidP="00D7277D">
      <w:pPr>
        <w:spacing w:after="0" w:line="360" w:lineRule="auto"/>
        <w:ind w:firstLine="708"/>
        <w:jc w:val="both"/>
        <w:rPr>
          <w:rFonts w:ascii="Arial" w:hAnsi="Arial" w:cs="Arial"/>
          <w:color w:val="000000" w:themeColor="text1"/>
          <w:sz w:val="28"/>
          <w:szCs w:val="28"/>
          <w:lang w:val="es-ES_tradnl"/>
        </w:rPr>
      </w:pPr>
    </w:p>
    <w:p w14:paraId="14C61A40" w14:textId="4BC744D0" w:rsidR="00DC1A86" w:rsidRPr="00C349AC" w:rsidRDefault="00D7277D" w:rsidP="00D7277D">
      <w:pPr>
        <w:spacing w:after="0" w:line="360" w:lineRule="auto"/>
        <w:ind w:firstLine="708"/>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 xml:space="preserve">Es cierto que, </w:t>
      </w:r>
      <w:r w:rsidR="00DC1A86" w:rsidRPr="00C349AC">
        <w:rPr>
          <w:rFonts w:ascii="Arial" w:hAnsi="Arial" w:cs="Arial"/>
          <w:color w:val="000000" w:themeColor="text1"/>
          <w:sz w:val="28"/>
          <w:szCs w:val="28"/>
        </w:rPr>
        <w:t xml:space="preserve">al interpretar el </w:t>
      </w:r>
      <w:r w:rsidR="00DC1A86" w:rsidRPr="00C349AC">
        <w:rPr>
          <w:rFonts w:ascii="Arial" w:hAnsi="Arial" w:cs="Arial"/>
          <w:color w:val="000000" w:themeColor="text1"/>
          <w:sz w:val="28"/>
          <w:szCs w:val="28"/>
          <w:lang w:val="es-ES_tradnl"/>
        </w:rPr>
        <w:t xml:space="preserve">artículo 73, fracción XXIII, </w:t>
      </w:r>
      <w:r w:rsidR="00DC1A86" w:rsidRPr="00C349AC">
        <w:rPr>
          <w:rFonts w:ascii="Arial" w:hAnsi="Arial" w:cs="Arial"/>
          <w:color w:val="000000" w:themeColor="text1"/>
          <w:sz w:val="28"/>
          <w:szCs w:val="28"/>
        </w:rPr>
        <w:t xml:space="preserve">en relación con el </w:t>
      </w:r>
      <w:r w:rsidR="00CE1615">
        <w:rPr>
          <w:rFonts w:ascii="Arial" w:hAnsi="Arial" w:cs="Arial"/>
          <w:color w:val="000000" w:themeColor="text1"/>
          <w:sz w:val="28"/>
          <w:szCs w:val="28"/>
        </w:rPr>
        <w:t xml:space="preserve">diverso </w:t>
      </w:r>
      <w:r w:rsidR="00DC1A86" w:rsidRPr="00C349AC">
        <w:rPr>
          <w:rFonts w:ascii="Arial" w:hAnsi="Arial" w:cs="Arial"/>
          <w:color w:val="000000" w:themeColor="text1"/>
          <w:sz w:val="28"/>
          <w:szCs w:val="28"/>
        </w:rPr>
        <w:t>21 de la Constitución</w:t>
      </w:r>
      <w:r w:rsidR="00DC1A86" w:rsidRPr="00C349AC">
        <w:rPr>
          <w:rStyle w:val="Refdenotaalpie"/>
          <w:rFonts w:ascii="Arial" w:hAnsi="Arial" w:cs="Arial"/>
          <w:color w:val="000000" w:themeColor="text1"/>
          <w:sz w:val="28"/>
          <w:szCs w:val="28"/>
        </w:rPr>
        <w:footnoteReference w:id="21"/>
      </w:r>
      <w:r w:rsidR="00DC1A86" w:rsidRPr="00C349AC">
        <w:rPr>
          <w:rFonts w:ascii="Arial" w:hAnsi="Arial" w:cs="Arial"/>
          <w:color w:val="000000" w:themeColor="text1"/>
          <w:sz w:val="28"/>
          <w:szCs w:val="28"/>
        </w:rPr>
        <w:t xml:space="preserve">, esta Suprema Corte ha sostenido que la seguridad pública es una </w:t>
      </w:r>
      <w:r w:rsidR="00DC1A86" w:rsidRPr="00C349AC">
        <w:rPr>
          <w:rFonts w:ascii="Arial" w:hAnsi="Arial" w:cs="Arial"/>
          <w:i/>
          <w:iCs/>
          <w:color w:val="000000" w:themeColor="text1"/>
          <w:sz w:val="28"/>
          <w:szCs w:val="28"/>
        </w:rPr>
        <w:t>materia concurrente</w:t>
      </w:r>
      <w:r w:rsidRPr="00C349AC">
        <w:rPr>
          <w:rFonts w:ascii="Arial" w:hAnsi="Arial" w:cs="Arial"/>
          <w:color w:val="000000" w:themeColor="text1"/>
          <w:sz w:val="28"/>
          <w:szCs w:val="28"/>
        </w:rPr>
        <w:t xml:space="preserve"> </w:t>
      </w:r>
      <w:r w:rsidR="00DC1A86" w:rsidRPr="00C349AC">
        <w:rPr>
          <w:rFonts w:ascii="Arial" w:hAnsi="Arial" w:cs="Arial"/>
          <w:color w:val="000000" w:themeColor="text1"/>
          <w:sz w:val="28"/>
          <w:szCs w:val="28"/>
        </w:rPr>
        <w:t>en la que todas las instancias de gobierno deben coordinar esfuerzos</w:t>
      </w:r>
      <w:r w:rsidRPr="00C349AC">
        <w:rPr>
          <w:rFonts w:ascii="Arial" w:hAnsi="Arial" w:cs="Arial"/>
          <w:color w:val="000000" w:themeColor="text1"/>
          <w:sz w:val="28"/>
          <w:szCs w:val="28"/>
        </w:rPr>
        <w:t xml:space="preserve">. Sin embargo, también ha señalado que </w:t>
      </w:r>
      <w:r w:rsidRPr="00C349AC">
        <w:rPr>
          <w:rFonts w:ascii="Arial" w:hAnsi="Arial" w:cs="Arial"/>
          <w:i/>
          <w:iCs/>
          <w:color w:val="000000" w:themeColor="text1"/>
          <w:sz w:val="28"/>
          <w:szCs w:val="28"/>
        </w:rPr>
        <w:t xml:space="preserve">esta coordinación debe realizarse </w:t>
      </w:r>
      <w:r w:rsidR="00DC1A86" w:rsidRPr="00C349AC">
        <w:rPr>
          <w:rFonts w:ascii="Arial" w:hAnsi="Arial" w:cs="Arial"/>
          <w:i/>
          <w:iCs/>
          <w:color w:val="000000" w:themeColor="text1"/>
          <w:sz w:val="28"/>
          <w:szCs w:val="28"/>
        </w:rPr>
        <w:t xml:space="preserve">bajo </w:t>
      </w:r>
      <w:r w:rsidRPr="00C349AC">
        <w:rPr>
          <w:rFonts w:ascii="Arial" w:hAnsi="Arial" w:cs="Arial"/>
          <w:i/>
          <w:iCs/>
          <w:color w:val="000000" w:themeColor="text1"/>
          <w:sz w:val="28"/>
          <w:szCs w:val="28"/>
        </w:rPr>
        <w:t xml:space="preserve">los parámetros de la </w:t>
      </w:r>
      <w:r w:rsidR="00DC1A86" w:rsidRPr="00C349AC">
        <w:rPr>
          <w:rFonts w:ascii="Arial" w:hAnsi="Arial" w:cs="Arial"/>
          <w:i/>
          <w:iCs/>
          <w:color w:val="000000" w:themeColor="text1"/>
          <w:sz w:val="28"/>
          <w:szCs w:val="28"/>
        </w:rPr>
        <w:t xml:space="preserve">ley general </w:t>
      </w:r>
      <w:r w:rsidRPr="00C349AC">
        <w:rPr>
          <w:rFonts w:ascii="Arial" w:hAnsi="Arial" w:cs="Arial"/>
          <w:i/>
          <w:iCs/>
          <w:color w:val="000000" w:themeColor="text1"/>
          <w:sz w:val="28"/>
          <w:szCs w:val="28"/>
        </w:rPr>
        <w:t xml:space="preserve">que al efecto sea expedida </w:t>
      </w:r>
      <w:r w:rsidR="00DC1A86" w:rsidRPr="00C349AC">
        <w:rPr>
          <w:rFonts w:ascii="Arial" w:hAnsi="Arial" w:cs="Arial"/>
          <w:i/>
          <w:iCs/>
          <w:color w:val="000000" w:themeColor="text1"/>
          <w:sz w:val="28"/>
          <w:szCs w:val="28"/>
        </w:rPr>
        <w:t>por el Congreso de la Unión</w:t>
      </w:r>
      <w:r w:rsidR="00DC1A86" w:rsidRPr="00C349AC">
        <w:rPr>
          <w:rStyle w:val="Refdenotaalpie"/>
          <w:rFonts w:ascii="Arial" w:hAnsi="Arial" w:cs="Arial"/>
          <w:i/>
          <w:iCs/>
          <w:color w:val="000000" w:themeColor="text1"/>
          <w:sz w:val="28"/>
          <w:szCs w:val="28"/>
        </w:rPr>
        <w:footnoteReference w:id="22"/>
      </w:r>
      <w:r w:rsidRPr="00C349AC">
        <w:rPr>
          <w:rFonts w:ascii="Arial" w:hAnsi="Arial" w:cs="Arial"/>
          <w:i/>
          <w:iCs/>
          <w:color w:val="000000" w:themeColor="text1"/>
          <w:sz w:val="28"/>
          <w:szCs w:val="28"/>
        </w:rPr>
        <w:t xml:space="preserve">. </w:t>
      </w:r>
      <w:r w:rsidRPr="00C349AC">
        <w:rPr>
          <w:rFonts w:ascii="Arial" w:hAnsi="Arial" w:cs="Arial"/>
          <w:color w:val="000000" w:themeColor="text1"/>
          <w:sz w:val="28"/>
          <w:szCs w:val="28"/>
        </w:rPr>
        <w:t xml:space="preserve">Así se sostuvo, por ejemplo, en la </w:t>
      </w:r>
      <w:r w:rsidR="00DC1A86" w:rsidRPr="00C349AC">
        <w:rPr>
          <w:rFonts w:ascii="Arial" w:hAnsi="Arial" w:cs="Arial"/>
          <w:color w:val="000000" w:themeColor="text1"/>
          <w:sz w:val="28"/>
          <w:szCs w:val="28"/>
        </w:rPr>
        <w:t>controversia constitucional 132/2006</w:t>
      </w:r>
      <w:r w:rsidR="00DC1A86" w:rsidRPr="00C349AC">
        <w:rPr>
          <w:rStyle w:val="Refdenotaalpie"/>
          <w:rFonts w:ascii="Arial" w:hAnsi="Arial" w:cs="Arial"/>
          <w:color w:val="000000" w:themeColor="text1"/>
          <w:sz w:val="28"/>
          <w:szCs w:val="28"/>
        </w:rPr>
        <w:footnoteReference w:id="23"/>
      </w:r>
      <w:r w:rsidRPr="00C349AC">
        <w:rPr>
          <w:rFonts w:ascii="Arial" w:hAnsi="Arial" w:cs="Arial"/>
          <w:color w:val="000000" w:themeColor="text1"/>
          <w:sz w:val="28"/>
          <w:szCs w:val="28"/>
        </w:rPr>
        <w:t xml:space="preserve">, </w:t>
      </w:r>
      <w:r w:rsidR="00BB35C7" w:rsidRPr="00C349AC">
        <w:rPr>
          <w:rFonts w:ascii="Arial" w:hAnsi="Arial" w:cs="Arial"/>
          <w:color w:val="000000" w:themeColor="text1"/>
          <w:sz w:val="28"/>
          <w:szCs w:val="28"/>
        </w:rPr>
        <w:t xml:space="preserve">criterio </w:t>
      </w:r>
      <w:r w:rsidRPr="00C349AC">
        <w:rPr>
          <w:rFonts w:ascii="Arial" w:hAnsi="Arial" w:cs="Arial"/>
          <w:color w:val="000000" w:themeColor="text1"/>
          <w:sz w:val="28"/>
          <w:szCs w:val="28"/>
        </w:rPr>
        <w:t xml:space="preserve">que fue reiterado </w:t>
      </w:r>
      <w:r w:rsidR="00DC1A86" w:rsidRPr="00C349AC">
        <w:rPr>
          <w:rFonts w:ascii="Arial" w:hAnsi="Arial" w:cs="Arial"/>
          <w:color w:val="000000" w:themeColor="text1"/>
          <w:sz w:val="28"/>
          <w:szCs w:val="28"/>
        </w:rPr>
        <w:t>recientemente en la Controversia Constitucional 83/2017</w:t>
      </w:r>
      <w:r w:rsidR="00DC1A86" w:rsidRPr="00C349AC">
        <w:rPr>
          <w:rStyle w:val="Refdenotaalpie"/>
          <w:rFonts w:ascii="Arial" w:hAnsi="Arial" w:cs="Arial"/>
          <w:color w:val="000000" w:themeColor="text1"/>
          <w:sz w:val="28"/>
          <w:szCs w:val="28"/>
        </w:rPr>
        <w:footnoteReference w:id="24"/>
      </w:r>
      <w:r w:rsidR="00DC1A86" w:rsidRPr="00C349AC">
        <w:rPr>
          <w:rFonts w:ascii="Arial" w:hAnsi="Arial" w:cs="Arial"/>
          <w:color w:val="000000" w:themeColor="text1"/>
          <w:sz w:val="28"/>
          <w:szCs w:val="28"/>
        </w:rPr>
        <w:t>, en donde se precisó que:</w:t>
      </w:r>
    </w:p>
    <w:p w14:paraId="0EE9D30F" w14:textId="77777777" w:rsidR="00DC1A86" w:rsidRPr="00C349AC" w:rsidRDefault="00DC1A86" w:rsidP="00556E9F">
      <w:pPr>
        <w:spacing w:after="0" w:line="360" w:lineRule="auto"/>
        <w:jc w:val="both"/>
        <w:rPr>
          <w:rFonts w:ascii="Arial" w:hAnsi="Arial" w:cs="Arial"/>
          <w:color w:val="000000" w:themeColor="text1"/>
          <w:sz w:val="28"/>
          <w:szCs w:val="28"/>
        </w:rPr>
      </w:pPr>
    </w:p>
    <w:p w14:paraId="3B5296B4" w14:textId="0E203F43" w:rsidR="00DC1A86" w:rsidRPr="00C349AC" w:rsidRDefault="00DC1A86" w:rsidP="00556E9F">
      <w:pPr>
        <w:spacing w:after="0"/>
        <w:ind w:left="567"/>
        <w:jc w:val="both"/>
        <w:rPr>
          <w:rFonts w:ascii="Arial" w:hAnsi="Arial" w:cs="Arial"/>
          <w:iCs/>
          <w:color w:val="000000" w:themeColor="text1"/>
          <w:sz w:val="28"/>
          <w:szCs w:val="28"/>
        </w:rPr>
      </w:pPr>
      <w:r w:rsidRPr="00C349AC">
        <w:rPr>
          <w:rFonts w:ascii="Arial" w:hAnsi="Arial" w:cs="Arial"/>
          <w:iCs/>
          <w:color w:val="000000" w:themeColor="text1"/>
          <w:sz w:val="28"/>
          <w:szCs w:val="28"/>
        </w:rPr>
        <w:lastRenderedPageBreak/>
        <w:t>“</w:t>
      </w:r>
      <w:r w:rsidR="002C73DC" w:rsidRPr="00C349AC">
        <w:rPr>
          <w:rFonts w:ascii="Arial" w:hAnsi="Arial" w:cs="Arial"/>
          <w:iCs/>
          <w:color w:val="000000" w:themeColor="text1"/>
          <w:sz w:val="28"/>
          <w:szCs w:val="28"/>
        </w:rPr>
        <w:t xml:space="preserve">[…] </w:t>
      </w:r>
      <w:r w:rsidRPr="00C349AC">
        <w:rPr>
          <w:rFonts w:ascii="Arial" w:hAnsi="Arial" w:cs="Arial"/>
          <w:iCs/>
          <w:color w:val="000000" w:themeColor="text1"/>
          <w:sz w:val="28"/>
          <w:szCs w:val="28"/>
        </w:rPr>
        <w:t xml:space="preserve">Si bien en nuestros precedentes nos hemos referido a la seguridad pública como una materia concurrente, también es claro que se trata más bien de una concurrencia fundamentalmente de coordinación, no de distribución de competencias. En efecto, no podemos obviar que es la propia Constitución Federal la que en materia de seguridad pública otorga a todos los órdenes de gobierno áreas específicas sobre las cuáles tienen la facultad de actuar, </w:t>
      </w:r>
      <w:r w:rsidRPr="00C349AC">
        <w:rPr>
          <w:rFonts w:ascii="Arial" w:hAnsi="Arial" w:cs="Arial"/>
          <w:i/>
          <w:color w:val="000000" w:themeColor="text1"/>
          <w:sz w:val="28"/>
          <w:szCs w:val="28"/>
        </w:rPr>
        <w:t>siempre en consonancia con las bases de coordinación dictadas por el Congreso de la Unión en una ley general</w:t>
      </w:r>
      <w:r w:rsidRPr="00C349AC">
        <w:rPr>
          <w:rFonts w:ascii="Arial" w:hAnsi="Arial" w:cs="Arial"/>
          <w:iCs/>
          <w:color w:val="000000" w:themeColor="text1"/>
          <w:sz w:val="28"/>
          <w:szCs w:val="28"/>
        </w:rPr>
        <w:t>”</w:t>
      </w:r>
      <w:r w:rsidR="00FF0104" w:rsidRPr="00C349AC">
        <w:rPr>
          <w:rFonts w:ascii="Arial" w:hAnsi="Arial" w:cs="Arial"/>
          <w:iCs/>
          <w:color w:val="000000" w:themeColor="text1"/>
          <w:sz w:val="28"/>
          <w:szCs w:val="28"/>
        </w:rPr>
        <w:t xml:space="preserve"> (énfasis añadido).</w:t>
      </w:r>
    </w:p>
    <w:p w14:paraId="585297A8" w14:textId="77777777" w:rsidR="00DC1A86" w:rsidRPr="00C349AC" w:rsidRDefault="00DC1A86" w:rsidP="00556E9F">
      <w:pPr>
        <w:spacing w:after="0" w:line="360" w:lineRule="auto"/>
        <w:jc w:val="both"/>
        <w:rPr>
          <w:rFonts w:ascii="Arial" w:hAnsi="Arial" w:cs="Arial"/>
          <w:color w:val="000000" w:themeColor="text1"/>
          <w:sz w:val="28"/>
          <w:szCs w:val="28"/>
          <w:highlight w:val="yellow"/>
          <w:lang w:val="es-ES_tradnl"/>
        </w:rPr>
      </w:pPr>
    </w:p>
    <w:p w14:paraId="7390EC82" w14:textId="631C3AC2" w:rsidR="00DC1A86" w:rsidRPr="00C349AC" w:rsidRDefault="00653B90" w:rsidP="00556E9F">
      <w:pPr>
        <w:spacing w:after="0" w:line="360" w:lineRule="auto"/>
        <w:ind w:firstLine="567"/>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Ahora bien,</w:t>
      </w:r>
      <w:r w:rsidR="00D7277D" w:rsidRPr="00C349AC">
        <w:rPr>
          <w:rFonts w:ascii="Arial" w:hAnsi="Arial" w:cs="Arial"/>
          <w:color w:val="000000" w:themeColor="text1"/>
          <w:sz w:val="28"/>
          <w:szCs w:val="28"/>
          <w:lang w:val="es-ES_tradnl"/>
        </w:rPr>
        <w:t xml:space="preserve"> </w:t>
      </w:r>
      <w:r w:rsidR="00DC1A86" w:rsidRPr="00C349AC">
        <w:rPr>
          <w:rFonts w:ascii="Arial" w:hAnsi="Arial" w:cs="Arial"/>
          <w:color w:val="000000" w:themeColor="text1"/>
          <w:sz w:val="28"/>
          <w:szCs w:val="28"/>
          <w:lang w:val="es-ES_tradnl"/>
        </w:rPr>
        <w:t xml:space="preserve">a fin de dar cumplimiento a dicho mandato constitucional, el Congreso de la Unión expidió la </w:t>
      </w:r>
      <w:r w:rsidR="00DC1A86" w:rsidRPr="00C349AC">
        <w:rPr>
          <w:rFonts w:ascii="Arial" w:hAnsi="Arial" w:cs="Arial"/>
          <w:i/>
          <w:iCs/>
          <w:color w:val="000000" w:themeColor="text1"/>
          <w:sz w:val="28"/>
          <w:szCs w:val="28"/>
          <w:lang w:val="es-ES_tradnl"/>
        </w:rPr>
        <w:t>Ley General del Sistema Nacional de Seguridad Pública</w:t>
      </w:r>
      <w:r w:rsidR="00DC1A86" w:rsidRPr="00C349AC">
        <w:rPr>
          <w:rFonts w:ascii="Arial" w:hAnsi="Arial" w:cs="Arial"/>
          <w:color w:val="000000" w:themeColor="text1"/>
          <w:sz w:val="28"/>
          <w:szCs w:val="28"/>
          <w:lang w:val="es-ES_tradnl"/>
        </w:rPr>
        <w:t xml:space="preserve">, la cual en su artículo 1° dispone que: </w:t>
      </w:r>
    </w:p>
    <w:p w14:paraId="19CE2752" w14:textId="77777777" w:rsidR="00DC1A86" w:rsidRPr="00C349AC" w:rsidRDefault="00DC1A86" w:rsidP="00556E9F">
      <w:pPr>
        <w:spacing w:after="0" w:line="360" w:lineRule="auto"/>
        <w:rPr>
          <w:rFonts w:ascii="Arial" w:hAnsi="Arial" w:cs="Arial"/>
          <w:color w:val="000000" w:themeColor="text1"/>
          <w:sz w:val="28"/>
          <w:szCs w:val="28"/>
          <w:lang w:val="es-ES_tradnl"/>
        </w:rPr>
      </w:pPr>
    </w:p>
    <w:p w14:paraId="3B9959C0" w14:textId="5180436B" w:rsidR="00DC1A86" w:rsidRPr="001059F7" w:rsidRDefault="00DC1A86" w:rsidP="001059F7">
      <w:pPr>
        <w:spacing w:after="0"/>
        <w:ind w:left="567"/>
        <w:jc w:val="both"/>
        <w:rPr>
          <w:rFonts w:ascii="Arial" w:hAnsi="Arial" w:cs="Arial"/>
          <w:b/>
          <w:color w:val="000000" w:themeColor="text1"/>
          <w:sz w:val="28"/>
          <w:szCs w:val="28"/>
          <w:u w:val="single"/>
          <w:lang w:val="es-ES_tradnl"/>
        </w:rPr>
      </w:pPr>
      <w:r w:rsidRPr="00C349AC">
        <w:rPr>
          <w:rFonts w:ascii="Arial" w:hAnsi="Arial" w:cs="Arial"/>
          <w:b/>
          <w:color w:val="000000" w:themeColor="text1"/>
          <w:sz w:val="28"/>
          <w:szCs w:val="28"/>
          <w:lang w:val="es-ES_tradnl"/>
        </w:rPr>
        <w:t>Artículo 1.-</w:t>
      </w:r>
      <w:r w:rsidRPr="00C349AC">
        <w:rPr>
          <w:rFonts w:ascii="Arial" w:hAnsi="Arial" w:cs="Arial"/>
          <w:color w:val="000000" w:themeColor="text1"/>
          <w:sz w:val="28"/>
          <w:szCs w:val="28"/>
          <w:lang w:val="es-ES_tradnl"/>
        </w:rPr>
        <w:t xml:space="preserve"> La presente Ley es reglamentaria del artículo 21 de la Constitución Política de los Estados Unidos Mexicanos en materia de Seguridad Pública y tiene por objeto regular la integración, organización y funcionamiento del Sistema Nacional de Seguridad Pública, </w:t>
      </w:r>
      <w:r w:rsidRPr="00C349AC">
        <w:rPr>
          <w:rFonts w:ascii="Arial" w:hAnsi="Arial" w:cs="Arial"/>
          <w:bCs/>
          <w:i/>
          <w:iCs/>
          <w:color w:val="000000" w:themeColor="text1"/>
          <w:sz w:val="28"/>
          <w:szCs w:val="28"/>
          <w:lang w:val="es-ES_tradnl"/>
        </w:rPr>
        <w:t>así como establecer la distribución de competencias y las bases de coordinación entre la Federación, las entidades federativas y los Municipios, en esta materia.</w:t>
      </w:r>
    </w:p>
    <w:p w14:paraId="0514E528" w14:textId="77777777" w:rsidR="00DC1A86" w:rsidRPr="00C349AC" w:rsidRDefault="00DC1A86" w:rsidP="00556E9F">
      <w:pPr>
        <w:spacing w:after="0" w:line="360" w:lineRule="auto"/>
        <w:jc w:val="both"/>
        <w:rPr>
          <w:rFonts w:ascii="Arial" w:hAnsi="Arial" w:cs="Arial"/>
          <w:color w:val="000000" w:themeColor="text1"/>
          <w:sz w:val="28"/>
          <w:szCs w:val="28"/>
          <w:highlight w:val="yellow"/>
          <w:lang w:val="es-ES_tradnl"/>
        </w:rPr>
      </w:pPr>
    </w:p>
    <w:p w14:paraId="462D6826" w14:textId="77777777" w:rsidR="00D7277D" w:rsidRPr="00C349AC" w:rsidRDefault="00D7277D" w:rsidP="00556E9F">
      <w:pPr>
        <w:spacing w:after="0" w:line="360" w:lineRule="auto"/>
        <w:ind w:firstLine="567"/>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Como se observa, es precisamente</w:t>
      </w:r>
      <w:r w:rsidR="00DC1A86" w:rsidRPr="00C349AC">
        <w:rPr>
          <w:rFonts w:ascii="Arial" w:hAnsi="Arial" w:cs="Arial"/>
          <w:color w:val="000000" w:themeColor="text1"/>
          <w:sz w:val="28"/>
          <w:szCs w:val="28"/>
          <w:lang w:val="es-ES_tradnl"/>
        </w:rPr>
        <w:t xml:space="preserve"> dicha Ley General </w:t>
      </w:r>
      <w:r w:rsidRPr="00C349AC">
        <w:rPr>
          <w:rFonts w:ascii="Arial" w:hAnsi="Arial" w:cs="Arial"/>
          <w:color w:val="000000" w:themeColor="text1"/>
          <w:sz w:val="28"/>
          <w:szCs w:val="28"/>
          <w:lang w:val="es-ES_tradnl"/>
        </w:rPr>
        <w:t xml:space="preserve">la que </w:t>
      </w:r>
      <w:r w:rsidR="00DC1A86" w:rsidRPr="00C349AC">
        <w:rPr>
          <w:rFonts w:ascii="Arial" w:hAnsi="Arial" w:cs="Arial"/>
          <w:color w:val="000000" w:themeColor="text1"/>
          <w:sz w:val="28"/>
          <w:szCs w:val="28"/>
          <w:lang w:val="es-ES_tradnl"/>
        </w:rPr>
        <w:t xml:space="preserve">establece las diferentes instancias de </w:t>
      </w:r>
      <w:r w:rsidR="00DC1A86" w:rsidRPr="00C349AC">
        <w:rPr>
          <w:rFonts w:ascii="Arial" w:hAnsi="Arial" w:cs="Arial"/>
          <w:i/>
          <w:iCs/>
          <w:color w:val="000000" w:themeColor="text1"/>
          <w:sz w:val="28"/>
          <w:szCs w:val="28"/>
          <w:lang w:val="es-ES_tradnl"/>
        </w:rPr>
        <w:t>coordinación de los tres órdenes de gobierno</w:t>
      </w:r>
      <w:r w:rsidR="00DC1A86" w:rsidRPr="00C349AC">
        <w:rPr>
          <w:rFonts w:ascii="Arial" w:hAnsi="Arial" w:cs="Arial"/>
          <w:color w:val="000000" w:themeColor="text1"/>
          <w:sz w:val="28"/>
          <w:szCs w:val="28"/>
          <w:lang w:val="es-ES_tradnl"/>
        </w:rPr>
        <w:t xml:space="preserve">, así como la distribución de competencias entre dichos órdenes. </w:t>
      </w:r>
    </w:p>
    <w:p w14:paraId="67E75EA3" w14:textId="77777777" w:rsidR="00D7277D" w:rsidRPr="00C349AC" w:rsidRDefault="00D7277D" w:rsidP="00556E9F">
      <w:pPr>
        <w:spacing w:after="0" w:line="360" w:lineRule="auto"/>
        <w:ind w:firstLine="567"/>
        <w:jc w:val="both"/>
        <w:rPr>
          <w:rFonts w:ascii="Arial" w:hAnsi="Arial" w:cs="Arial"/>
          <w:color w:val="000000" w:themeColor="text1"/>
          <w:sz w:val="28"/>
          <w:szCs w:val="28"/>
          <w:lang w:val="es-ES_tradnl"/>
        </w:rPr>
      </w:pPr>
    </w:p>
    <w:p w14:paraId="0DA7F12C" w14:textId="35A420AC" w:rsidR="00DC1A86" w:rsidRPr="00C349AC" w:rsidRDefault="00653B90" w:rsidP="00556E9F">
      <w:pPr>
        <w:spacing w:after="0" w:line="360" w:lineRule="auto"/>
        <w:ind w:firstLine="567"/>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En ese sentido</w:t>
      </w:r>
      <w:r w:rsidR="00D7277D" w:rsidRPr="00C349AC">
        <w:rPr>
          <w:rFonts w:ascii="Arial" w:hAnsi="Arial" w:cs="Arial"/>
          <w:color w:val="000000" w:themeColor="text1"/>
          <w:sz w:val="28"/>
          <w:szCs w:val="28"/>
          <w:lang w:val="es-ES_tradnl"/>
        </w:rPr>
        <w:t xml:space="preserve">, </w:t>
      </w:r>
      <w:r w:rsidR="00DC1A86" w:rsidRPr="00C349AC">
        <w:rPr>
          <w:rFonts w:ascii="Arial" w:hAnsi="Arial" w:cs="Arial"/>
          <w:color w:val="000000" w:themeColor="text1"/>
          <w:sz w:val="28"/>
          <w:szCs w:val="28"/>
          <w:lang w:val="es-ES_tradnl"/>
        </w:rPr>
        <w:t xml:space="preserve">en lo que respecta específicamente a las facultades de la Federación y los Estados en materia de seguridad, el artículo 39 en sus apartados A y B dispone lo siguiente: </w:t>
      </w:r>
    </w:p>
    <w:p w14:paraId="7EDBDCF4" w14:textId="77777777" w:rsidR="00DC1A86" w:rsidRPr="00C349AC" w:rsidRDefault="00DC1A86" w:rsidP="00556E9F">
      <w:pPr>
        <w:spacing w:after="0" w:line="360" w:lineRule="auto"/>
        <w:rPr>
          <w:rFonts w:ascii="Arial" w:hAnsi="Arial" w:cs="Arial"/>
          <w:color w:val="000000" w:themeColor="text1"/>
          <w:sz w:val="28"/>
          <w:szCs w:val="28"/>
          <w:highlight w:val="yellow"/>
          <w:lang w:val="es-ES_tradnl"/>
        </w:rPr>
      </w:pPr>
    </w:p>
    <w:p w14:paraId="65CB711C" w14:textId="0FFC9787" w:rsidR="00DC1A86" w:rsidRPr="00C349AC" w:rsidRDefault="00DC1A86" w:rsidP="00556E9F">
      <w:pPr>
        <w:spacing w:after="0"/>
        <w:ind w:left="567"/>
        <w:jc w:val="both"/>
        <w:rPr>
          <w:rFonts w:ascii="Arial" w:hAnsi="Arial" w:cs="Arial"/>
          <w:color w:val="000000" w:themeColor="text1"/>
          <w:sz w:val="28"/>
          <w:szCs w:val="28"/>
          <w:lang w:val="es-ES_tradnl"/>
        </w:rPr>
      </w:pPr>
      <w:r w:rsidRPr="00C349AC">
        <w:rPr>
          <w:rFonts w:ascii="Arial" w:hAnsi="Arial" w:cs="Arial"/>
          <w:b/>
          <w:color w:val="000000" w:themeColor="text1"/>
          <w:sz w:val="28"/>
          <w:szCs w:val="28"/>
          <w:lang w:val="es-ES_tradnl"/>
        </w:rPr>
        <w:t>Artículo 39.-</w:t>
      </w:r>
      <w:r w:rsidRPr="00C349AC">
        <w:rPr>
          <w:rFonts w:ascii="Arial" w:hAnsi="Arial" w:cs="Arial"/>
          <w:color w:val="000000" w:themeColor="text1"/>
          <w:sz w:val="28"/>
          <w:szCs w:val="28"/>
          <w:lang w:val="es-ES_tradnl"/>
        </w:rPr>
        <w:t xml:space="preserve"> La concurrencia de facultades entre la Federación, las entidades federativas y los Municipios, quedará distribuida conforme a lo siguiente:</w:t>
      </w:r>
    </w:p>
    <w:p w14:paraId="69E6CEF4" w14:textId="0DA0D200" w:rsidR="00DC1A86" w:rsidRPr="00C349AC" w:rsidRDefault="00DC1A86" w:rsidP="00D7277D">
      <w:pPr>
        <w:pStyle w:val="Prrafodelista"/>
        <w:spacing w:after="0"/>
        <w:ind w:left="588"/>
        <w:jc w:val="both"/>
        <w:rPr>
          <w:rFonts w:ascii="Arial" w:hAnsi="Arial" w:cs="Arial"/>
          <w:color w:val="000000" w:themeColor="text1"/>
          <w:sz w:val="28"/>
          <w:szCs w:val="28"/>
          <w:lang w:val="es-ES_tradnl"/>
        </w:rPr>
      </w:pPr>
      <w:r w:rsidRPr="00C349AC">
        <w:rPr>
          <w:rFonts w:ascii="Arial" w:hAnsi="Arial" w:cs="Arial"/>
          <w:b/>
          <w:color w:val="000000" w:themeColor="text1"/>
          <w:sz w:val="28"/>
          <w:szCs w:val="28"/>
          <w:lang w:val="es-ES_tradnl"/>
        </w:rPr>
        <w:lastRenderedPageBreak/>
        <w:t>A.</w:t>
      </w:r>
      <w:r w:rsidRPr="00C349AC">
        <w:rPr>
          <w:rFonts w:ascii="Arial" w:hAnsi="Arial" w:cs="Arial"/>
          <w:color w:val="000000" w:themeColor="text1"/>
          <w:sz w:val="28"/>
          <w:szCs w:val="28"/>
          <w:lang w:val="es-ES_tradnl"/>
        </w:rPr>
        <w:t xml:space="preserve"> </w:t>
      </w:r>
      <w:r w:rsidRPr="00C349AC">
        <w:rPr>
          <w:rFonts w:ascii="Arial" w:hAnsi="Arial" w:cs="Arial"/>
          <w:bCs/>
          <w:color w:val="000000" w:themeColor="text1"/>
          <w:sz w:val="28"/>
          <w:szCs w:val="28"/>
          <w:lang w:val="es-ES_tradnl"/>
        </w:rPr>
        <w:t>Corresponde a la Federación,</w:t>
      </w:r>
      <w:r w:rsidRPr="00C349AC">
        <w:rPr>
          <w:rFonts w:ascii="Arial" w:hAnsi="Arial" w:cs="Arial"/>
          <w:color w:val="000000" w:themeColor="text1"/>
          <w:sz w:val="28"/>
          <w:szCs w:val="28"/>
          <w:lang w:val="es-ES_tradnl"/>
        </w:rPr>
        <w:t xml:space="preserve"> por conducto de las autoridades competentes:</w:t>
      </w:r>
    </w:p>
    <w:p w14:paraId="1297C3C7" w14:textId="15D13C23" w:rsidR="00DC1A86" w:rsidRPr="00C349AC" w:rsidRDefault="00DC1A86" w:rsidP="00556E9F">
      <w:pPr>
        <w:spacing w:after="0"/>
        <w:ind w:left="567"/>
        <w:jc w:val="both"/>
        <w:rPr>
          <w:rFonts w:ascii="Arial" w:hAnsi="Arial" w:cs="Arial"/>
          <w:color w:val="000000" w:themeColor="text1"/>
          <w:sz w:val="28"/>
          <w:szCs w:val="28"/>
          <w:lang w:val="es-ES_tradnl"/>
        </w:rPr>
      </w:pPr>
      <w:r w:rsidRPr="00C349AC">
        <w:rPr>
          <w:rFonts w:ascii="Arial" w:hAnsi="Arial" w:cs="Arial"/>
          <w:b/>
          <w:color w:val="000000" w:themeColor="text1"/>
          <w:sz w:val="28"/>
          <w:szCs w:val="28"/>
          <w:lang w:val="es-ES_tradnl"/>
        </w:rPr>
        <w:t>I.</w:t>
      </w:r>
      <w:r w:rsidRPr="00C349AC">
        <w:rPr>
          <w:rFonts w:ascii="Arial" w:hAnsi="Arial" w:cs="Arial"/>
          <w:color w:val="000000" w:themeColor="text1"/>
          <w:sz w:val="28"/>
          <w:szCs w:val="28"/>
          <w:lang w:val="es-ES_tradnl"/>
        </w:rPr>
        <w:t xml:space="preserve"> Proponer las acciones tendientes a asegurar la coordinación entre la Federación, las entidades federativas y los Municipios;</w:t>
      </w:r>
    </w:p>
    <w:p w14:paraId="6BE6D2D0" w14:textId="460F04FB" w:rsidR="00DC1A86" w:rsidRPr="00C349AC" w:rsidRDefault="00DC1A86" w:rsidP="00556E9F">
      <w:pPr>
        <w:spacing w:after="0"/>
        <w:ind w:left="567"/>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w:t>
      </w:r>
    </w:p>
    <w:p w14:paraId="11325CAB" w14:textId="77777777" w:rsidR="00DC1A86" w:rsidRPr="00C349AC" w:rsidRDefault="00DC1A86" w:rsidP="00556E9F">
      <w:pPr>
        <w:spacing w:after="0"/>
        <w:ind w:left="567"/>
        <w:jc w:val="both"/>
        <w:rPr>
          <w:rFonts w:ascii="Arial" w:hAnsi="Arial" w:cs="Arial"/>
          <w:color w:val="000000" w:themeColor="text1"/>
          <w:sz w:val="28"/>
          <w:szCs w:val="28"/>
          <w:lang w:val="es-ES_tradnl"/>
        </w:rPr>
      </w:pPr>
      <w:r w:rsidRPr="00C349AC">
        <w:rPr>
          <w:rFonts w:ascii="Arial" w:hAnsi="Arial" w:cs="Arial"/>
          <w:b/>
          <w:color w:val="000000" w:themeColor="text1"/>
          <w:sz w:val="28"/>
          <w:szCs w:val="28"/>
          <w:lang w:val="es-ES_tradnl"/>
        </w:rPr>
        <w:t>B.</w:t>
      </w:r>
      <w:r w:rsidRPr="00C349AC">
        <w:rPr>
          <w:rFonts w:ascii="Arial" w:hAnsi="Arial" w:cs="Arial"/>
          <w:color w:val="000000" w:themeColor="text1"/>
          <w:sz w:val="28"/>
          <w:szCs w:val="28"/>
          <w:lang w:val="es-ES_tradnl"/>
        </w:rPr>
        <w:t xml:space="preserve"> </w:t>
      </w:r>
      <w:r w:rsidRPr="00C349AC">
        <w:rPr>
          <w:rFonts w:ascii="Arial" w:hAnsi="Arial" w:cs="Arial"/>
          <w:bCs/>
          <w:color w:val="000000" w:themeColor="text1"/>
          <w:sz w:val="28"/>
          <w:szCs w:val="28"/>
          <w:lang w:val="es-ES_tradnl"/>
        </w:rPr>
        <w:t>Corresponde a la Federación, a las entidades federativas y a los Municipios</w:t>
      </w:r>
      <w:r w:rsidRPr="00C349AC">
        <w:rPr>
          <w:rFonts w:ascii="Arial" w:hAnsi="Arial" w:cs="Arial"/>
          <w:b/>
          <w:color w:val="000000" w:themeColor="text1"/>
          <w:sz w:val="28"/>
          <w:szCs w:val="28"/>
          <w:lang w:val="es-ES_tradnl"/>
        </w:rPr>
        <w:t>,</w:t>
      </w:r>
      <w:r w:rsidRPr="00C349AC">
        <w:rPr>
          <w:rFonts w:ascii="Arial" w:hAnsi="Arial" w:cs="Arial"/>
          <w:color w:val="000000" w:themeColor="text1"/>
          <w:sz w:val="28"/>
          <w:szCs w:val="28"/>
          <w:lang w:val="es-ES_tradnl"/>
        </w:rPr>
        <w:t xml:space="preserve"> en el ámbito de sus respectivas competencias:</w:t>
      </w:r>
    </w:p>
    <w:p w14:paraId="07D9B481" w14:textId="0245108F" w:rsidR="00DC1A86" w:rsidRPr="00C349AC" w:rsidRDefault="00DC1A86" w:rsidP="00556E9F">
      <w:pPr>
        <w:spacing w:after="0"/>
        <w:ind w:left="567"/>
        <w:jc w:val="both"/>
        <w:rPr>
          <w:rFonts w:ascii="Arial" w:hAnsi="Arial" w:cs="Arial"/>
          <w:color w:val="000000" w:themeColor="text1"/>
          <w:sz w:val="28"/>
          <w:szCs w:val="28"/>
          <w:lang w:val="es-ES_tradnl"/>
        </w:rPr>
      </w:pPr>
      <w:r w:rsidRPr="00C349AC">
        <w:rPr>
          <w:rFonts w:ascii="Arial" w:hAnsi="Arial" w:cs="Arial"/>
          <w:b/>
          <w:color w:val="000000" w:themeColor="text1"/>
          <w:sz w:val="28"/>
          <w:szCs w:val="28"/>
          <w:lang w:val="es-ES_tradnl"/>
        </w:rPr>
        <w:t>I.</w:t>
      </w:r>
      <w:r w:rsidRPr="00C349AC">
        <w:rPr>
          <w:rFonts w:ascii="Arial" w:hAnsi="Arial" w:cs="Arial"/>
          <w:color w:val="000000" w:themeColor="text1"/>
          <w:sz w:val="28"/>
          <w:szCs w:val="28"/>
          <w:lang w:val="es-ES_tradnl"/>
        </w:rPr>
        <w:t xml:space="preserve"> Garantizar el cumplimiento de la presente Ley y demás disposiciones que deriven de ésta;</w:t>
      </w:r>
    </w:p>
    <w:p w14:paraId="68F83DAB" w14:textId="0E175440" w:rsidR="00DC1A86" w:rsidRPr="00C349AC" w:rsidRDefault="00DC1A86" w:rsidP="00556E9F">
      <w:pPr>
        <w:spacing w:after="0"/>
        <w:ind w:left="567"/>
        <w:jc w:val="both"/>
        <w:rPr>
          <w:rFonts w:ascii="Arial" w:hAnsi="Arial" w:cs="Arial"/>
          <w:color w:val="000000" w:themeColor="text1"/>
          <w:sz w:val="28"/>
          <w:szCs w:val="28"/>
          <w:lang w:val="es-ES_tradnl"/>
        </w:rPr>
      </w:pPr>
      <w:r w:rsidRPr="00C349AC">
        <w:rPr>
          <w:rFonts w:ascii="Arial" w:hAnsi="Arial" w:cs="Arial"/>
          <w:b/>
          <w:color w:val="000000" w:themeColor="text1"/>
          <w:sz w:val="28"/>
          <w:szCs w:val="28"/>
          <w:lang w:val="es-ES_tradnl"/>
        </w:rPr>
        <w:t>II.</w:t>
      </w:r>
      <w:r w:rsidRPr="00C349AC">
        <w:rPr>
          <w:rFonts w:ascii="Arial" w:hAnsi="Arial" w:cs="Arial"/>
          <w:color w:val="000000" w:themeColor="text1"/>
          <w:sz w:val="28"/>
          <w:szCs w:val="28"/>
          <w:lang w:val="es-ES_tradnl"/>
        </w:rPr>
        <w:t xml:space="preserve"> Contribuir, en el ámbito de sus competencias, a la efectiva coordinación del Sistema;</w:t>
      </w:r>
    </w:p>
    <w:p w14:paraId="65345972" w14:textId="41FBA916" w:rsidR="00DC1A86" w:rsidRPr="00C349AC" w:rsidRDefault="00DC1A86" w:rsidP="00556E9F">
      <w:pPr>
        <w:spacing w:after="0"/>
        <w:ind w:left="567"/>
        <w:jc w:val="both"/>
        <w:rPr>
          <w:rFonts w:ascii="Arial" w:hAnsi="Arial" w:cs="Arial"/>
          <w:color w:val="000000" w:themeColor="text1"/>
          <w:sz w:val="28"/>
          <w:szCs w:val="28"/>
          <w:lang w:val="es-ES_tradnl"/>
        </w:rPr>
      </w:pPr>
      <w:r w:rsidRPr="00C349AC">
        <w:rPr>
          <w:rFonts w:ascii="Arial" w:hAnsi="Arial" w:cs="Arial"/>
          <w:b/>
          <w:color w:val="000000" w:themeColor="text1"/>
          <w:sz w:val="28"/>
          <w:szCs w:val="28"/>
          <w:lang w:val="es-ES_tradnl"/>
        </w:rPr>
        <w:t>III.</w:t>
      </w:r>
      <w:r w:rsidRPr="00C349AC">
        <w:rPr>
          <w:rFonts w:ascii="Arial" w:hAnsi="Arial" w:cs="Arial"/>
          <w:color w:val="000000" w:themeColor="text1"/>
          <w:sz w:val="28"/>
          <w:szCs w:val="28"/>
          <w:lang w:val="es-ES_tradnl"/>
        </w:rPr>
        <w:t xml:space="preserve"> Aplicar y supervisar los procedimientos relativos a la Carrera Policial, Profesionalización y Régimen Disciplinario;</w:t>
      </w:r>
    </w:p>
    <w:p w14:paraId="6BDFE505" w14:textId="32CE1514" w:rsidR="00DC1A86" w:rsidRPr="00C349AC" w:rsidRDefault="00DC1A86" w:rsidP="00556E9F">
      <w:pPr>
        <w:spacing w:after="0"/>
        <w:ind w:left="567"/>
        <w:jc w:val="both"/>
        <w:rPr>
          <w:rFonts w:ascii="Arial" w:hAnsi="Arial" w:cs="Arial"/>
          <w:color w:val="000000" w:themeColor="text1"/>
          <w:sz w:val="28"/>
          <w:szCs w:val="28"/>
          <w:lang w:val="es-ES_tradnl"/>
        </w:rPr>
      </w:pPr>
      <w:r w:rsidRPr="00C349AC">
        <w:rPr>
          <w:rFonts w:ascii="Arial" w:hAnsi="Arial" w:cs="Arial"/>
          <w:b/>
          <w:color w:val="000000" w:themeColor="text1"/>
          <w:sz w:val="28"/>
          <w:szCs w:val="28"/>
          <w:lang w:val="es-ES_tradnl"/>
        </w:rPr>
        <w:t>IV.</w:t>
      </w:r>
      <w:r w:rsidRPr="00C349AC">
        <w:rPr>
          <w:rFonts w:ascii="Arial" w:hAnsi="Arial" w:cs="Arial"/>
          <w:color w:val="000000" w:themeColor="text1"/>
          <w:sz w:val="28"/>
          <w:szCs w:val="28"/>
          <w:lang w:val="es-ES_tradnl"/>
        </w:rPr>
        <w:t xml:space="preserve"> Constituir y operar las Comisiones y las Academias a que se refiere esta Ley;</w:t>
      </w:r>
    </w:p>
    <w:p w14:paraId="528DA864" w14:textId="7956C2BA" w:rsidR="00DC1A86" w:rsidRPr="00C349AC" w:rsidRDefault="00DC1A86" w:rsidP="00556E9F">
      <w:pPr>
        <w:spacing w:after="0"/>
        <w:ind w:left="567"/>
        <w:jc w:val="both"/>
        <w:rPr>
          <w:rFonts w:ascii="Arial" w:hAnsi="Arial" w:cs="Arial"/>
          <w:color w:val="000000" w:themeColor="text1"/>
          <w:sz w:val="28"/>
          <w:szCs w:val="28"/>
          <w:lang w:val="es-ES_tradnl"/>
        </w:rPr>
      </w:pPr>
      <w:r w:rsidRPr="00C349AC">
        <w:rPr>
          <w:rFonts w:ascii="Arial" w:hAnsi="Arial" w:cs="Arial"/>
          <w:b/>
          <w:color w:val="000000" w:themeColor="text1"/>
          <w:sz w:val="28"/>
          <w:szCs w:val="28"/>
          <w:lang w:val="es-ES_tradnl"/>
        </w:rPr>
        <w:t>V.</w:t>
      </w:r>
      <w:r w:rsidRPr="00C349AC">
        <w:rPr>
          <w:rFonts w:ascii="Arial" w:hAnsi="Arial" w:cs="Arial"/>
          <w:color w:val="000000" w:themeColor="text1"/>
          <w:sz w:val="28"/>
          <w:szCs w:val="28"/>
          <w:lang w:val="es-ES_tradnl"/>
        </w:rPr>
        <w:t xml:space="preserve"> Proporcionar al Sistema Nacional de Información las Bases de Datos correspondientes para su interconexión y consulta, de conformidad con esta Ley y otras disposiciones jurídicas aplicables;</w:t>
      </w:r>
    </w:p>
    <w:p w14:paraId="5620732D" w14:textId="09D32085" w:rsidR="00DC1A86" w:rsidRPr="00C349AC" w:rsidRDefault="00DC1A86" w:rsidP="00556E9F">
      <w:pPr>
        <w:spacing w:after="0"/>
        <w:ind w:left="567"/>
        <w:jc w:val="both"/>
        <w:rPr>
          <w:rFonts w:ascii="Arial" w:hAnsi="Arial" w:cs="Arial"/>
          <w:color w:val="000000" w:themeColor="text1"/>
          <w:sz w:val="28"/>
          <w:szCs w:val="28"/>
          <w:lang w:val="es-ES_tradnl"/>
        </w:rPr>
      </w:pPr>
      <w:r w:rsidRPr="00C349AC">
        <w:rPr>
          <w:rFonts w:ascii="Arial" w:hAnsi="Arial" w:cs="Arial"/>
          <w:b/>
          <w:color w:val="000000" w:themeColor="text1"/>
          <w:sz w:val="28"/>
          <w:szCs w:val="28"/>
          <w:lang w:val="es-ES_tradnl"/>
        </w:rPr>
        <w:t>VI.</w:t>
      </w:r>
      <w:r w:rsidRPr="00C349AC">
        <w:rPr>
          <w:rFonts w:ascii="Arial" w:hAnsi="Arial" w:cs="Arial"/>
          <w:color w:val="000000" w:themeColor="text1"/>
          <w:sz w:val="28"/>
          <w:szCs w:val="28"/>
          <w:lang w:val="es-ES_tradnl"/>
        </w:rPr>
        <w:t xml:space="preserve"> Designar a un responsable del control, suministro y adecuado manejo de la información a que se refiere esta Ley;</w:t>
      </w:r>
    </w:p>
    <w:p w14:paraId="3EB2BD1D" w14:textId="280B2DCE" w:rsidR="00DC1A86" w:rsidRPr="00C349AC" w:rsidRDefault="00DC1A86" w:rsidP="00556E9F">
      <w:pPr>
        <w:spacing w:after="0"/>
        <w:ind w:left="567"/>
        <w:jc w:val="both"/>
        <w:rPr>
          <w:rFonts w:ascii="Arial" w:hAnsi="Arial" w:cs="Arial"/>
          <w:color w:val="000000" w:themeColor="text1"/>
          <w:sz w:val="28"/>
          <w:szCs w:val="28"/>
          <w:lang w:val="es-ES_tradnl"/>
        </w:rPr>
      </w:pPr>
      <w:r w:rsidRPr="00C349AC">
        <w:rPr>
          <w:rFonts w:ascii="Arial" w:hAnsi="Arial" w:cs="Arial"/>
          <w:b/>
          <w:color w:val="000000" w:themeColor="text1"/>
          <w:sz w:val="28"/>
          <w:szCs w:val="28"/>
          <w:lang w:val="es-ES_tradnl"/>
        </w:rPr>
        <w:t>VII.</w:t>
      </w:r>
      <w:r w:rsidRPr="00C349AC">
        <w:rPr>
          <w:rFonts w:ascii="Arial" w:hAnsi="Arial" w:cs="Arial"/>
          <w:color w:val="000000" w:themeColor="text1"/>
          <w:sz w:val="28"/>
          <w:szCs w:val="28"/>
          <w:lang w:val="es-ES_tradnl"/>
        </w:rPr>
        <w:t xml:space="preserve"> Integrar y consultar en las bases de datos de personal de Seguridad Pública, los expedientes de los aspirantes a ingresar en las Instituciones Policiales;</w:t>
      </w:r>
    </w:p>
    <w:p w14:paraId="3046E7D1" w14:textId="04A6314D" w:rsidR="00DC1A86" w:rsidRPr="00C349AC" w:rsidRDefault="00DC1A86" w:rsidP="00556E9F">
      <w:pPr>
        <w:spacing w:after="0"/>
        <w:ind w:left="567"/>
        <w:jc w:val="both"/>
        <w:rPr>
          <w:rFonts w:ascii="Arial" w:hAnsi="Arial" w:cs="Arial"/>
          <w:color w:val="000000" w:themeColor="text1"/>
          <w:sz w:val="28"/>
          <w:szCs w:val="28"/>
          <w:lang w:val="es-ES_tradnl"/>
        </w:rPr>
      </w:pPr>
      <w:r w:rsidRPr="00C349AC">
        <w:rPr>
          <w:rFonts w:ascii="Arial" w:hAnsi="Arial" w:cs="Arial"/>
          <w:b/>
          <w:color w:val="000000" w:themeColor="text1"/>
          <w:sz w:val="28"/>
          <w:szCs w:val="28"/>
          <w:lang w:val="es-ES_tradnl"/>
        </w:rPr>
        <w:t>VIII.</w:t>
      </w:r>
      <w:r w:rsidRPr="00C349AC">
        <w:rPr>
          <w:rFonts w:ascii="Arial" w:hAnsi="Arial" w:cs="Arial"/>
          <w:color w:val="000000" w:themeColor="text1"/>
          <w:sz w:val="28"/>
          <w:szCs w:val="28"/>
          <w:lang w:val="es-ES_tradnl"/>
        </w:rPr>
        <w:t xml:space="preserve"> Abstenerse de contratar y emplear en las Instituciones Policiales a personas que no cuentan con el registro y certificado emitido por el centro de evaluación y control de confianza respectivo;</w:t>
      </w:r>
    </w:p>
    <w:p w14:paraId="1F1F2DC9" w14:textId="698EA850" w:rsidR="00DC1A86" w:rsidRPr="00C349AC" w:rsidRDefault="00DC1A86" w:rsidP="00556E9F">
      <w:pPr>
        <w:spacing w:after="0"/>
        <w:ind w:left="567"/>
        <w:jc w:val="both"/>
        <w:rPr>
          <w:rFonts w:ascii="Arial" w:hAnsi="Arial" w:cs="Arial"/>
          <w:color w:val="000000" w:themeColor="text1"/>
          <w:sz w:val="28"/>
          <w:szCs w:val="28"/>
          <w:lang w:val="es-ES_tradnl"/>
        </w:rPr>
      </w:pPr>
      <w:r w:rsidRPr="00C349AC">
        <w:rPr>
          <w:rFonts w:ascii="Arial" w:hAnsi="Arial" w:cs="Arial"/>
          <w:b/>
          <w:color w:val="000000" w:themeColor="text1"/>
          <w:sz w:val="28"/>
          <w:szCs w:val="28"/>
          <w:lang w:val="es-ES_tradnl"/>
        </w:rPr>
        <w:t>IX.</w:t>
      </w:r>
      <w:r w:rsidRPr="00C349AC">
        <w:rPr>
          <w:rFonts w:ascii="Arial" w:hAnsi="Arial" w:cs="Arial"/>
          <w:color w:val="000000" w:themeColor="text1"/>
          <w:sz w:val="28"/>
          <w:szCs w:val="28"/>
          <w:lang w:val="es-ES_tradnl"/>
        </w:rPr>
        <w:t xml:space="preserve"> Coadyuvar a la integración y funcionamiento del Desarrollo Policial, Ministerial y Pericial;</w:t>
      </w:r>
    </w:p>
    <w:p w14:paraId="5F5BECF7" w14:textId="1D011FC5" w:rsidR="00DC1A86" w:rsidRPr="00C349AC" w:rsidRDefault="00DC1A86" w:rsidP="00556E9F">
      <w:pPr>
        <w:spacing w:after="0"/>
        <w:ind w:left="567"/>
        <w:jc w:val="both"/>
        <w:rPr>
          <w:rFonts w:ascii="Arial" w:hAnsi="Arial" w:cs="Arial"/>
          <w:color w:val="000000" w:themeColor="text1"/>
          <w:sz w:val="28"/>
          <w:szCs w:val="28"/>
          <w:lang w:val="es-ES_tradnl"/>
        </w:rPr>
      </w:pPr>
      <w:r w:rsidRPr="00C349AC">
        <w:rPr>
          <w:rFonts w:ascii="Arial" w:hAnsi="Arial" w:cs="Arial"/>
          <w:b/>
          <w:color w:val="000000" w:themeColor="text1"/>
          <w:sz w:val="28"/>
          <w:szCs w:val="28"/>
          <w:lang w:val="es-ES_tradnl"/>
        </w:rPr>
        <w:t>X.</w:t>
      </w:r>
      <w:r w:rsidRPr="00C349AC">
        <w:rPr>
          <w:rFonts w:ascii="Arial" w:hAnsi="Arial" w:cs="Arial"/>
          <w:color w:val="000000" w:themeColor="text1"/>
          <w:sz w:val="28"/>
          <w:szCs w:val="28"/>
          <w:lang w:val="es-ES_tradnl"/>
        </w:rPr>
        <w:t xml:space="preserve"> Establecer centros de evaluación y control de confianza, conforme a los lineamientos, procedimientos, protocolos y perfiles determinados por el Centro Nacional de Certificación y Acreditación, así como garantizar la observancia permanente de la normatividad aplicable;</w:t>
      </w:r>
    </w:p>
    <w:p w14:paraId="36C081D2" w14:textId="41EB21F7" w:rsidR="00DC1A86" w:rsidRPr="00C349AC" w:rsidRDefault="00DC1A86" w:rsidP="00556E9F">
      <w:pPr>
        <w:spacing w:after="0"/>
        <w:ind w:left="567"/>
        <w:jc w:val="both"/>
        <w:rPr>
          <w:rFonts w:ascii="Arial" w:hAnsi="Arial" w:cs="Arial"/>
          <w:color w:val="000000" w:themeColor="text1"/>
          <w:sz w:val="28"/>
          <w:szCs w:val="28"/>
          <w:lang w:val="es-ES_tradnl"/>
        </w:rPr>
      </w:pPr>
      <w:r w:rsidRPr="00C349AC">
        <w:rPr>
          <w:rFonts w:ascii="Arial" w:hAnsi="Arial" w:cs="Arial"/>
          <w:b/>
          <w:color w:val="000000" w:themeColor="text1"/>
          <w:sz w:val="28"/>
          <w:szCs w:val="28"/>
          <w:lang w:val="es-ES_tradnl"/>
        </w:rPr>
        <w:t>XI.</w:t>
      </w:r>
      <w:r w:rsidRPr="00C349AC">
        <w:rPr>
          <w:rFonts w:ascii="Arial" w:hAnsi="Arial" w:cs="Arial"/>
          <w:color w:val="000000" w:themeColor="text1"/>
          <w:sz w:val="28"/>
          <w:szCs w:val="28"/>
          <w:lang w:val="es-ES_tradnl"/>
        </w:rPr>
        <w:t xml:space="preserve"> Integrar y consultar la información relativa a la operación y Desarrollo Policial para el registro y seguimiento en el Sistema Nacional de Información;</w:t>
      </w:r>
    </w:p>
    <w:p w14:paraId="66EE16DC" w14:textId="35A901A7" w:rsidR="00DC1A86" w:rsidRPr="00C349AC" w:rsidRDefault="00DC1A86" w:rsidP="00556E9F">
      <w:pPr>
        <w:spacing w:after="0"/>
        <w:ind w:left="567"/>
        <w:jc w:val="both"/>
        <w:rPr>
          <w:rFonts w:ascii="Arial" w:hAnsi="Arial" w:cs="Arial"/>
          <w:color w:val="000000" w:themeColor="text1"/>
          <w:sz w:val="28"/>
          <w:szCs w:val="28"/>
          <w:lang w:val="es-ES_tradnl"/>
        </w:rPr>
      </w:pPr>
      <w:r w:rsidRPr="00C349AC">
        <w:rPr>
          <w:rFonts w:ascii="Arial" w:hAnsi="Arial" w:cs="Arial"/>
          <w:b/>
          <w:color w:val="000000" w:themeColor="text1"/>
          <w:sz w:val="28"/>
          <w:szCs w:val="28"/>
          <w:lang w:val="es-ES_tradnl"/>
        </w:rPr>
        <w:t>XII.</w:t>
      </w:r>
      <w:r w:rsidRPr="00C349AC">
        <w:rPr>
          <w:rFonts w:ascii="Arial" w:hAnsi="Arial" w:cs="Arial"/>
          <w:color w:val="000000" w:themeColor="text1"/>
          <w:sz w:val="28"/>
          <w:szCs w:val="28"/>
          <w:lang w:val="es-ES_tradnl"/>
        </w:rPr>
        <w:t xml:space="preserve"> Destinar los fondos de ayuda federal para la seguridad pública exclusivamente a estos fines y nombrar a un responsable de su control y administración;</w:t>
      </w:r>
    </w:p>
    <w:p w14:paraId="4D3DECC1" w14:textId="47B6B28D" w:rsidR="00DC1A86" w:rsidRPr="00C349AC" w:rsidRDefault="00DC1A86" w:rsidP="00556E9F">
      <w:pPr>
        <w:spacing w:after="0"/>
        <w:ind w:left="567"/>
        <w:jc w:val="both"/>
        <w:rPr>
          <w:rFonts w:ascii="Arial" w:hAnsi="Arial" w:cs="Arial"/>
          <w:color w:val="000000" w:themeColor="text1"/>
          <w:sz w:val="28"/>
          <w:szCs w:val="28"/>
          <w:lang w:val="es-ES_tradnl"/>
        </w:rPr>
      </w:pPr>
      <w:r w:rsidRPr="00C349AC">
        <w:rPr>
          <w:rFonts w:ascii="Arial" w:hAnsi="Arial" w:cs="Arial"/>
          <w:b/>
          <w:color w:val="000000" w:themeColor="text1"/>
          <w:sz w:val="28"/>
          <w:szCs w:val="28"/>
          <w:lang w:val="es-ES_tradnl"/>
        </w:rPr>
        <w:t>XIII.</w:t>
      </w:r>
      <w:r w:rsidRPr="00C349AC">
        <w:rPr>
          <w:rFonts w:ascii="Arial" w:hAnsi="Arial" w:cs="Arial"/>
          <w:color w:val="000000" w:themeColor="text1"/>
          <w:sz w:val="28"/>
          <w:szCs w:val="28"/>
          <w:lang w:val="es-ES_tradnl"/>
        </w:rPr>
        <w:t xml:space="preserve"> Participar en la ejecución de las acciones para el resguardo de las Instalaciones Estratégicas del país;</w:t>
      </w:r>
    </w:p>
    <w:p w14:paraId="2047BEDB" w14:textId="0F3A046F" w:rsidR="00DC1A86" w:rsidRPr="00C349AC" w:rsidRDefault="00DC1A86" w:rsidP="00556E9F">
      <w:pPr>
        <w:spacing w:after="0"/>
        <w:ind w:left="567"/>
        <w:jc w:val="both"/>
        <w:rPr>
          <w:rFonts w:ascii="Arial" w:hAnsi="Arial" w:cs="Arial"/>
          <w:color w:val="000000" w:themeColor="text1"/>
          <w:sz w:val="28"/>
          <w:szCs w:val="28"/>
          <w:lang w:val="es-ES_tradnl"/>
        </w:rPr>
      </w:pPr>
      <w:r w:rsidRPr="00C349AC">
        <w:rPr>
          <w:rFonts w:ascii="Arial" w:hAnsi="Arial" w:cs="Arial"/>
          <w:b/>
          <w:color w:val="000000" w:themeColor="text1"/>
          <w:sz w:val="28"/>
          <w:szCs w:val="28"/>
          <w:lang w:val="es-ES_tradnl"/>
        </w:rPr>
        <w:lastRenderedPageBreak/>
        <w:t>XIV.</w:t>
      </w:r>
      <w:r w:rsidRPr="00C349AC">
        <w:rPr>
          <w:rFonts w:ascii="Arial" w:hAnsi="Arial" w:cs="Arial"/>
          <w:color w:val="000000" w:themeColor="text1"/>
          <w:sz w:val="28"/>
          <w:szCs w:val="28"/>
          <w:lang w:val="es-ES_tradnl"/>
        </w:rPr>
        <w:t xml:space="preserve"> Solicitar la colaboración de los prestadores de servicios de telecomunicaciones, conforme a las disposiciones aplicables, para que en el ámbito técnico operativo se restrinja de manera permanente todo tipo de comunicación, ya sea transmisión de voz, datos, o imagen en los Centros de Readaptación Social Federales y de las Entidades Federativas, cualquiera que sea su denominación, y</w:t>
      </w:r>
    </w:p>
    <w:p w14:paraId="4E150842" w14:textId="4BAD7AAF" w:rsidR="00DC1A86" w:rsidRPr="00C349AC" w:rsidRDefault="00DC1A86" w:rsidP="00556E9F">
      <w:pPr>
        <w:spacing w:after="0"/>
        <w:ind w:left="567"/>
        <w:jc w:val="both"/>
        <w:rPr>
          <w:rFonts w:ascii="Arial" w:hAnsi="Arial" w:cs="Arial"/>
          <w:color w:val="000000" w:themeColor="text1"/>
          <w:sz w:val="28"/>
          <w:szCs w:val="28"/>
          <w:lang w:val="es-ES_tradnl"/>
        </w:rPr>
      </w:pPr>
      <w:r w:rsidRPr="00C349AC">
        <w:rPr>
          <w:rFonts w:ascii="Arial" w:hAnsi="Arial" w:cs="Arial"/>
          <w:b/>
          <w:color w:val="000000" w:themeColor="text1"/>
          <w:sz w:val="28"/>
          <w:szCs w:val="28"/>
          <w:lang w:val="es-ES_tradnl"/>
        </w:rPr>
        <w:t>XV.</w:t>
      </w:r>
      <w:r w:rsidRPr="00C349AC">
        <w:rPr>
          <w:rFonts w:ascii="Arial" w:hAnsi="Arial" w:cs="Arial"/>
          <w:color w:val="000000" w:themeColor="text1"/>
          <w:sz w:val="28"/>
          <w:szCs w:val="28"/>
          <w:lang w:val="es-ES_tradnl"/>
        </w:rPr>
        <w:t xml:space="preserve"> Las demás atribuciones específicas que se establezcan en la Ley y demás disposiciones aplicables.</w:t>
      </w:r>
    </w:p>
    <w:p w14:paraId="2351ED49" w14:textId="20A77046" w:rsidR="00DC1A86" w:rsidRPr="00C349AC" w:rsidRDefault="00DC1A86" w:rsidP="00556E9F">
      <w:pPr>
        <w:spacing w:after="0"/>
        <w:ind w:left="567"/>
        <w:jc w:val="both"/>
        <w:rPr>
          <w:rFonts w:ascii="Arial" w:hAnsi="Arial" w:cs="Arial"/>
          <w:bCs/>
          <w:color w:val="000000" w:themeColor="text1"/>
          <w:sz w:val="28"/>
          <w:szCs w:val="28"/>
          <w:lang w:val="es-ES_tradnl"/>
        </w:rPr>
      </w:pPr>
      <w:r w:rsidRPr="00C349AC">
        <w:rPr>
          <w:rFonts w:ascii="Arial" w:hAnsi="Arial" w:cs="Arial"/>
          <w:bCs/>
          <w:color w:val="000000" w:themeColor="text1"/>
          <w:sz w:val="28"/>
          <w:szCs w:val="28"/>
          <w:lang w:val="es-ES_tradnl"/>
        </w:rPr>
        <w:t>Los Estados y los Municipios podrán coordinarse para hacer efectivo lo previsto en el artículo 115, fracciones III, inciso h) y VII, de la Constitución Política de los Estados Unidos Mexicanos.</w:t>
      </w:r>
    </w:p>
    <w:p w14:paraId="1908C9BC" w14:textId="77777777" w:rsidR="00DC1A86" w:rsidRPr="00C349AC" w:rsidRDefault="00DC1A86" w:rsidP="00556E9F">
      <w:pPr>
        <w:spacing w:after="0"/>
        <w:ind w:left="567"/>
        <w:jc w:val="both"/>
        <w:rPr>
          <w:rFonts w:ascii="Arial" w:hAnsi="Arial" w:cs="Arial"/>
          <w:bCs/>
          <w:color w:val="000000" w:themeColor="text1"/>
          <w:sz w:val="28"/>
          <w:szCs w:val="28"/>
          <w:lang w:val="es-ES_tradnl"/>
        </w:rPr>
      </w:pPr>
      <w:r w:rsidRPr="00C349AC">
        <w:rPr>
          <w:rFonts w:ascii="Arial" w:hAnsi="Arial" w:cs="Arial"/>
          <w:bCs/>
          <w:color w:val="000000" w:themeColor="text1"/>
          <w:sz w:val="28"/>
          <w:szCs w:val="28"/>
          <w:lang w:val="es-ES_tradnl"/>
        </w:rPr>
        <w:t>Las Leyes Estatales de Seguridad Pública podrán establecer la posibilidad de coordinación, y en su caso, los medios para la más eficaz prestación del servicio de seguridad pública entre un Estado y sus Municipios.</w:t>
      </w:r>
    </w:p>
    <w:p w14:paraId="293C8581" w14:textId="77777777" w:rsidR="00DC1A86" w:rsidRPr="00C349AC" w:rsidRDefault="00DC1A86" w:rsidP="00556E9F">
      <w:pPr>
        <w:spacing w:after="0" w:line="360" w:lineRule="auto"/>
        <w:jc w:val="both"/>
        <w:rPr>
          <w:rFonts w:ascii="Arial" w:hAnsi="Arial" w:cs="Arial"/>
          <w:color w:val="000000" w:themeColor="text1"/>
          <w:sz w:val="28"/>
          <w:szCs w:val="28"/>
          <w:highlight w:val="yellow"/>
          <w:lang w:val="es-ES_tradnl"/>
        </w:rPr>
      </w:pPr>
    </w:p>
    <w:p w14:paraId="3F31DB53" w14:textId="2EF262D2" w:rsidR="00DC1A86" w:rsidRPr="00C349AC" w:rsidRDefault="00DC1A86" w:rsidP="00556E9F">
      <w:pPr>
        <w:spacing w:after="0" w:line="360" w:lineRule="auto"/>
        <w:ind w:firstLine="567"/>
        <w:jc w:val="both"/>
        <w:rPr>
          <w:rFonts w:ascii="Arial" w:hAnsi="Arial" w:cs="Arial"/>
          <w:color w:val="000000" w:themeColor="text1"/>
          <w:sz w:val="28"/>
          <w:szCs w:val="28"/>
          <w:u w:val="single"/>
          <w:lang w:val="es-ES_tradnl"/>
        </w:rPr>
      </w:pPr>
      <w:r w:rsidRPr="00C349AC">
        <w:rPr>
          <w:rFonts w:ascii="Arial" w:hAnsi="Arial" w:cs="Arial"/>
          <w:color w:val="000000" w:themeColor="text1"/>
          <w:sz w:val="28"/>
          <w:szCs w:val="28"/>
          <w:lang w:val="es-ES_tradnl"/>
        </w:rPr>
        <w:t xml:space="preserve">Como se observa, la Ley General establece en su artículo 39, apartado A, fracción I, que corresponde a la Federación </w:t>
      </w:r>
      <w:r w:rsidRPr="00C349AC">
        <w:rPr>
          <w:rFonts w:ascii="Arial" w:hAnsi="Arial" w:cs="Arial"/>
          <w:i/>
          <w:color w:val="000000" w:themeColor="text1"/>
          <w:sz w:val="28"/>
          <w:szCs w:val="28"/>
          <w:lang w:val="es-ES_tradnl"/>
        </w:rPr>
        <w:t>“[p]</w:t>
      </w:r>
      <w:proofErr w:type="spellStart"/>
      <w:r w:rsidRPr="00C349AC">
        <w:rPr>
          <w:rFonts w:ascii="Arial" w:hAnsi="Arial" w:cs="Arial"/>
          <w:i/>
          <w:color w:val="000000" w:themeColor="text1"/>
          <w:sz w:val="28"/>
          <w:szCs w:val="28"/>
          <w:lang w:val="es-ES_tradnl"/>
        </w:rPr>
        <w:t>roponer</w:t>
      </w:r>
      <w:proofErr w:type="spellEnd"/>
      <w:r w:rsidRPr="00C349AC">
        <w:rPr>
          <w:rFonts w:ascii="Arial" w:hAnsi="Arial" w:cs="Arial"/>
          <w:i/>
          <w:color w:val="000000" w:themeColor="text1"/>
          <w:sz w:val="28"/>
          <w:szCs w:val="28"/>
          <w:lang w:val="es-ES_tradnl"/>
        </w:rPr>
        <w:t xml:space="preserve"> las acciones tendientes a asegurar la coordinación entre la Federación, las entidades federativas y los Municipios”</w:t>
      </w:r>
      <w:r w:rsidRPr="00C349AC">
        <w:rPr>
          <w:rFonts w:ascii="Arial" w:hAnsi="Arial" w:cs="Arial"/>
          <w:color w:val="000000" w:themeColor="text1"/>
          <w:sz w:val="28"/>
          <w:szCs w:val="28"/>
          <w:lang w:val="es-ES_tradnl"/>
        </w:rPr>
        <w:t xml:space="preserve">. Además, si bien es cierto que el penúltimo y el </w:t>
      </w:r>
      <w:proofErr w:type="gramStart"/>
      <w:r w:rsidRPr="00C349AC">
        <w:rPr>
          <w:rFonts w:ascii="Arial" w:hAnsi="Arial" w:cs="Arial"/>
          <w:color w:val="000000" w:themeColor="text1"/>
          <w:sz w:val="28"/>
          <w:szCs w:val="28"/>
          <w:lang w:val="es-ES_tradnl"/>
        </w:rPr>
        <w:t>último párrafo</w:t>
      </w:r>
      <w:r w:rsidR="00214375">
        <w:rPr>
          <w:rFonts w:ascii="Arial" w:hAnsi="Arial" w:cs="Arial"/>
          <w:color w:val="000000" w:themeColor="text1"/>
          <w:sz w:val="28"/>
          <w:szCs w:val="28"/>
          <w:lang w:val="es-ES_tradnl"/>
        </w:rPr>
        <w:t>s</w:t>
      </w:r>
      <w:proofErr w:type="gramEnd"/>
      <w:r w:rsidRPr="00C349AC">
        <w:rPr>
          <w:rFonts w:ascii="Arial" w:hAnsi="Arial" w:cs="Arial"/>
          <w:color w:val="000000" w:themeColor="text1"/>
          <w:sz w:val="28"/>
          <w:szCs w:val="28"/>
          <w:lang w:val="es-ES_tradnl"/>
        </w:rPr>
        <w:t xml:space="preserve"> de dicho precepto reconocen ciertas facultades a los Estados para legislar en materia de “coordinación”, estos se refieren únicamente a la posibilidad de regular la coordinación entre un Estado y sus Municipios, </w:t>
      </w:r>
      <w:r w:rsidRPr="00C349AC">
        <w:rPr>
          <w:rFonts w:ascii="Arial" w:hAnsi="Arial" w:cs="Arial"/>
          <w:i/>
          <w:iCs/>
          <w:color w:val="000000" w:themeColor="text1"/>
          <w:sz w:val="28"/>
          <w:szCs w:val="28"/>
          <w:lang w:val="es-ES_tradnl"/>
        </w:rPr>
        <w:t xml:space="preserve">pero no respecto de los tres órdenes de gobierno. </w:t>
      </w:r>
    </w:p>
    <w:p w14:paraId="76B7C59F" w14:textId="77777777" w:rsidR="00DC1A86" w:rsidRPr="00C349AC" w:rsidRDefault="00DC1A86" w:rsidP="00556E9F">
      <w:pPr>
        <w:spacing w:after="0" w:line="360" w:lineRule="auto"/>
        <w:jc w:val="both"/>
        <w:rPr>
          <w:rFonts w:ascii="Arial" w:hAnsi="Arial" w:cs="Arial"/>
          <w:color w:val="000000" w:themeColor="text1"/>
          <w:sz w:val="28"/>
          <w:szCs w:val="28"/>
          <w:lang w:val="es-ES_tradnl"/>
        </w:rPr>
      </w:pPr>
    </w:p>
    <w:p w14:paraId="5BBD386B" w14:textId="77777777" w:rsidR="00653B90" w:rsidRPr="00C349AC" w:rsidRDefault="00DC1A86" w:rsidP="00556E9F">
      <w:pPr>
        <w:spacing w:after="0" w:line="360" w:lineRule="auto"/>
        <w:ind w:firstLine="567"/>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 xml:space="preserve">En definitiva, si bien es cierto que la seguridad pública es una materia </w:t>
      </w:r>
      <w:r w:rsidRPr="00C349AC">
        <w:rPr>
          <w:rFonts w:ascii="Arial" w:hAnsi="Arial" w:cs="Arial"/>
          <w:i/>
          <w:iCs/>
          <w:color w:val="000000" w:themeColor="text1"/>
          <w:sz w:val="28"/>
          <w:szCs w:val="28"/>
          <w:lang w:val="es-ES_tradnl"/>
        </w:rPr>
        <w:t>concurrente</w:t>
      </w:r>
      <w:r w:rsidRPr="00C349AC">
        <w:rPr>
          <w:rFonts w:ascii="Arial" w:hAnsi="Arial" w:cs="Arial"/>
          <w:color w:val="000000" w:themeColor="text1"/>
          <w:sz w:val="28"/>
          <w:szCs w:val="28"/>
          <w:lang w:val="es-ES_tradnl"/>
        </w:rPr>
        <w:t>, también lo es</w:t>
      </w:r>
      <w:r w:rsidR="00D7277D" w:rsidRPr="00C349AC">
        <w:rPr>
          <w:rFonts w:ascii="Arial" w:hAnsi="Arial" w:cs="Arial"/>
          <w:color w:val="000000" w:themeColor="text1"/>
          <w:sz w:val="28"/>
          <w:szCs w:val="28"/>
          <w:lang w:val="es-ES_tradnl"/>
        </w:rPr>
        <w:t xml:space="preserve"> que</w:t>
      </w:r>
      <w:r w:rsidRPr="00C349AC">
        <w:rPr>
          <w:rFonts w:ascii="Arial" w:hAnsi="Arial" w:cs="Arial"/>
          <w:color w:val="000000" w:themeColor="text1"/>
          <w:sz w:val="28"/>
          <w:szCs w:val="28"/>
          <w:lang w:val="es-ES_tradnl"/>
        </w:rPr>
        <w:t xml:space="preserve">, como </w:t>
      </w:r>
      <w:r w:rsidR="00D7277D" w:rsidRPr="00C349AC">
        <w:rPr>
          <w:rFonts w:ascii="Arial" w:hAnsi="Arial" w:cs="Arial"/>
          <w:color w:val="000000" w:themeColor="text1"/>
          <w:sz w:val="28"/>
          <w:szCs w:val="28"/>
          <w:lang w:val="es-ES_tradnl"/>
        </w:rPr>
        <w:t>bien se señala en la sentencia</w:t>
      </w:r>
      <w:r w:rsidRPr="00C349AC">
        <w:rPr>
          <w:rFonts w:ascii="Arial" w:hAnsi="Arial" w:cs="Arial"/>
          <w:color w:val="000000" w:themeColor="text1"/>
          <w:sz w:val="28"/>
          <w:szCs w:val="28"/>
          <w:lang w:val="es-ES_tradnl"/>
        </w:rPr>
        <w:t>, la coordinación entre los tres órdenes de gobierno en dicha materia (esto es, la Federación, los Estados y los Municipios) es un aspecto</w:t>
      </w:r>
      <w:r w:rsidR="00FF0104" w:rsidRPr="00C349AC">
        <w:rPr>
          <w:rFonts w:ascii="Arial" w:hAnsi="Arial" w:cs="Arial"/>
          <w:color w:val="000000" w:themeColor="text1"/>
          <w:sz w:val="28"/>
          <w:szCs w:val="28"/>
          <w:lang w:val="es-ES_tradnl"/>
        </w:rPr>
        <w:t xml:space="preserve"> específico</w:t>
      </w:r>
      <w:r w:rsidRPr="00C349AC">
        <w:rPr>
          <w:rFonts w:ascii="Arial" w:hAnsi="Arial" w:cs="Arial"/>
          <w:color w:val="000000" w:themeColor="text1"/>
          <w:sz w:val="28"/>
          <w:szCs w:val="28"/>
          <w:lang w:val="es-ES_tradnl"/>
        </w:rPr>
        <w:t xml:space="preserve"> que, conforme al artículo 73, fracción XXIII, de la Constitución General y la Ley General del Sistema Nacional de Seguridad Pública, corresponde regular en exclusiva al Congreso de la Unión, a través de la Ley General. </w:t>
      </w:r>
    </w:p>
    <w:p w14:paraId="44E97270" w14:textId="77777777" w:rsidR="00653B90" w:rsidRPr="00C349AC" w:rsidRDefault="00653B90" w:rsidP="00556E9F">
      <w:pPr>
        <w:spacing w:after="0" w:line="360" w:lineRule="auto"/>
        <w:ind w:firstLine="567"/>
        <w:jc w:val="both"/>
        <w:rPr>
          <w:rFonts w:ascii="Arial" w:hAnsi="Arial" w:cs="Arial"/>
          <w:color w:val="000000" w:themeColor="text1"/>
          <w:sz w:val="28"/>
          <w:szCs w:val="28"/>
          <w:lang w:val="es-ES_tradnl"/>
        </w:rPr>
      </w:pPr>
    </w:p>
    <w:p w14:paraId="74EF4C54" w14:textId="72518D8E" w:rsidR="00DC1A86" w:rsidRPr="00991B1A" w:rsidRDefault="00DC1A86" w:rsidP="00991B1A">
      <w:pPr>
        <w:spacing w:after="0" w:line="360" w:lineRule="auto"/>
        <w:ind w:firstLine="567"/>
        <w:jc w:val="both"/>
        <w:rPr>
          <w:rFonts w:ascii="Arial" w:hAnsi="Arial" w:cs="Arial"/>
          <w:color w:val="000000" w:themeColor="text1"/>
          <w:sz w:val="28"/>
          <w:szCs w:val="28"/>
        </w:rPr>
      </w:pPr>
      <w:r w:rsidRPr="00C349AC">
        <w:rPr>
          <w:rFonts w:ascii="Arial" w:hAnsi="Arial" w:cs="Arial"/>
          <w:color w:val="000000" w:themeColor="text1"/>
          <w:sz w:val="28"/>
          <w:szCs w:val="28"/>
          <w:lang w:val="es-ES_tradnl"/>
        </w:rPr>
        <w:t>Consecuentemente, si el Congreso de la Ciudad de México carece de competencia para legislar sobre la coordinación de los tres órdenes de gobierno en materia de seguridad, es evidente que tampoco cuenta con atribuciones para establecer que, a falta de disposición expresa en la ley local sobre dicho aspecto, se estará lo dispuesto en las leyes de la materia en el ámbito federal, las resoluciones y acuerdos emitidos por el Consejo Nacional de Seguridad Pública y el Consejo, la Ley General, la Ley de la Guardia Nacional y la Ley Nacional sobre el Uso de la Fuerz</w:t>
      </w:r>
      <w:r w:rsidR="00D7277D" w:rsidRPr="00C349AC">
        <w:rPr>
          <w:rFonts w:ascii="Arial" w:hAnsi="Arial" w:cs="Arial"/>
          <w:color w:val="000000" w:themeColor="text1"/>
          <w:sz w:val="28"/>
          <w:szCs w:val="28"/>
          <w:lang w:val="es-ES_tradnl"/>
        </w:rPr>
        <w:t>a</w:t>
      </w:r>
      <w:r w:rsidR="00653B90" w:rsidRPr="00C349AC">
        <w:rPr>
          <w:rFonts w:ascii="Arial" w:hAnsi="Arial" w:cs="Arial"/>
          <w:color w:val="000000" w:themeColor="text1"/>
          <w:sz w:val="28"/>
          <w:szCs w:val="28"/>
          <w:lang w:val="es-ES_tradnl"/>
        </w:rPr>
        <w:t>;</w:t>
      </w:r>
      <w:r w:rsidR="00D7277D" w:rsidRPr="00C349AC">
        <w:rPr>
          <w:rFonts w:ascii="Arial" w:hAnsi="Arial" w:cs="Arial"/>
          <w:color w:val="000000" w:themeColor="text1"/>
          <w:sz w:val="28"/>
          <w:szCs w:val="28"/>
          <w:lang w:val="es-ES_tradnl"/>
        </w:rPr>
        <w:t xml:space="preserve"> las cuales, además, </w:t>
      </w:r>
      <w:r w:rsidR="00653B90" w:rsidRPr="00C349AC">
        <w:rPr>
          <w:rFonts w:ascii="Arial" w:hAnsi="Arial" w:cs="Arial"/>
          <w:color w:val="000000" w:themeColor="text1"/>
          <w:sz w:val="28"/>
          <w:szCs w:val="28"/>
          <w:lang w:val="es-ES_tradnl"/>
        </w:rPr>
        <w:t xml:space="preserve">como también se precisa en la sentencia, </w:t>
      </w:r>
      <w:r w:rsidR="00D7277D" w:rsidRPr="00C349AC">
        <w:rPr>
          <w:rFonts w:ascii="Arial" w:hAnsi="Arial" w:cs="Arial"/>
          <w:color w:val="000000" w:themeColor="text1"/>
          <w:sz w:val="28"/>
          <w:szCs w:val="28"/>
          <w:lang w:val="es-ES_tradnl"/>
        </w:rPr>
        <w:t xml:space="preserve">son en todo caso de </w:t>
      </w:r>
      <w:r w:rsidR="00D7277D" w:rsidRPr="00C349AC">
        <w:rPr>
          <w:rFonts w:ascii="Arial" w:hAnsi="Arial" w:cs="Arial"/>
          <w:i/>
          <w:iCs/>
          <w:color w:val="000000" w:themeColor="text1"/>
          <w:sz w:val="28"/>
          <w:szCs w:val="28"/>
          <w:lang w:val="es-ES_tradnl"/>
        </w:rPr>
        <w:t>aplicación directa</w:t>
      </w:r>
      <w:r w:rsidR="00D7277D" w:rsidRPr="00C349AC">
        <w:rPr>
          <w:rFonts w:ascii="Arial" w:hAnsi="Arial" w:cs="Arial"/>
          <w:color w:val="000000" w:themeColor="text1"/>
          <w:sz w:val="28"/>
          <w:szCs w:val="28"/>
          <w:lang w:val="es-ES_tradnl"/>
        </w:rPr>
        <w:t xml:space="preserve">. </w:t>
      </w:r>
    </w:p>
    <w:p w14:paraId="6C77A874" w14:textId="77777777" w:rsidR="00DC1A86" w:rsidRPr="00C349AC" w:rsidRDefault="00DC1A86" w:rsidP="00556E9F">
      <w:pPr>
        <w:spacing w:after="0" w:line="360" w:lineRule="auto"/>
        <w:jc w:val="both"/>
        <w:rPr>
          <w:rFonts w:ascii="Arial" w:hAnsi="Arial" w:cs="Arial"/>
          <w:bCs/>
          <w:color w:val="000000" w:themeColor="text1"/>
          <w:sz w:val="28"/>
          <w:szCs w:val="28"/>
          <w:lang w:val="es-ES_tradnl"/>
        </w:rPr>
      </w:pPr>
    </w:p>
    <w:p w14:paraId="45865D15" w14:textId="73290D5E" w:rsidR="00DC1A86" w:rsidRPr="00C349AC" w:rsidRDefault="00FB7067" w:rsidP="00556E9F">
      <w:pPr>
        <w:pStyle w:val="Prrafodelista"/>
        <w:numPr>
          <w:ilvl w:val="0"/>
          <w:numId w:val="3"/>
        </w:numPr>
        <w:spacing w:after="0" w:line="360" w:lineRule="auto"/>
        <w:jc w:val="both"/>
        <w:rPr>
          <w:rFonts w:ascii="Arial" w:hAnsi="Arial" w:cs="Arial"/>
          <w:b/>
          <w:bCs/>
          <w:color w:val="000000" w:themeColor="text1"/>
          <w:sz w:val="28"/>
          <w:szCs w:val="28"/>
          <w:lang w:val="es-ES_tradnl"/>
        </w:rPr>
      </w:pPr>
      <w:r w:rsidRPr="00C349AC">
        <w:rPr>
          <w:rFonts w:ascii="Arial" w:hAnsi="Arial" w:cs="Arial"/>
          <w:b/>
          <w:bCs/>
          <w:color w:val="000000" w:themeColor="text1"/>
          <w:sz w:val="28"/>
          <w:szCs w:val="28"/>
          <w:lang w:val="es-ES_tradnl"/>
        </w:rPr>
        <w:t xml:space="preserve">Tema 4. Constitucionalidad </w:t>
      </w:r>
      <w:r w:rsidR="00DC1A86" w:rsidRPr="00C349AC">
        <w:rPr>
          <w:rFonts w:ascii="Arial" w:hAnsi="Arial" w:cs="Arial"/>
          <w:b/>
          <w:bCs/>
          <w:color w:val="000000" w:themeColor="text1"/>
          <w:sz w:val="28"/>
          <w:szCs w:val="28"/>
          <w:lang w:val="es-ES_tradnl"/>
        </w:rPr>
        <w:t>del artículo 59, fracción XXI</w:t>
      </w:r>
      <w:r w:rsidR="00C60ACB">
        <w:rPr>
          <w:rFonts w:ascii="Arial" w:hAnsi="Arial" w:cs="Arial"/>
          <w:b/>
          <w:bCs/>
          <w:color w:val="000000" w:themeColor="text1"/>
          <w:sz w:val="28"/>
          <w:szCs w:val="28"/>
          <w:lang w:val="es-ES_tradnl"/>
        </w:rPr>
        <w:t>.</w:t>
      </w:r>
    </w:p>
    <w:p w14:paraId="4EADBAAE" w14:textId="77777777" w:rsidR="00DC1A86" w:rsidRPr="00C349AC" w:rsidRDefault="00DC1A86" w:rsidP="00556E9F">
      <w:pPr>
        <w:spacing w:after="0" w:line="360" w:lineRule="auto"/>
        <w:jc w:val="both"/>
        <w:rPr>
          <w:rFonts w:ascii="Arial" w:hAnsi="Arial" w:cs="Arial"/>
          <w:bCs/>
          <w:color w:val="000000" w:themeColor="text1"/>
          <w:sz w:val="28"/>
          <w:szCs w:val="28"/>
          <w:highlight w:val="green"/>
          <w:lang w:val="es-ES_tradnl"/>
        </w:rPr>
      </w:pPr>
    </w:p>
    <w:p w14:paraId="79DF8D0F" w14:textId="0EB28E2B" w:rsidR="00DC1A86" w:rsidRPr="00C349AC" w:rsidRDefault="00D7277D" w:rsidP="00AE340F">
      <w:pPr>
        <w:spacing w:after="0" w:line="360" w:lineRule="auto"/>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En este apartado, l</w:t>
      </w:r>
      <w:r w:rsidR="00DC1A86" w:rsidRPr="00C349AC">
        <w:rPr>
          <w:rFonts w:ascii="Arial" w:hAnsi="Arial" w:cs="Arial"/>
          <w:color w:val="000000" w:themeColor="text1"/>
          <w:sz w:val="28"/>
          <w:szCs w:val="28"/>
          <w:lang w:val="es-ES_tradnl"/>
        </w:rPr>
        <w:t xml:space="preserve">a sentencia </w:t>
      </w:r>
      <w:r w:rsidRPr="00C349AC">
        <w:rPr>
          <w:rFonts w:ascii="Arial" w:hAnsi="Arial" w:cs="Arial"/>
          <w:color w:val="000000" w:themeColor="text1"/>
          <w:sz w:val="28"/>
          <w:szCs w:val="28"/>
          <w:lang w:val="es-ES_tradnl"/>
        </w:rPr>
        <w:t>concluy</w:t>
      </w:r>
      <w:r w:rsidR="00384BA0" w:rsidRPr="00C349AC">
        <w:rPr>
          <w:rFonts w:ascii="Arial" w:hAnsi="Arial" w:cs="Arial"/>
          <w:color w:val="000000" w:themeColor="text1"/>
          <w:sz w:val="28"/>
          <w:szCs w:val="28"/>
          <w:lang w:val="es-ES_tradnl"/>
        </w:rPr>
        <w:t>ó</w:t>
      </w:r>
      <w:r w:rsidRPr="00C349AC">
        <w:rPr>
          <w:rFonts w:ascii="Arial" w:hAnsi="Arial" w:cs="Arial"/>
          <w:color w:val="000000" w:themeColor="text1"/>
          <w:sz w:val="28"/>
          <w:szCs w:val="28"/>
          <w:lang w:val="es-ES_tradnl"/>
        </w:rPr>
        <w:t xml:space="preserve"> </w:t>
      </w:r>
      <w:r w:rsidR="00DC1A86" w:rsidRPr="00C349AC">
        <w:rPr>
          <w:rFonts w:ascii="Arial" w:hAnsi="Arial" w:cs="Arial"/>
          <w:color w:val="000000" w:themeColor="text1"/>
          <w:sz w:val="28"/>
          <w:szCs w:val="28"/>
          <w:lang w:val="es-ES_tradnl"/>
        </w:rPr>
        <w:t>que el artículo 59, fracción XXI</w:t>
      </w:r>
      <w:r w:rsidR="00DC1A86" w:rsidRPr="00C349AC">
        <w:rPr>
          <w:rStyle w:val="Refdenotaalpie"/>
          <w:rFonts w:ascii="Arial" w:hAnsi="Arial" w:cs="Arial"/>
          <w:color w:val="000000" w:themeColor="text1"/>
          <w:sz w:val="28"/>
          <w:szCs w:val="28"/>
          <w:lang w:val="es-ES_tradnl"/>
        </w:rPr>
        <w:footnoteReference w:id="25"/>
      </w:r>
      <w:r w:rsidR="00DC1A86" w:rsidRPr="00C349AC">
        <w:rPr>
          <w:rFonts w:ascii="Arial" w:hAnsi="Arial" w:cs="Arial"/>
          <w:color w:val="000000" w:themeColor="text1"/>
          <w:sz w:val="28"/>
          <w:szCs w:val="28"/>
          <w:lang w:val="es-ES_tradnl"/>
        </w:rPr>
        <w:t xml:space="preserve">, de la Ley impugnada, no contraviene el </w:t>
      </w:r>
      <w:r w:rsidR="00DC1A86" w:rsidRPr="00C349AC">
        <w:rPr>
          <w:rFonts w:ascii="Arial" w:hAnsi="Arial" w:cs="Arial"/>
          <w:i/>
          <w:iCs/>
          <w:color w:val="000000" w:themeColor="text1"/>
          <w:sz w:val="28"/>
          <w:szCs w:val="28"/>
          <w:lang w:val="es-ES_tradnl"/>
        </w:rPr>
        <w:t>principio de taxatividad</w:t>
      </w:r>
      <w:r w:rsidRPr="00C349AC">
        <w:rPr>
          <w:rFonts w:ascii="Arial" w:hAnsi="Arial" w:cs="Arial"/>
          <w:color w:val="000000" w:themeColor="text1"/>
          <w:sz w:val="28"/>
          <w:szCs w:val="28"/>
          <w:lang w:val="es-ES_tradnl"/>
        </w:rPr>
        <w:t>, como alegó la CNDH</w:t>
      </w:r>
      <w:r w:rsidR="00AE340F" w:rsidRPr="00C349AC">
        <w:rPr>
          <w:rFonts w:ascii="Arial" w:hAnsi="Arial" w:cs="Arial"/>
          <w:color w:val="000000" w:themeColor="text1"/>
          <w:sz w:val="28"/>
          <w:szCs w:val="28"/>
          <w:lang w:val="es-ES_tradnl"/>
        </w:rPr>
        <w:t xml:space="preserve">, toda vez que los elementos de las instituciones policiales están en condiciones plenas de saber el tipo de acciones o conductas que efectivamente conducen a desacreditar su propia persona o la imagen de las instituciones de seguridad ciudadana, dentro o fuera del servicio. </w:t>
      </w:r>
    </w:p>
    <w:p w14:paraId="6A37B056" w14:textId="77777777" w:rsidR="00AE340F" w:rsidRPr="00C349AC" w:rsidRDefault="00AE340F" w:rsidP="00556E9F">
      <w:pPr>
        <w:spacing w:after="0" w:line="360" w:lineRule="auto"/>
        <w:ind w:firstLine="708"/>
        <w:jc w:val="both"/>
        <w:rPr>
          <w:rFonts w:ascii="Arial" w:hAnsi="Arial" w:cs="Arial"/>
          <w:color w:val="000000" w:themeColor="text1"/>
          <w:sz w:val="28"/>
          <w:szCs w:val="28"/>
          <w:highlight w:val="green"/>
          <w:lang w:val="es-ES_tradnl"/>
        </w:rPr>
      </w:pPr>
    </w:p>
    <w:p w14:paraId="5E4D2AA2" w14:textId="75E4020A" w:rsidR="00DC1A86" w:rsidRPr="00C349AC" w:rsidRDefault="00384BA0" w:rsidP="00556E9F">
      <w:pPr>
        <w:spacing w:after="0" w:line="360" w:lineRule="auto"/>
        <w:ind w:firstLine="708"/>
        <w:jc w:val="both"/>
        <w:rPr>
          <w:rFonts w:ascii="Arial" w:hAnsi="Arial" w:cs="Arial"/>
          <w:b/>
          <w:bCs/>
          <w:color w:val="000000" w:themeColor="text1"/>
          <w:sz w:val="28"/>
          <w:szCs w:val="28"/>
          <w:lang w:val="es-ES_tradnl"/>
        </w:rPr>
      </w:pPr>
      <w:r w:rsidRPr="00C349AC">
        <w:rPr>
          <w:rFonts w:ascii="Arial" w:hAnsi="Arial" w:cs="Arial"/>
          <w:color w:val="000000" w:themeColor="text1"/>
          <w:sz w:val="28"/>
          <w:szCs w:val="28"/>
          <w:lang w:val="es-ES_tradnl"/>
        </w:rPr>
        <w:t>C</w:t>
      </w:r>
      <w:r w:rsidR="00AE340F" w:rsidRPr="00C349AC">
        <w:rPr>
          <w:rFonts w:ascii="Arial" w:hAnsi="Arial" w:cs="Arial"/>
          <w:color w:val="000000" w:themeColor="text1"/>
          <w:sz w:val="28"/>
          <w:szCs w:val="28"/>
          <w:lang w:val="es-ES_tradnl"/>
        </w:rPr>
        <w:t>oncuerdo con la mayoría</w:t>
      </w:r>
      <w:r w:rsidR="00DC1A86" w:rsidRPr="00C349AC">
        <w:rPr>
          <w:rFonts w:ascii="Arial" w:hAnsi="Arial" w:cs="Arial"/>
          <w:color w:val="000000" w:themeColor="text1"/>
          <w:sz w:val="28"/>
          <w:szCs w:val="28"/>
          <w:lang w:val="es-ES_tradnl"/>
        </w:rPr>
        <w:t xml:space="preserve"> </w:t>
      </w:r>
      <w:r w:rsidR="00AE340F" w:rsidRPr="00C349AC">
        <w:rPr>
          <w:rFonts w:ascii="Arial" w:hAnsi="Arial" w:cs="Arial"/>
          <w:color w:val="000000" w:themeColor="text1"/>
          <w:sz w:val="28"/>
          <w:szCs w:val="28"/>
          <w:lang w:val="es-ES_tradnl"/>
        </w:rPr>
        <w:t xml:space="preserve">en que el </w:t>
      </w:r>
      <w:r w:rsidR="00DC1A86" w:rsidRPr="00C349AC">
        <w:rPr>
          <w:rFonts w:ascii="Arial" w:hAnsi="Arial" w:cs="Arial"/>
          <w:color w:val="000000" w:themeColor="text1"/>
          <w:sz w:val="28"/>
          <w:szCs w:val="28"/>
          <w:lang w:val="es-ES_tradnl"/>
        </w:rPr>
        <w:t>artículo 59, fracción XXI, de la Ley del Sistema de Seguridad Ciudadana de la Ciudad de México</w:t>
      </w:r>
      <w:r w:rsidR="00AE340F" w:rsidRPr="00C349AC">
        <w:rPr>
          <w:rFonts w:ascii="Arial" w:hAnsi="Arial" w:cs="Arial"/>
          <w:color w:val="000000" w:themeColor="text1"/>
          <w:sz w:val="28"/>
          <w:szCs w:val="28"/>
          <w:lang w:val="es-ES_tradnl"/>
        </w:rPr>
        <w:t xml:space="preserve"> no es </w:t>
      </w:r>
      <w:r w:rsidR="00AE340F" w:rsidRPr="00C349AC">
        <w:rPr>
          <w:rFonts w:ascii="Arial" w:hAnsi="Arial" w:cs="Arial"/>
          <w:color w:val="000000" w:themeColor="text1"/>
          <w:sz w:val="28"/>
          <w:szCs w:val="28"/>
          <w:lang w:val="es-ES_tradnl"/>
        </w:rPr>
        <w:lastRenderedPageBreak/>
        <w:t xml:space="preserve">inconstitucional. No obstante, como indiqué en sesión, </w:t>
      </w:r>
      <w:r w:rsidR="00DC1A86" w:rsidRPr="00C349AC">
        <w:rPr>
          <w:rFonts w:ascii="Arial" w:hAnsi="Arial" w:cs="Arial"/>
          <w:color w:val="000000" w:themeColor="text1"/>
          <w:sz w:val="28"/>
          <w:szCs w:val="28"/>
          <w:lang w:val="es-ES_tradnl"/>
        </w:rPr>
        <w:t xml:space="preserve">estimo necesario exponer </w:t>
      </w:r>
      <w:r w:rsidR="00AE340F" w:rsidRPr="00C349AC">
        <w:rPr>
          <w:rFonts w:ascii="Arial" w:hAnsi="Arial" w:cs="Arial"/>
          <w:color w:val="000000" w:themeColor="text1"/>
          <w:sz w:val="28"/>
          <w:szCs w:val="28"/>
          <w:lang w:val="es-ES_tradnl"/>
        </w:rPr>
        <w:t xml:space="preserve">algunos </w:t>
      </w:r>
      <w:r w:rsidR="00DC1A86" w:rsidRPr="00C349AC">
        <w:rPr>
          <w:rFonts w:ascii="Arial" w:hAnsi="Arial" w:cs="Arial"/>
          <w:i/>
          <w:iCs/>
          <w:color w:val="000000" w:themeColor="text1"/>
          <w:sz w:val="28"/>
          <w:szCs w:val="28"/>
          <w:lang w:val="es-ES_tradnl"/>
        </w:rPr>
        <w:t>argumentos adicionales</w:t>
      </w:r>
      <w:r w:rsidR="00DC1A86" w:rsidRPr="00C349AC">
        <w:rPr>
          <w:rFonts w:ascii="Arial" w:hAnsi="Arial" w:cs="Arial"/>
          <w:color w:val="000000" w:themeColor="text1"/>
          <w:sz w:val="28"/>
          <w:szCs w:val="28"/>
          <w:lang w:val="es-ES_tradnl"/>
        </w:rPr>
        <w:t xml:space="preserve"> que me llevan a </w:t>
      </w:r>
      <w:r w:rsidR="00AE340F" w:rsidRPr="00C349AC">
        <w:rPr>
          <w:rFonts w:ascii="Arial" w:hAnsi="Arial" w:cs="Arial"/>
          <w:color w:val="000000" w:themeColor="text1"/>
          <w:sz w:val="28"/>
          <w:szCs w:val="28"/>
          <w:lang w:val="es-ES_tradnl"/>
        </w:rPr>
        <w:t xml:space="preserve">sostener dicha conclusión. </w:t>
      </w:r>
      <w:r w:rsidR="00DC1A86" w:rsidRPr="00C349AC">
        <w:rPr>
          <w:rFonts w:ascii="Arial" w:hAnsi="Arial" w:cs="Arial"/>
          <w:b/>
          <w:bCs/>
          <w:color w:val="000000" w:themeColor="text1"/>
          <w:sz w:val="28"/>
          <w:szCs w:val="28"/>
          <w:lang w:val="es-ES_tradnl"/>
        </w:rPr>
        <w:t xml:space="preserve"> </w:t>
      </w:r>
    </w:p>
    <w:p w14:paraId="51697040" w14:textId="77777777" w:rsidR="00DC1A86" w:rsidRPr="00C349AC" w:rsidRDefault="00DC1A86" w:rsidP="00556E9F">
      <w:pPr>
        <w:spacing w:after="0" w:line="360" w:lineRule="auto"/>
        <w:jc w:val="both"/>
        <w:rPr>
          <w:rFonts w:ascii="Arial" w:hAnsi="Arial" w:cs="Arial"/>
          <w:color w:val="000000" w:themeColor="text1"/>
          <w:sz w:val="28"/>
          <w:szCs w:val="28"/>
          <w:highlight w:val="green"/>
          <w:lang w:val="es-ES_tradnl"/>
        </w:rPr>
      </w:pPr>
    </w:p>
    <w:p w14:paraId="3B2E25C2" w14:textId="0B772CFD" w:rsidR="00DC1A86" w:rsidRPr="00C349AC" w:rsidRDefault="00DC1A86" w:rsidP="00AE340F">
      <w:pPr>
        <w:spacing w:after="0" w:line="360" w:lineRule="auto"/>
        <w:ind w:firstLine="708"/>
        <w:jc w:val="both"/>
        <w:rPr>
          <w:rFonts w:ascii="Arial" w:eastAsiaTheme="minorEastAsia" w:hAnsi="Arial" w:cs="Arial"/>
          <w:color w:val="000000" w:themeColor="text1"/>
          <w:sz w:val="28"/>
          <w:szCs w:val="28"/>
        </w:rPr>
      </w:pPr>
      <w:r w:rsidRPr="00C349AC">
        <w:rPr>
          <w:rFonts w:ascii="Arial" w:hAnsi="Arial" w:cs="Arial"/>
          <w:color w:val="000000" w:themeColor="text1"/>
          <w:sz w:val="28"/>
          <w:szCs w:val="28"/>
        </w:rPr>
        <w:t>Para empezar, debe señalarse que el artículo 59, fracción XXI, únicamente establece una obligación de</w:t>
      </w:r>
      <w:r w:rsidR="00AE340F" w:rsidRPr="00C349AC">
        <w:rPr>
          <w:rFonts w:ascii="Arial" w:hAnsi="Arial" w:cs="Arial"/>
          <w:color w:val="000000" w:themeColor="text1"/>
          <w:sz w:val="28"/>
          <w:szCs w:val="28"/>
        </w:rPr>
        <w:t xml:space="preserve"> conducta</w:t>
      </w:r>
      <w:r w:rsidRPr="00C349AC">
        <w:rPr>
          <w:rFonts w:ascii="Arial" w:hAnsi="Arial" w:cs="Arial"/>
          <w:color w:val="000000" w:themeColor="text1"/>
          <w:sz w:val="28"/>
          <w:szCs w:val="28"/>
        </w:rPr>
        <w:t xml:space="preserve"> </w:t>
      </w:r>
      <w:r w:rsidR="00214C79">
        <w:rPr>
          <w:rFonts w:ascii="Arial" w:hAnsi="Arial" w:cs="Arial"/>
          <w:color w:val="000000" w:themeColor="text1"/>
          <w:sz w:val="28"/>
          <w:szCs w:val="28"/>
        </w:rPr>
        <w:t xml:space="preserve">a </w:t>
      </w:r>
      <w:r w:rsidRPr="00C349AC">
        <w:rPr>
          <w:rFonts w:ascii="Arial" w:hAnsi="Arial" w:cs="Arial"/>
          <w:color w:val="000000" w:themeColor="text1"/>
          <w:sz w:val="28"/>
          <w:szCs w:val="28"/>
        </w:rPr>
        <w:t>los miembros de los cuerpos de seguridad ciudadana y no propiamente una sanción</w:t>
      </w:r>
      <w:r w:rsidR="00AE340F" w:rsidRPr="00C349AC">
        <w:rPr>
          <w:rFonts w:ascii="Arial" w:hAnsi="Arial" w:cs="Arial"/>
          <w:color w:val="000000" w:themeColor="text1"/>
          <w:sz w:val="28"/>
          <w:szCs w:val="28"/>
        </w:rPr>
        <w:t>.</w:t>
      </w:r>
      <w:r w:rsidR="00384BA0" w:rsidRPr="00C349AC">
        <w:rPr>
          <w:rFonts w:ascii="Arial" w:hAnsi="Arial" w:cs="Arial"/>
          <w:color w:val="000000" w:themeColor="text1"/>
          <w:sz w:val="28"/>
          <w:szCs w:val="28"/>
        </w:rPr>
        <w:t xml:space="preserve"> Con todo</w:t>
      </w:r>
      <w:r w:rsidRPr="00C349AC">
        <w:rPr>
          <w:rFonts w:ascii="Arial" w:hAnsi="Arial" w:cs="Arial"/>
          <w:color w:val="000000" w:themeColor="text1"/>
          <w:sz w:val="28"/>
          <w:szCs w:val="28"/>
        </w:rPr>
        <w:t xml:space="preserve">, el artículo 108, fracción IV, de la </w:t>
      </w:r>
      <w:r w:rsidR="00AE340F" w:rsidRPr="00C349AC">
        <w:rPr>
          <w:rFonts w:ascii="Arial" w:hAnsi="Arial" w:cs="Arial"/>
          <w:color w:val="000000" w:themeColor="text1"/>
          <w:sz w:val="28"/>
          <w:szCs w:val="28"/>
        </w:rPr>
        <w:t>propia l</w:t>
      </w:r>
      <w:r w:rsidRPr="00C349AC">
        <w:rPr>
          <w:rFonts w:ascii="Arial" w:hAnsi="Arial" w:cs="Arial"/>
          <w:color w:val="000000" w:themeColor="text1"/>
          <w:sz w:val="28"/>
          <w:szCs w:val="28"/>
        </w:rPr>
        <w:t xml:space="preserve">ey establece como causa de destitución de los integrantes de las instituciones de seguridad pública </w:t>
      </w:r>
      <w:r w:rsidRPr="00C349AC">
        <w:rPr>
          <w:rFonts w:ascii="Arial" w:hAnsi="Arial" w:cs="Arial"/>
          <w:i/>
          <w:color w:val="000000" w:themeColor="text1"/>
          <w:sz w:val="28"/>
          <w:szCs w:val="28"/>
        </w:rPr>
        <w:t>“la falta grave a los principios de actuación y obligaciones a que hacen mención los artículos 4 y 59 de la Ley, así como las normas de disciplina que se establezcan en cada una de las instituciones policiales”</w:t>
      </w:r>
      <w:r w:rsidR="00AE340F" w:rsidRPr="00C349AC">
        <w:rPr>
          <w:rFonts w:ascii="Arial" w:hAnsi="Arial" w:cs="Arial"/>
          <w:color w:val="000000" w:themeColor="text1"/>
          <w:sz w:val="28"/>
          <w:szCs w:val="28"/>
        </w:rPr>
        <w:t xml:space="preserve">, </w:t>
      </w:r>
      <w:r w:rsidR="00384BA0" w:rsidRPr="00C349AC">
        <w:rPr>
          <w:rFonts w:ascii="Arial" w:hAnsi="Arial" w:cs="Arial"/>
          <w:color w:val="000000" w:themeColor="text1"/>
          <w:sz w:val="28"/>
          <w:szCs w:val="28"/>
        </w:rPr>
        <w:t xml:space="preserve">por lo que </w:t>
      </w:r>
      <w:r w:rsidR="00AE340F" w:rsidRPr="00C349AC">
        <w:rPr>
          <w:rFonts w:ascii="Arial" w:hAnsi="Arial" w:cs="Arial"/>
          <w:color w:val="000000" w:themeColor="text1"/>
          <w:sz w:val="28"/>
          <w:szCs w:val="28"/>
        </w:rPr>
        <w:t xml:space="preserve">es factible que la misma sea utilizada como fundamento para la imposición de la sanción de destitución. </w:t>
      </w:r>
      <w:r w:rsidR="00384BA0" w:rsidRPr="00C349AC">
        <w:rPr>
          <w:rFonts w:ascii="Arial" w:hAnsi="Arial" w:cs="Arial"/>
          <w:color w:val="000000" w:themeColor="text1"/>
          <w:sz w:val="28"/>
          <w:szCs w:val="28"/>
        </w:rPr>
        <w:t>Por esta razón</w:t>
      </w:r>
      <w:r w:rsidR="00AE340F" w:rsidRPr="00C349AC">
        <w:rPr>
          <w:rFonts w:ascii="Arial" w:hAnsi="Arial" w:cs="Arial"/>
          <w:color w:val="000000" w:themeColor="text1"/>
          <w:sz w:val="28"/>
          <w:szCs w:val="28"/>
        </w:rPr>
        <w:t xml:space="preserve">, coincido con la mayoría en que resultan aplicables </w:t>
      </w:r>
      <w:r w:rsidRPr="00C349AC">
        <w:rPr>
          <w:rFonts w:ascii="Arial" w:hAnsi="Arial" w:cs="Arial"/>
          <w:color w:val="000000" w:themeColor="text1"/>
          <w:sz w:val="28"/>
          <w:szCs w:val="28"/>
        </w:rPr>
        <w:t xml:space="preserve">los principios del </w:t>
      </w:r>
      <w:r w:rsidRPr="00C349AC">
        <w:rPr>
          <w:rFonts w:ascii="Arial" w:hAnsi="Arial" w:cs="Arial"/>
          <w:i/>
          <w:iCs/>
          <w:color w:val="000000" w:themeColor="text1"/>
          <w:sz w:val="28"/>
          <w:szCs w:val="28"/>
        </w:rPr>
        <w:t>derecho administrativo sancionador</w:t>
      </w:r>
      <w:r w:rsidRPr="00C349AC">
        <w:rPr>
          <w:rFonts w:ascii="Arial" w:hAnsi="Arial" w:cs="Arial"/>
          <w:color w:val="000000" w:themeColor="text1"/>
          <w:sz w:val="28"/>
          <w:szCs w:val="28"/>
        </w:rPr>
        <w:t xml:space="preserve">, como </w:t>
      </w:r>
      <w:r w:rsidR="00AE340F" w:rsidRPr="00C349AC">
        <w:rPr>
          <w:rFonts w:ascii="Arial" w:hAnsi="Arial" w:cs="Arial"/>
          <w:color w:val="000000" w:themeColor="text1"/>
          <w:sz w:val="28"/>
          <w:szCs w:val="28"/>
        </w:rPr>
        <w:t xml:space="preserve">lo es </w:t>
      </w:r>
      <w:r w:rsidRPr="00C349AC">
        <w:rPr>
          <w:rFonts w:ascii="Arial" w:hAnsi="Arial" w:cs="Arial"/>
          <w:color w:val="000000" w:themeColor="text1"/>
          <w:sz w:val="28"/>
          <w:szCs w:val="28"/>
        </w:rPr>
        <w:t xml:space="preserve">el principio de legalidad, en su vertiente de </w:t>
      </w:r>
      <w:r w:rsidRPr="00C349AC">
        <w:rPr>
          <w:rFonts w:ascii="Arial" w:hAnsi="Arial" w:cs="Arial"/>
          <w:i/>
          <w:iCs/>
          <w:color w:val="000000" w:themeColor="text1"/>
          <w:sz w:val="28"/>
          <w:szCs w:val="28"/>
        </w:rPr>
        <w:t xml:space="preserve">taxatividad. </w:t>
      </w:r>
    </w:p>
    <w:p w14:paraId="746B5DFD" w14:textId="77777777" w:rsidR="00DC1A86" w:rsidRPr="00C349AC" w:rsidRDefault="00DC1A86" w:rsidP="00556E9F">
      <w:pPr>
        <w:spacing w:after="0" w:line="360" w:lineRule="auto"/>
        <w:ind w:firstLine="708"/>
        <w:jc w:val="both"/>
        <w:rPr>
          <w:rFonts w:ascii="Arial" w:hAnsi="Arial" w:cs="Arial"/>
          <w:color w:val="000000" w:themeColor="text1"/>
          <w:sz w:val="28"/>
          <w:szCs w:val="28"/>
          <w:highlight w:val="green"/>
        </w:rPr>
      </w:pPr>
    </w:p>
    <w:p w14:paraId="56019CEF" w14:textId="1FF47557" w:rsidR="00DC1A86" w:rsidRPr="00C349AC" w:rsidRDefault="008B584B" w:rsidP="00556E9F">
      <w:pPr>
        <w:spacing w:after="0" w:line="360" w:lineRule="auto"/>
        <w:ind w:firstLine="708"/>
        <w:jc w:val="both"/>
        <w:rPr>
          <w:rFonts w:ascii="Arial" w:hAnsi="Arial" w:cs="Arial"/>
          <w:color w:val="000000" w:themeColor="text1"/>
          <w:sz w:val="28"/>
          <w:szCs w:val="28"/>
        </w:rPr>
      </w:pPr>
      <w:r w:rsidRPr="00C349AC">
        <w:rPr>
          <w:rFonts w:ascii="Arial" w:hAnsi="Arial" w:cs="Arial"/>
          <w:color w:val="000000" w:themeColor="text1"/>
          <w:sz w:val="28"/>
          <w:szCs w:val="28"/>
        </w:rPr>
        <w:t>Ahora bien, c</w:t>
      </w:r>
      <w:r w:rsidR="00DC1A86" w:rsidRPr="00C349AC">
        <w:rPr>
          <w:rFonts w:ascii="Arial" w:hAnsi="Arial" w:cs="Arial"/>
          <w:color w:val="000000" w:themeColor="text1"/>
          <w:sz w:val="28"/>
          <w:szCs w:val="28"/>
        </w:rPr>
        <w:t xml:space="preserve">omo anticipe, </w:t>
      </w:r>
      <w:r w:rsidR="00AE340F" w:rsidRPr="00C349AC">
        <w:rPr>
          <w:rFonts w:ascii="Arial" w:hAnsi="Arial" w:cs="Arial"/>
          <w:color w:val="000000" w:themeColor="text1"/>
          <w:sz w:val="28"/>
          <w:szCs w:val="28"/>
        </w:rPr>
        <w:t xml:space="preserve">coincido con la mayoría en que </w:t>
      </w:r>
      <w:r w:rsidR="00DC1A86" w:rsidRPr="00C349AC">
        <w:rPr>
          <w:rFonts w:ascii="Arial" w:hAnsi="Arial" w:cs="Arial"/>
          <w:color w:val="000000" w:themeColor="text1"/>
          <w:sz w:val="28"/>
          <w:szCs w:val="28"/>
        </w:rPr>
        <w:t xml:space="preserve">la norma impugnada no es violatoria del principio de taxatividad, ya que si bien es cierto que la misma emplea conceptos jurídicos indeterminados o de carácter valorativo —como son “desacreditar su persona”, “imagen de las instituciones de Seguridad Ciudadana” o “dentro o fuera del servicio”— ello no es </w:t>
      </w:r>
      <w:r w:rsidR="00DC1A86" w:rsidRPr="00C349AC">
        <w:rPr>
          <w:rFonts w:ascii="Arial" w:hAnsi="Arial" w:cs="Arial"/>
          <w:i/>
          <w:color w:val="000000" w:themeColor="text1"/>
          <w:sz w:val="28"/>
          <w:szCs w:val="28"/>
        </w:rPr>
        <w:t>per se</w:t>
      </w:r>
      <w:r w:rsidR="00DC1A86" w:rsidRPr="00C349AC">
        <w:rPr>
          <w:rFonts w:ascii="Arial" w:hAnsi="Arial" w:cs="Arial"/>
          <w:color w:val="000000" w:themeColor="text1"/>
          <w:sz w:val="28"/>
          <w:szCs w:val="28"/>
        </w:rPr>
        <w:t xml:space="preserve"> incompatible con el principio de legalidad, en su vertiente de taxatividad, aplicable al derecho administrativo sancionador.  </w:t>
      </w:r>
    </w:p>
    <w:p w14:paraId="16EE5791" w14:textId="77777777" w:rsidR="00DC1A86" w:rsidRPr="00C349AC" w:rsidRDefault="00DC1A86" w:rsidP="00556E9F">
      <w:pPr>
        <w:spacing w:after="0" w:line="360" w:lineRule="auto"/>
        <w:jc w:val="both"/>
        <w:rPr>
          <w:rFonts w:ascii="Arial" w:hAnsi="Arial" w:cs="Arial"/>
          <w:color w:val="000000" w:themeColor="text1"/>
          <w:sz w:val="28"/>
          <w:szCs w:val="28"/>
          <w:highlight w:val="green"/>
        </w:rPr>
      </w:pPr>
    </w:p>
    <w:p w14:paraId="50A207E1" w14:textId="4F018671" w:rsidR="00DC1A86" w:rsidRPr="00C349AC" w:rsidRDefault="00AE340F" w:rsidP="00556E9F">
      <w:pPr>
        <w:spacing w:after="0" w:line="360" w:lineRule="auto"/>
        <w:ind w:firstLine="708"/>
        <w:jc w:val="both"/>
        <w:rPr>
          <w:rFonts w:ascii="Arial" w:hAnsi="Arial" w:cs="Arial"/>
          <w:bCs/>
          <w:color w:val="000000" w:themeColor="text1"/>
          <w:sz w:val="28"/>
          <w:szCs w:val="28"/>
        </w:rPr>
      </w:pPr>
      <w:r w:rsidRPr="00C349AC">
        <w:rPr>
          <w:rFonts w:ascii="Arial" w:hAnsi="Arial" w:cs="Arial"/>
          <w:bCs/>
          <w:color w:val="000000" w:themeColor="text1"/>
          <w:sz w:val="28"/>
          <w:szCs w:val="28"/>
        </w:rPr>
        <w:t>En efecto, en diversos precedentes la</w:t>
      </w:r>
      <w:r w:rsidR="00DC1A86" w:rsidRPr="00C349AC">
        <w:rPr>
          <w:rFonts w:ascii="Arial" w:hAnsi="Arial" w:cs="Arial"/>
          <w:bCs/>
          <w:color w:val="000000" w:themeColor="text1"/>
          <w:sz w:val="28"/>
          <w:szCs w:val="28"/>
        </w:rPr>
        <w:t xml:space="preserve"> Primera Sala ha admitido que los tipos penales contengan conceptos jurídicos indeterminados, términos técnicos o vocablos propios de un sector o profesión, siempre y cuando los destinatarios de la norma tengan un conocimiento </w:t>
      </w:r>
      <w:r w:rsidR="00DC1A86" w:rsidRPr="00C349AC">
        <w:rPr>
          <w:rFonts w:ascii="Arial" w:hAnsi="Arial" w:cs="Arial"/>
          <w:bCs/>
          <w:color w:val="000000" w:themeColor="text1"/>
          <w:sz w:val="28"/>
          <w:szCs w:val="28"/>
        </w:rPr>
        <w:lastRenderedPageBreak/>
        <w:t xml:space="preserve">específico de las pautas de conducta que, por estimarse ilegítimas, se hallan prohibidas por el ordenamiento. </w:t>
      </w:r>
    </w:p>
    <w:p w14:paraId="73151109" w14:textId="77777777" w:rsidR="00DC1A86" w:rsidRPr="00C349AC" w:rsidRDefault="00DC1A86" w:rsidP="00556E9F">
      <w:pPr>
        <w:spacing w:after="0" w:line="360" w:lineRule="auto"/>
        <w:ind w:firstLine="708"/>
        <w:jc w:val="both"/>
        <w:rPr>
          <w:rFonts w:ascii="Arial" w:hAnsi="Arial" w:cs="Arial"/>
          <w:color w:val="000000" w:themeColor="text1"/>
          <w:sz w:val="28"/>
          <w:szCs w:val="28"/>
          <w:highlight w:val="green"/>
        </w:rPr>
      </w:pPr>
    </w:p>
    <w:p w14:paraId="0A3B7F5B" w14:textId="6066822E" w:rsidR="00DC1A86" w:rsidRPr="00C349AC" w:rsidRDefault="00AE340F" w:rsidP="00384BA0">
      <w:pPr>
        <w:spacing w:after="0" w:line="360" w:lineRule="auto"/>
        <w:ind w:firstLine="708"/>
        <w:jc w:val="both"/>
        <w:rPr>
          <w:rFonts w:ascii="Arial" w:hAnsi="Arial" w:cs="Arial"/>
          <w:color w:val="000000" w:themeColor="text1"/>
          <w:sz w:val="28"/>
          <w:szCs w:val="28"/>
        </w:rPr>
      </w:pPr>
      <w:r w:rsidRPr="00C349AC">
        <w:rPr>
          <w:rFonts w:ascii="Arial" w:hAnsi="Arial" w:cs="Arial"/>
          <w:color w:val="000000" w:themeColor="text1"/>
          <w:sz w:val="28"/>
          <w:szCs w:val="28"/>
        </w:rPr>
        <w:t>Así, por ejemplo</w:t>
      </w:r>
      <w:r w:rsidR="00DC1A86" w:rsidRPr="00C349AC">
        <w:rPr>
          <w:rFonts w:ascii="Arial" w:hAnsi="Arial" w:cs="Arial"/>
          <w:color w:val="000000" w:themeColor="text1"/>
          <w:sz w:val="28"/>
          <w:szCs w:val="28"/>
        </w:rPr>
        <w:t xml:space="preserve">, al resolver el </w:t>
      </w:r>
      <w:r w:rsidR="00DC1A86" w:rsidRPr="00C349AC">
        <w:rPr>
          <w:rFonts w:ascii="Arial" w:hAnsi="Arial" w:cs="Arial"/>
          <w:i/>
          <w:iCs/>
          <w:color w:val="000000" w:themeColor="text1"/>
          <w:sz w:val="28"/>
          <w:szCs w:val="28"/>
        </w:rPr>
        <w:t>amparo en revisión 448/2010</w:t>
      </w:r>
      <w:r w:rsidR="00DC1A86" w:rsidRPr="00C349AC">
        <w:rPr>
          <w:rStyle w:val="Refdenotaalpie"/>
          <w:rFonts w:ascii="Arial" w:hAnsi="Arial" w:cs="Arial"/>
          <w:color w:val="000000" w:themeColor="text1"/>
          <w:sz w:val="28"/>
          <w:szCs w:val="28"/>
        </w:rPr>
        <w:footnoteReference w:id="26"/>
      </w:r>
      <w:r w:rsidRPr="00C349AC">
        <w:rPr>
          <w:rFonts w:ascii="Arial" w:hAnsi="Arial" w:cs="Arial"/>
          <w:color w:val="000000" w:themeColor="text1"/>
          <w:sz w:val="28"/>
          <w:szCs w:val="28"/>
        </w:rPr>
        <w:t xml:space="preserve"> bajo mi Ponencia </w:t>
      </w:r>
      <w:r w:rsidR="00DC1A86" w:rsidRPr="00C349AC">
        <w:rPr>
          <w:rFonts w:ascii="Arial" w:hAnsi="Arial" w:cs="Arial"/>
          <w:color w:val="000000" w:themeColor="text1"/>
          <w:sz w:val="28"/>
          <w:szCs w:val="28"/>
        </w:rPr>
        <w:t>la Primera Sala explicó que</w:t>
      </w:r>
      <w:r w:rsidR="00384BA0" w:rsidRPr="00C349AC">
        <w:rPr>
          <w:rFonts w:ascii="Arial" w:hAnsi="Arial" w:cs="Arial"/>
          <w:color w:val="000000" w:themeColor="text1"/>
          <w:sz w:val="28"/>
          <w:szCs w:val="28"/>
        </w:rPr>
        <w:t xml:space="preserve"> </w:t>
      </w:r>
      <w:r w:rsidR="00DC1A86" w:rsidRPr="00C349AC">
        <w:rPr>
          <w:rFonts w:ascii="Arial" w:hAnsi="Arial" w:cs="Arial"/>
          <w:iCs/>
          <w:color w:val="000000" w:themeColor="text1"/>
          <w:sz w:val="28"/>
          <w:szCs w:val="28"/>
        </w:rPr>
        <w:t>el principio de taxatividad no exige que en una sociedad compleja, plural y altamente especializada como la de hoy en día, los tipos penales se configuren de tal manera que todos los gobernados tengan un</w:t>
      </w:r>
      <w:r w:rsidRPr="00C349AC">
        <w:rPr>
          <w:rFonts w:ascii="Arial" w:hAnsi="Arial" w:cs="Arial"/>
          <w:iCs/>
          <w:color w:val="000000" w:themeColor="text1"/>
          <w:sz w:val="28"/>
          <w:szCs w:val="28"/>
        </w:rPr>
        <w:t>a</w:t>
      </w:r>
      <w:r w:rsidR="00DC1A86" w:rsidRPr="00C349AC">
        <w:rPr>
          <w:rFonts w:ascii="Arial" w:hAnsi="Arial" w:cs="Arial"/>
          <w:iCs/>
          <w:color w:val="000000" w:themeColor="text1"/>
          <w:sz w:val="28"/>
          <w:szCs w:val="28"/>
        </w:rPr>
        <w:t xml:space="preserve"> </w:t>
      </w:r>
      <w:r w:rsidR="00384BA0" w:rsidRPr="00C349AC">
        <w:rPr>
          <w:rFonts w:ascii="Arial" w:hAnsi="Arial" w:cs="Arial"/>
          <w:iCs/>
          <w:color w:val="000000" w:themeColor="text1"/>
          <w:sz w:val="28"/>
          <w:szCs w:val="28"/>
        </w:rPr>
        <w:t>“</w:t>
      </w:r>
      <w:r w:rsidR="00DC1A86" w:rsidRPr="00C349AC">
        <w:rPr>
          <w:rFonts w:ascii="Arial" w:hAnsi="Arial" w:cs="Arial"/>
          <w:iCs/>
          <w:color w:val="000000" w:themeColor="text1"/>
          <w:sz w:val="28"/>
          <w:szCs w:val="28"/>
        </w:rPr>
        <w:t>comprensión absoluta</w:t>
      </w:r>
      <w:r w:rsidR="00384BA0" w:rsidRPr="00C349AC">
        <w:rPr>
          <w:rFonts w:ascii="Arial" w:hAnsi="Arial" w:cs="Arial"/>
          <w:iCs/>
          <w:color w:val="000000" w:themeColor="text1"/>
          <w:sz w:val="28"/>
          <w:szCs w:val="28"/>
        </w:rPr>
        <w:t>”</w:t>
      </w:r>
      <w:r w:rsidR="00DC1A86" w:rsidRPr="00C349AC">
        <w:rPr>
          <w:rFonts w:ascii="Arial" w:hAnsi="Arial" w:cs="Arial"/>
          <w:iCs/>
          <w:color w:val="000000" w:themeColor="text1"/>
          <w:sz w:val="28"/>
          <w:szCs w:val="28"/>
        </w:rPr>
        <w:t xml:space="preserve"> de los mismos, específicamente tratándose de aquellos respecto a los cuales no pueden ser sujetos activos </w:t>
      </w:r>
      <w:r w:rsidR="00384BA0" w:rsidRPr="00C349AC">
        <w:rPr>
          <w:rFonts w:ascii="Arial" w:hAnsi="Arial" w:cs="Arial"/>
          <w:iCs/>
          <w:color w:val="000000" w:themeColor="text1"/>
          <w:sz w:val="28"/>
          <w:szCs w:val="28"/>
        </w:rPr>
        <w:t>“</w:t>
      </w:r>
      <w:r w:rsidR="00DC1A86" w:rsidRPr="00C349AC">
        <w:rPr>
          <w:rFonts w:ascii="Arial" w:hAnsi="Arial" w:cs="Arial"/>
          <w:iCs/>
          <w:color w:val="000000" w:themeColor="text1"/>
          <w:sz w:val="28"/>
          <w:szCs w:val="28"/>
        </w:rPr>
        <w:t>ya que están dirigidos a cierto sector cuyas pautas de conductas son muy específicas</w:t>
      </w:r>
      <w:r w:rsidR="00384BA0" w:rsidRPr="00C349AC">
        <w:rPr>
          <w:rFonts w:ascii="Arial" w:hAnsi="Arial" w:cs="Arial"/>
          <w:iCs/>
          <w:color w:val="000000" w:themeColor="text1"/>
          <w:sz w:val="28"/>
          <w:szCs w:val="28"/>
        </w:rPr>
        <w:t xml:space="preserve">”. </w:t>
      </w:r>
    </w:p>
    <w:p w14:paraId="27918DEB" w14:textId="77777777" w:rsidR="00DC1A86" w:rsidRPr="00C349AC" w:rsidRDefault="00DC1A86" w:rsidP="00556E9F">
      <w:pPr>
        <w:spacing w:after="0" w:line="360" w:lineRule="auto"/>
        <w:ind w:firstLine="708"/>
        <w:jc w:val="both"/>
        <w:rPr>
          <w:rFonts w:ascii="Arial" w:hAnsi="Arial" w:cs="Arial"/>
          <w:color w:val="000000" w:themeColor="text1"/>
          <w:sz w:val="28"/>
          <w:szCs w:val="28"/>
          <w:highlight w:val="green"/>
        </w:rPr>
      </w:pPr>
    </w:p>
    <w:p w14:paraId="37A27046" w14:textId="77777777" w:rsidR="00384BA0" w:rsidRPr="00C349AC" w:rsidRDefault="00AE340F" w:rsidP="00384BA0">
      <w:pPr>
        <w:spacing w:after="0" w:line="360" w:lineRule="auto"/>
        <w:ind w:firstLine="708"/>
        <w:jc w:val="both"/>
        <w:rPr>
          <w:rFonts w:ascii="Arial" w:hAnsi="Arial" w:cs="Arial"/>
          <w:color w:val="000000" w:themeColor="text1"/>
          <w:sz w:val="28"/>
          <w:szCs w:val="28"/>
        </w:rPr>
      </w:pPr>
      <w:r w:rsidRPr="00C349AC">
        <w:rPr>
          <w:rFonts w:ascii="Arial" w:hAnsi="Arial" w:cs="Arial"/>
          <w:color w:val="000000" w:themeColor="text1"/>
          <w:sz w:val="28"/>
          <w:szCs w:val="28"/>
        </w:rPr>
        <w:t>Bajo ese parámetro,</w:t>
      </w:r>
      <w:r w:rsidR="00DC1A86" w:rsidRPr="00C349AC">
        <w:rPr>
          <w:rFonts w:ascii="Arial" w:hAnsi="Arial" w:cs="Arial"/>
          <w:color w:val="000000" w:themeColor="text1"/>
          <w:sz w:val="28"/>
          <w:szCs w:val="28"/>
        </w:rPr>
        <w:t xml:space="preserve"> la Primera Sala reconoció la validez del artículo 407, fracción IV, del Código de Justicia Militar, el cual prev</w:t>
      </w:r>
      <w:r w:rsidR="00384BA0" w:rsidRPr="00C349AC">
        <w:rPr>
          <w:rFonts w:ascii="Arial" w:hAnsi="Arial" w:cs="Arial"/>
          <w:color w:val="000000" w:themeColor="text1"/>
          <w:sz w:val="28"/>
          <w:szCs w:val="28"/>
        </w:rPr>
        <w:t>eía</w:t>
      </w:r>
      <w:r w:rsidR="00DC1A86" w:rsidRPr="00C349AC">
        <w:rPr>
          <w:rFonts w:ascii="Arial" w:hAnsi="Arial" w:cs="Arial"/>
          <w:color w:val="000000" w:themeColor="text1"/>
          <w:sz w:val="28"/>
          <w:szCs w:val="28"/>
        </w:rPr>
        <w:t xml:space="preserve"> una pena de 4 meses de prisión al oficial que “vierta especies que puedan causar tibieza o desagrado en el servicio”. Ello, al considerar que el conocimiento de los usos, costumbres y legislación castrense con que cuenta un Oficial de las Fuerzas Armadas, le permit</w:t>
      </w:r>
      <w:r w:rsidR="00384BA0" w:rsidRPr="00C349AC">
        <w:rPr>
          <w:rFonts w:ascii="Arial" w:hAnsi="Arial" w:cs="Arial"/>
          <w:color w:val="000000" w:themeColor="text1"/>
          <w:sz w:val="28"/>
          <w:szCs w:val="28"/>
        </w:rPr>
        <w:t xml:space="preserve">ían </w:t>
      </w:r>
      <w:r w:rsidR="00DC1A86" w:rsidRPr="00C349AC">
        <w:rPr>
          <w:rFonts w:ascii="Arial" w:hAnsi="Arial" w:cs="Arial"/>
          <w:color w:val="000000" w:themeColor="text1"/>
          <w:sz w:val="28"/>
          <w:szCs w:val="28"/>
        </w:rPr>
        <w:t xml:space="preserve">comprender con la suficiente claridad y precisión los términos utilizados en la norma penal.  </w:t>
      </w:r>
    </w:p>
    <w:p w14:paraId="11E71413" w14:textId="77777777" w:rsidR="00384BA0" w:rsidRPr="00C349AC" w:rsidRDefault="00384BA0" w:rsidP="00384BA0">
      <w:pPr>
        <w:spacing w:after="0" w:line="360" w:lineRule="auto"/>
        <w:ind w:firstLine="708"/>
        <w:jc w:val="both"/>
        <w:rPr>
          <w:rFonts w:ascii="Arial" w:hAnsi="Arial" w:cs="Arial"/>
          <w:color w:val="000000" w:themeColor="text1"/>
          <w:sz w:val="28"/>
          <w:szCs w:val="28"/>
        </w:rPr>
      </w:pPr>
    </w:p>
    <w:p w14:paraId="13F0B5FA" w14:textId="7C88B540" w:rsidR="00BB35C7" w:rsidRPr="00C349AC" w:rsidRDefault="00BB35C7" w:rsidP="00BB35C7">
      <w:pPr>
        <w:spacing w:after="0" w:line="360" w:lineRule="auto"/>
        <w:ind w:firstLine="708"/>
        <w:jc w:val="both"/>
        <w:rPr>
          <w:rFonts w:ascii="Arial" w:hAnsi="Arial" w:cs="Arial"/>
          <w:color w:val="000000" w:themeColor="text1"/>
          <w:sz w:val="28"/>
          <w:szCs w:val="28"/>
        </w:rPr>
      </w:pPr>
      <w:r w:rsidRPr="00C349AC">
        <w:rPr>
          <w:rFonts w:ascii="Arial" w:hAnsi="Arial" w:cs="Arial"/>
          <w:color w:val="000000" w:themeColor="text1"/>
          <w:sz w:val="28"/>
          <w:szCs w:val="28"/>
        </w:rPr>
        <w:t xml:space="preserve">Pues bien, </w:t>
      </w:r>
      <w:r w:rsidR="00384BA0" w:rsidRPr="00C349AC">
        <w:rPr>
          <w:rFonts w:ascii="Arial" w:hAnsi="Arial" w:cs="Arial"/>
          <w:color w:val="000000" w:themeColor="text1"/>
          <w:sz w:val="28"/>
          <w:szCs w:val="28"/>
        </w:rPr>
        <w:t>desde mi perspectiva</w:t>
      </w:r>
      <w:r w:rsidR="00DC1A86" w:rsidRPr="00C349AC">
        <w:rPr>
          <w:rFonts w:ascii="Arial" w:hAnsi="Arial" w:cs="Arial"/>
          <w:color w:val="000000" w:themeColor="text1"/>
          <w:sz w:val="28"/>
          <w:szCs w:val="28"/>
        </w:rPr>
        <w:t xml:space="preserve">, esto último resulta </w:t>
      </w:r>
      <w:r w:rsidR="00AE340F" w:rsidRPr="00C349AC">
        <w:rPr>
          <w:rFonts w:ascii="Arial" w:hAnsi="Arial" w:cs="Arial"/>
          <w:color w:val="000000" w:themeColor="text1"/>
          <w:sz w:val="28"/>
          <w:szCs w:val="28"/>
        </w:rPr>
        <w:t xml:space="preserve">particularmente cierto tratándose </w:t>
      </w:r>
      <w:r w:rsidR="0000584B" w:rsidRPr="00C349AC">
        <w:rPr>
          <w:rFonts w:ascii="Arial" w:hAnsi="Arial" w:cs="Arial"/>
          <w:color w:val="000000" w:themeColor="text1"/>
          <w:sz w:val="28"/>
          <w:szCs w:val="28"/>
        </w:rPr>
        <w:t xml:space="preserve">de sanciones </w:t>
      </w:r>
      <w:r w:rsidR="00384BA0" w:rsidRPr="00C349AC">
        <w:rPr>
          <w:rFonts w:ascii="Arial" w:hAnsi="Arial" w:cs="Arial"/>
          <w:color w:val="000000" w:themeColor="text1"/>
          <w:sz w:val="28"/>
          <w:szCs w:val="28"/>
        </w:rPr>
        <w:t>d</w:t>
      </w:r>
      <w:r w:rsidR="00AE340F" w:rsidRPr="00C349AC">
        <w:rPr>
          <w:rFonts w:ascii="Arial" w:hAnsi="Arial" w:cs="Arial"/>
          <w:color w:val="000000" w:themeColor="text1"/>
          <w:sz w:val="28"/>
          <w:szCs w:val="28"/>
        </w:rPr>
        <w:t xml:space="preserve">el </w:t>
      </w:r>
      <w:r w:rsidR="00DC1A86" w:rsidRPr="00C349AC">
        <w:rPr>
          <w:rFonts w:ascii="Arial" w:hAnsi="Arial" w:cs="Arial"/>
          <w:i/>
          <w:iCs/>
          <w:color w:val="000000" w:themeColor="text1"/>
          <w:sz w:val="28"/>
          <w:szCs w:val="28"/>
        </w:rPr>
        <w:t>derecho administrativo sancionador o disciplinario</w:t>
      </w:r>
      <w:r w:rsidR="00653B90" w:rsidRPr="00C349AC">
        <w:rPr>
          <w:rFonts w:ascii="Arial" w:hAnsi="Arial" w:cs="Arial"/>
          <w:color w:val="000000" w:themeColor="text1"/>
          <w:sz w:val="28"/>
          <w:szCs w:val="28"/>
        </w:rPr>
        <w:t xml:space="preserve">, en donde el estándar de taxatividad suele ser más flexible. </w:t>
      </w:r>
      <w:r w:rsidR="0000584B" w:rsidRPr="00C349AC">
        <w:rPr>
          <w:rFonts w:ascii="Arial" w:hAnsi="Arial" w:cs="Arial"/>
          <w:bCs/>
          <w:color w:val="000000" w:themeColor="text1"/>
          <w:sz w:val="28"/>
          <w:szCs w:val="28"/>
        </w:rPr>
        <w:t xml:space="preserve">Un criterio similar ha sostenido </w:t>
      </w:r>
      <w:r w:rsidR="00DC1A86" w:rsidRPr="00C349AC">
        <w:rPr>
          <w:rFonts w:ascii="Arial" w:hAnsi="Arial" w:cs="Arial"/>
          <w:color w:val="000000" w:themeColor="text1"/>
          <w:sz w:val="28"/>
          <w:szCs w:val="28"/>
        </w:rPr>
        <w:t>la Corte Interamericana de Derechos Humanos</w:t>
      </w:r>
      <w:r w:rsidR="0000584B" w:rsidRPr="00C349AC">
        <w:rPr>
          <w:rFonts w:ascii="Arial" w:hAnsi="Arial" w:cs="Arial"/>
          <w:color w:val="000000" w:themeColor="text1"/>
          <w:sz w:val="28"/>
          <w:szCs w:val="28"/>
        </w:rPr>
        <w:t xml:space="preserve"> al señalar que</w:t>
      </w:r>
      <w:r w:rsidR="00384BA0" w:rsidRPr="00C349AC">
        <w:rPr>
          <w:rFonts w:ascii="Arial" w:hAnsi="Arial" w:cs="Arial"/>
          <w:color w:val="000000" w:themeColor="text1"/>
          <w:sz w:val="28"/>
          <w:szCs w:val="28"/>
        </w:rPr>
        <w:t xml:space="preserve"> </w:t>
      </w:r>
      <w:r w:rsidR="00DC1A86" w:rsidRPr="00C349AC">
        <w:rPr>
          <w:rFonts w:ascii="Arial" w:hAnsi="Arial" w:cs="Arial"/>
          <w:color w:val="000000" w:themeColor="text1"/>
          <w:sz w:val="28"/>
          <w:szCs w:val="28"/>
        </w:rPr>
        <w:t xml:space="preserve">el principio de legalidad previsto en el artículo 9 de la Convención Americana de </w:t>
      </w:r>
      <w:r w:rsidR="00DC1A86" w:rsidRPr="00C349AC">
        <w:rPr>
          <w:rFonts w:ascii="Arial" w:hAnsi="Arial" w:cs="Arial"/>
          <w:color w:val="000000" w:themeColor="text1"/>
          <w:sz w:val="28"/>
          <w:szCs w:val="28"/>
        </w:rPr>
        <w:lastRenderedPageBreak/>
        <w:t xml:space="preserve">Derechos Humanos, si bien tiene vigencia en materia disciplinaria y no sólo penal, </w:t>
      </w:r>
      <w:r w:rsidR="00DC1A86" w:rsidRPr="00C349AC">
        <w:rPr>
          <w:rFonts w:ascii="Arial" w:hAnsi="Arial" w:cs="Arial"/>
          <w:iCs/>
          <w:color w:val="000000" w:themeColor="text1"/>
          <w:sz w:val="28"/>
          <w:szCs w:val="28"/>
        </w:rPr>
        <w:t>“su alcance depende considerablemente de la materia regulada”</w:t>
      </w:r>
      <w:r w:rsidR="00DC1A86" w:rsidRPr="00C349AC">
        <w:rPr>
          <w:rStyle w:val="Refdenotaalpie"/>
          <w:rFonts w:ascii="Arial" w:hAnsi="Arial" w:cs="Arial"/>
          <w:iCs/>
          <w:color w:val="000000" w:themeColor="text1"/>
          <w:sz w:val="28"/>
          <w:szCs w:val="28"/>
        </w:rPr>
        <w:footnoteReference w:id="27"/>
      </w:r>
      <w:r w:rsidR="00DC1A86" w:rsidRPr="00C349AC">
        <w:rPr>
          <w:rFonts w:ascii="Arial" w:hAnsi="Arial" w:cs="Arial"/>
          <w:iCs/>
          <w:color w:val="000000" w:themeColor="text1"/>
          <w:sz w:val="28"/>
          <w:szCs w:val="28"/>
        </w:rPr>
        <w:t xml:space="preserve">. </w:t>
      </w:r>
    </w:p>
    <w:p w14:paraId="5A572FCF" w14:textId="77777777" w:rsidR="00BB35C7" w:rsidRPr="00C349AC" w:rsidRDefault="00BB35C7" w:rsidP="00BB35C7">
      <w:pPr>
        <w:spacing w:after="0" w:line="360" w:lineRule="auto"/>
        <w:ind w:firstLine="708"/>
        <w:jc w:val="both"/>
        <w:rPr>
          <w:rFonts w:ascii="Arial" w:hAnsi="Arial" w:cs="Arial"/>
          <w:color w:val="000000" w:themeColor="text1"/>
          <w:sz w:val="28"/>
          <w:szCs w:val="28"/>
        </w:rPr>
      </w:pPr>
    </w:p>
    <w:p w14:paraId="520060A3" w14:textId="58AB5264" w:rsidR="00DC1A86" w:rsidRDefault="00384BA0" w:rsidP="00991B1A">
      <w:pPr>
        <w:spacing w:after="0" w:line="360" w:lineRule="auto"/>
        <w:ind w:firstLine="708"/>
        <w:jc w:val="both"/>
        <w:rPr>
          <w:rFonts w:ascii="Arial" w:hAnsi="Arial" w:cs="Arial"/>
          <w:color w:val="000000" w:themeColor="text1"/>
          <w:sz w:val="28"/>
          <w:szCs w:val="28"/>
        </w:rPr>
      </w:pPr>
      <w:r w:rsidRPr="00C349AC">
        <w:rPr>
          <w:rFonts w:ascii="Arial" w:hAnsi="Arial" w:cs="Arial"/>
          <w:color w:val="000000" w:themeColor="text1"/>
          <w:sz w:val="28"/>
          <w:szCs w:val="28"/>
        </w:rPr>
        <w:t>Efectivamente</w:t>
      </w:r>
      <w:r w:rsidR="00DC1A86" w:rsidRPr="00C349AC">
        <w:rPr>
          <w:rFonts w:ascii="Arial" w:hAnsi="Arial" w:cs="Arial"/>
          <w:color w:val="000000" w:themeColor="text1"/>
          <w:sz w:val="28"/>
          <w:szCs w:val="28"/>
        </w:rPr>
        <w:t xml:space="preserve">, </w:t>
      </w:r>
      <w:r w:rsidR="00AE340F" w:rsidRPr="00C349AC">
        <w:rPr>
          <w:rFonts w:ascii="Arial" w:hAnsi="Arial" w:cs="Arial"/>
          <w:color w:val="000000" w:themeColor="text1"/>
          <w:sz w:val="28"/>
          <w:szCs w:val="28"/>
        </w:rPr>
        <w:t xml:space="preserve">dicha Corte </w:t>
      </w:r>
      <w:r w:rsidR="00DC1A86" w:rsidRPr="00C349AC">
        <w:rPr>
          <w:rFonts w:ascii="Arial" w:hAnsi="Arial" w:cs="Arial"/>
          <w:color w:val="000000" w:themeColor="text1"/>
          <w:sz w:val="28"/>
          <w:szCs w:val="28"/>
        </w:rPr>
        <w:t>ha sostenido que “[l]a precisión de una norma sancionatoria de naturaleza disciplinaria puede ser diferente a la requerida por el principio de legalidad en materia penal, por la naturaleza de los conflictos que cada una está destinada a resolver”.</w:t>
      </w:r>
      <w:r w:rsidRPr="00C349AC">
        <w:rPr>
          <w:rFonts w:ascii="Arial" w:hAnsi="Arial" w:cs="Arial"/>
          <w:color w:val="000000" w:themeColor="text1"/>
          <w:sz w:val="28"/>
          <w:szCs w:val="28"/>
        </w:rPr>
        <w:t xml:space="preserve"> En esa línea</w:t>
      </w:r>
      <w:r w:rsidR="00DC1A86" w:rsidRPr="00C349AC">
        <w:rPr>
          <w:rFonts w:ascii="Arial" w:hAnsi="Arial" w:cs="Arial"/>
          <w:color w:val="000000" w:themeColor="text1"/>
          <w:sz w:val="28"/>
          <w:szCs w:val="28"/>
        </w:rPr>
        <w:t>,</w:t>
      </w:r>
      <w:r w:rsidRPr="00C349AC">
        <w:rPr>
          <w:rFonts w:ascii="Arial" w:hAnsi="Arial" w:cs="Arial"/>
          <w:color w:val="000000" w:themeColor="text1"/>
          <w:sz w:val="28"/>
          <w:szCs w:val="28"/>
        </w:rPr>
        <w:t xml:space="preserve"> el tribunal interamericano</w:t>
      </w:r>
      <w:r w:rsidR="00DC1A86" w:rsidRPr="00C349AC">
        <w:rPr>
          <w:rFonts w:ascii="Arial" w:hAnsi="Arial" w:cs="Arial"/>
          <w:color w:val="000000" w:themeColor="text1"/>
          <w:sz w:val="28"/>
          <w:szCs w:val="28"/>
        </w:rPr>
        <w:t xml:space="preserve"> ha precisado que: </w:t>
      </w:r>
    </w:p>
    <w:p w14:paraId="3F849CA1" w14:textId="77777777" w:rsidR="00991B1A" w:rsidRPr="00991B1A" w:rsidRDefault="00991B1A" w:rsidP="00991B1A">
      <w:pPr>
        <w:spacing w:after="0" w:line="360" w:lineRule="auto"/>
        <w:ind w:firstLine="708"/>
        <w:jc w:val="both"/>
        <w:rPr>
          <w:rFonts w:ascii="Arial" w:hAnsi="Arial" w:cs="Arial"/>
          <w:color w:val="000000" w:themeColor="text1"/>
          <w:sz w:val="28"/>
          <w:szCs w:val="28"/>
        </w:rPr>
      </w:pPr>
    </w:p>
    <w:p w14:paraId="738827BA" w14:textId="77777777" w:rsidR="00DC1A86" w:rsidRPr="00C349AC" w:rsidRDefault="00DC1A86" w:rsidP="00556E9F">
      <w:pPr>
        <w:tabs>
          <w:tab w:val="left" w:pos="993"/>
        </w:tabs>
        <w:spacing w:after="0"/>
        <w:ind w:left="567"/>
        <w:jc w:val="both"/>
        <w:rPr>
          <w:rFonts w:ascii="Arial" w:hAnsi="Arial" w:cs="Arial"/>
          <w:color w:val="000000" w:themeColor="text1"/>
          <w:sz w:val="28"/>
          <w:szCs w:val="28"/>
        </w:rPr>
      </w:pPr>
      <w:r w:rsidRPr="00C349AC">
        <w:rPr>
          <w:rFonts w:ascii="Arial" w:hAnsi="Arial" w:cs="Arial"/>
          <w:color w:val="000000" w:themeColor="text1"/>
          <w:sz w:val="28"/>
          <w:szCs w:val="28"/>
        </w:rPr>
        <w:t xml:space="preserve">“[…] los problemas de indeterminación del tipo sancionatorio no generan, </w:t>
      </w:r>
      <w:r w:rsidRPr="00C349AC">
        <w:rPr>
          <w:rFonts w:ascii="Arial" w:hAnsi="Arial" w:cs="Arial"/>
          <w:i/>
          <w:iCs/>
          <w:color w:val="000000" w:themeColor="text1"/>
          <w:sz w:val="28"/>
          <w:szCs w:val="28"/>
        </w:rPr>
        <w:t>per s</w:t>
      </w:r>
      <w:r w:rsidRPr="00C349AC">
        <w:rPr>
          <w:rFonts w:ascii="Arial" w:hAnsi="Arial" w:cs="Arial"/>
          <w:i/>
          <w:color w:val="000000" w:themeColor="text1"/>
          <w:sz w:val="28"/>
          <w:szCs w:val="28"/>
        </w:rPr>
        <w:t>e</w:t>
      </w:r>
      <w:r w:rsidRPr="00C349AC">
        <w:rPr>
          <w:rFonts w:ascii="Arial" w:hAnsi="Arial" w:cs="Arial"/>
          <w:color w:val="000000" w:themeColor="text1"/>
          <w:sz w:val="28"/>
          <w:szCs w:val="28"/>
        </w:rPr>
        <w:t>, una violación de la Convención, es decir, que el hecho de que una norma conceda algún tipo de discrecionalidad no es incompatible con el grado de previsibilidad que debe ostentar la norma, siempre y cuando el alcance de la discrecionalidad y la manera en que se debe ejercer sea indicado con suficiente claridad con el fin de brindar una adecuada protección para que una interferencia arbitraria no se produzca”</w:t>
      </w:r>
      <w:r w:rsidRPr="00C349AC">
        <w:rPr>
          <w:rStyle w:val="Refdenotaalpie"/>
          <w:rFonts w:ascii="Arial" w:hAnsi="Arial" w:cs="Arial"/>
          <w:color w:val="000000" w:themeColor="text1"/>
          <w:sz w:val="28"/>
          <w:szCs w:val="28"/>
        </w:rPr>
        <w:footnoteReference w:id="28"/>
      </w:r>
      <w:r w:rsidRPr="00C349AC">
        <w:rPr>
          <w:rFonts w:ascii="Arial" w:hAnsi="Arial" w:cs="Arial"/>
          <w:color w:val="000000" w:themeColor="text1"/>
          <w:sz w:val="28"/>
          <w:szCs w:val="28"/>
        </w:rPr>
        <w:t xml:space="preserve">. </w:t>
      </w:r>
    </w:p>
    <w:p w14:paraId="4968F498" w14:textId="77777777" w:rsidR="00DC1A86" w:rsidRPr="00C349AC" w:rsidRDefault="00DC1A86" w:rsidP="00556E9F">
      <w:pPr>
        <w:spacing w:after="0" w:line="360" w:lineRule="auto"/>
        <w:jc w:val="both"/>
        <w:rPr>
          <w:rFonts w:ascii="Arial" w:hAnsi="Arial" w:cs="Arial"/>
          <w:color w:val="000000" w:themeColor="text1"/>
          <w:sz w:val="28"/>
          <w:szCs w:val="28"/>
          <w:highlight w:val="green"/>
        </w:rPr>
      </w:pPr>
    </w:p>
    <w:p w14:paraId="1CE0CF57" w14:textId="46E0A3AA" w:rsidR="00DC1A86" w:rsidRPr="00C349AC" w:rsidRDefault="007A4EBA" w:rsidP="00AE340F">
      <w:pPr>
        <w:spacing w:after="0" w:line="360" w:lineRule="auto"/>
        <w:ind w:firstLine="567"/>
        <w:jc w:val="both"/>
        <w:rPr>
          <w:rFonts w:ascii="Arial" w:hAnsi="Arial" w:cs="Arial"/>
          <w:color w:val="000000" w:themeColor="text1"/>
          <w:sz w:val="28"/>
          <w:szCs w:val="28"/>
          <w:u w:val="single"/>
        </w:rPr>
      </w:pPr>
      <w:r w:rsidRPr="00C349AC">
        <w:rPr>
          <w:rFonts w:ascii="Arial" w:hAnsi="Arial" w:cs="Arial"/>
          <w:color w:val="000000" w:themeColor="text1"/>
          <w:sz w:val="28"/>
          <w:szCs w:val="28"/>
        </w:rPr>
        <w:t>En</w:t>
      </w:r>
      <w:r w:rsidR="00DC1A86" w:rsidRPr="00C349AC">
        <w:rPr>
          <w:rFonts w:ascii="Arial" w:hAnsi="Arial" w:cs="Arial"/>
          <w:color w:val="000000" w:themeColor="text1"/>
          <w:sz w:val="28"/>
          <w:szCs w:val="28"/>
        </w:rPr>
        <w:t xml:space="preserve"> </w:t>
      </w:r>
      <w:r w:rsidR="008B584B" w:rsidRPr="00C349AC">
        <w:rPr>
          <w:rFonts w:ascii="Arial" w:hAnsi="Arial" w:cs="Arial"/>
          <w:color w:val="000000" w:themeColor="text1"/>
          <w:sz w:val="28"/>
          <w:szCs w:val="28"/>
        </w:rPr>
        <w:t>e</w:t>
      </w:r>
      <w:r w:rsidR="00384BA0" w:rsidRPr="00C349AC">
        <w:rPr>
          <w:rFonts w:ascii="Arial" w:hAnsi="Arial" w:cs="Arial"/>
          <w:color w:val="000000" w:themeColor="text1"/>
          <w:sz w:val="28"/>
          <w:szCs w:val="28"/>
        </w:rPr>
        <w:t>ste caso,</w:t>
      </w:r>
      <w:r w:rsidR="008B584B" w:rsidRPr="00C349AC">
        <w:rPr>
          <w:rFonts w:ascii="Arial" w:hAnsi="Arial" w:cs="Arial"/>
          <w:color w:val="000000" w:themeColor="text1"/>
          <w:sz w:val="28"/>
          <w:szCs w:val="28"/>
        </w:rPr>
        <w:t xml:space="preserve"> </w:t>
      </w:r>
      <w:r w:rsidR="00DC1A86" w:rsidRPr="00C349AC">
        <w:rPr>
          <w:rFonts w:ascii="Arial" w:hAnsi="Arial" w:cs="Arial"/>
          <w:color w:val="000000" w:themeColor="text1"/>
          <w:sz w:val="28"/>
          <w:szCs w:val="28"/>
        </w:rPr>
        <w:t>el artículo 59, fracción XXI,</w:t>
      </w:r>
      <w:r w:rsidRPr="00C349AC">
        <w:rPr>
          <w:rFonts w:ascii="Arial" w:hAnsi="Arial" w:cs="Arial"/>
          <w:color w:val="000000" w:themeColor="text1"/>
          <w:sz w:val="28"/>
          <w:szCs w:val="28"/>
        </w:rPr>
        <w:t xml:space="preserve"> impugnado</w:t>
      </w:r>
      <w:r w:rsidR="00DC1A86" w:rsidRPr="00C349AC">
        <w:rPr>
          <w:rFonts w:ascii="Arial" w:hAnsi="Arial" w:cs="Arial"/>
          <w:color w:val="000000" w:themeColor="text1"/>
          <w:sz w:val="28"/>
          <w:szCs w:val="28"/>
        </w:rPr>
        <w:t xml:space="preserve"> establece como obligación de los integrantes de las instituciones de seguridad de la CDMX </w:t>
      </w:r>
      <w:r w:rsidR="00DC1A86" w:rsidRPr="00C349AC">
        <w:rPr>
          <w:rFonts w:ascii="Arial" w:hAnsi="Arial" w:cs="Arial"/>
          <w:iCs/>
          <w:color w:val="000000" w:themeColor="text1"/>
          <w:sz w:val="28"/>
          <w:szCs w:val="28"/>
        </w:rPr>
        <w:t>“abstenerse de realizar conductas que desacrediten su persona o la imagen de las Instituciones de Seguridad Ciudadana, dentro o fuera del servicio”.</w:t>
      </w:r>
      <w:r w:rsidRPr="00C349AC">
        <w:rPr>
          <w:rFonts w:ascii="Arial" w:hAnsi="Arial" w:cs="Arial"/>
          <w:color w:val="000000" w:themeColor="text1"/>
          <w:sz w:val="28"/>
          <w:szCs w:val="28"/>
        </w:rPr>
        <w:t xml:space="preserve"> </w:t>
      </w:r>
      <w:r w:rsidR="001034F8" w:rsidRPr="00C349AC">
        <w:rPr>
          <w:rFonts w:ascii="Arial" w:hAnsi="Arial" w:cs="Arial"/>
          <w:color w:val="000000" w:themeColor="text1"/>
          <w:sz w:val="28"/>
          <w:szCs w:val="28"/>
        </w:rPr>
        <w:t>Ahora bien,</w:t>
      </w:r>
      <w:r w:rsidR="00AE340F" w:rsidRPr="00C349AC">
        <w:rPr>
          <w:rFonts w:ascii="Arial" w:hAnsi="Arial" w:cs="Arial"/>
          <w:color w:val="000000" w:themeColor="text1"/>
          <w:sz w:val="28"/>
          <w:szCs w:val="28"/>
        </w:rPr>
        <w:t xml:space="preserve"> de acuerdo con una interpretación literal</w:t>
      </w:r>
      <w:r w:rsidRPr="00C349AC">
        <w:rPr>
          <w:rFonts w:ascii="Arial" w:hAnsi="Arial" w:cs="Arial"/>
          <w:color w:val="000000" w:themeColor="text1"/>
          <w:sz w:val="28"/>
          <w:szCs w:val="28"/>
        </w:rPr>
        <w:t xml:space="preserve"> del precepto</w:t>
      </w:r>
      <w:r w:rsidR="00AE340F" w:rsidRPr="00C349AC">
        <w:rPr>
          <w:rFonts w:ascii="Arial" w:hAnsi="Arial" w:cs="Arial"/>
          <w:color w:val="000000" w:themeColor="text1"/>
          <w:sz w:val="28"/>
          <w:szCs w:val="28"/>
        </w:rPr>
        <w:t xml:space="preserve">, se advierte que </w:t>
      </w:r>
      <w:r w:rsidR="00DC1A86" w:rsidRPr="00C349AC">
        <w:rPr>
          <w:rFonts w:ascii="Arial" w:hAnsi="Arial" w:cs="Arial"/>
          <w:color w:val="000000" w:themeColor="text1"/>
          <w:sz w:val="28"/>
          <w:szCs w:val="28"/>
        </w:rPr>
        <w:t>el verbo “desacreditar” significa “disminuir o quitar la reputación de alguien, o el valor y la estimación de algo”</w:t>
      </w:r>
      <w:r w:rsidR="001034F8" w:rsidRPr="00C349AC">
        <w:rPr>
          <w:rStyle w:val="Refdenotaalpie"/>
          <w:rFonts w:ascii="Arial" w:hAnsi="Arial" w:cs="Arial"/>
          <w:color w:val="000000" w:themeColor="text1"/>
          <w:sz w:val="28"/>
          <w:szCs w:val="28"/>
        </w:rPr>
        <w:footnoteReference w:id="29"/>
      </w:r>
      <w:r w:rsidR="00DC1A86" w:rsidRPr="00C349AC">
        <w:rPr>
          <w:rFonts w:ascii="Arial" w:hAnsi="Arial" w:cs="Arial"/>
          <w:i/>
          <w:color w:val="000000" w:themeColor="text1"/>
          <w:sz w:val="28"/>
          <w:szCs w:val="28"/>
        </w:rPr>
        <w:t>.</w:t>
      </w:r>
      <w:r w:rsidRPr="00C349AC">
        <w:rPr>
          <w:rFonts w:ascii="Arial" w:hAnsi="Arial" w:cs="Arial"/>
          <w:color w:val="000000" w:themeColor="text1"/>
          <w:sz w:val="28"/>
          <w:szCs w:val="28"/>
        </w:rPr>
        <w:t xml:space="preserve"> </w:t>
      </w:r>
      <w:r w:rsidR="001034F8" w:rsidRPr="00C349AC">
        <w:rPr>
          <w:rFonts w:ascii="Arial" w:hAnsi="Arial" w:cs="Arial"/>
          <w:color w:val="000000" w:themeColor="text1"/>
          <w:sz w:val="28"/>
          <w:szCs w:val="28"/>
        </w:rPr>
        <w:t xml:space="preserve">En ese sentido, es posible concluir que lo que </w:t>
      </w:r>
      <w:r w:rsidR="00DC1A86" w:rsidRPr="00C349AC">
        <w:rPr>
          <w:rFonts w:ascii="Arial" w:hAnsi="Arial" w:cs="Arial"/>
          <w:color w:val="000000" w:themeColor="text1"/>
          <w:sz w:val="28"/>
          <w:szCs w:val="28"/>
        </w:rPr>
        <w:t xml:space="preserve">la norma </w:t>
      </w:r>
      <w:r w:rsidR="001034F8" w:rsidRPr="00C349AC">
        <w:rPr>
          <w:rFonts w:ascii="Arial" w:hAnsi="Arial" w:cs="Arial"/>
          <w:color w:val="000000" w:themeColor="text1"/>
          <w:sz w:val="28"/>
          <w:szCs w:val="28"/>
        </w:rPr>
        <w:t>pretende es</w:t>
      </w:r>
      <w:r w:rsidR="00DC1A86" w:rsidRPr="00C349AC">
        <w:rPr>
          <w:rFonts w:ascii="Arial" w:hAnsi="Arial" w:cs="Arial"/>
          <w:color w:val="000000" w:themeColor="text1"/>
          <w:sz w:val="28"/>
          <w:szCs w:val="28"/>
        </w:rPr>
        <w:t xml:space="preserve"> </w:t>
      </w:r>
      <w:r w:rsidR="00DC1A86" w:rsidRPr="00C349AC">
        <w:rPr>
          <w:rFonts w:ascii="Arial" w:hAnsi="Arial" w:cs="Arial"/>
          <w:i/>
          <w:iCs/>
          <w:color w:val="000000" w:themeColor="text1"/>
          <w:sz w:val="28"/>
          <w:szCs w:val="28"/>
        </w:rPr>
        <w:t>disuadir</w:t>
      </w:r>
      <w:r w:rsidR="00DC1A86" w:rsidRPr="00C349AC">
        <w:rPr>
          <w:rFonts w:ascii="Arial" w:hAnsi="Arial" w:cs="Arial"/>
          <w:color w:val="000000" w:themeColor="text1"/>
          <w:sz w:val="28"/>
          <w:szCs w:val="28"/>
        </w:rPr>
        <w:t xml:space="preserve"> todas aquellas conductas que puedan disminuir o afectar la reputación, prestigio o la opinión pública sobre los agentes o las instituciones de </w:t>
      </w:r>
      <w:r w:rsidR="00DC1A86" w:rsidRPr="00C349AC">
        <w:rPr>
          <w:rFonts w:ascii="Arial" w:hAnsi="Arial" w:cs="Arial"/>
          <w:color w:val="000000" w:themeColor="text1"/>
          <w:sz w:val="28"/>
          <w:szCs w:val="28"/>
        </w:rPr>
        <w:lastRenderedPageBreak/>
        <w:t xml:space="preserve">seguridad ciudadana, dentro o fuera de servicio. Lo anterior, en tanto que ello puede </w:t>
      </w:r>
      <w:r w:rsidR="001034F8" w:rsidRPr="00C349AC">
        <w:rPr>
          <w:rFonts w:ascii="Arial" w:hAnsi="Arial" w:cs="Arial"/>
          <w:color w:val="000000" w:themeColor="text1"/>
          <w:sz w:val="28"/>
          <w:szCs w:val="28"/>
        </w:rPr>
        <w:t>mermar</w:t>
      </w:r>
      <w:r w:rsidR="00DC1A86" w:rsidRPr="00C349AC">
        <w:rPr>
          <w:rFonts w:ascii="Arial" w:hAnsi="Arial" w:cs="Arial"/>
          <w:color w:val="000000" w:themeColor="text1"/>
          <w:sz w:val="28"/>
          <w:szCs w:val="28"/>
        </w:rPr>
        <w:t xml:space="preserve"> la legitimidad y la confianza de la ciudadanía en dichas instituciones.</w:t>
      </w:r>
      <w:r w:rsidR="00DC1A86" w:rsidRPr="00C349AC">
        <w:rPr>
          <w:rFonts w:ascii="Arial" w:hAnsi="Arial" w:cs="Arial"/>
          <w:color w:val="000000" w:themeColor="text1"/>
          <w:sz w:val="28"/>
          <w:szCs w:val="28"/>
          <w:u w:val="single"/>
        </w:rPr>
        <w:t xml:space="preserve">  </w:t>
      </w:r>
    </w:p>
    <w:p w14:paraId="77BCE999" w14:textId="255A982E" w:rsidR="008B584B" w:rsidRPr="00C349AC" w:rsidRDefault="008B584B" w:rsidP="00AE340F">
      <w:pPr>
        <w:spacing w:after="0" w:line="360" w:lineRule="auto"/>
        <w:ind w:firstLine="567"/>
        <w:jc w:val="both"/>
        <w:rPr>
          <w:rFonts w:ascii="Arial" w:hAnsi="Arial" w:cs="Arial"/>
          <w:color w:val="000000" w:themeColor="text1"/>
          <w:sz w:val="28"/>
          <w:szCs w:val="28"/>
          <w:u w:val="single"/>
        </w:rPr>
      </w:pPr>
    </w:p>
    <w:p w14:paraId="7074A314" w14:textId="0265D50B" w:rsidR="00DC1A86" w:rsidRPr="00C349AC" w:rsidRDefault="00B829C4" w:rsidP="008B584B">
      <w:pPr>
        <w:spacing w:after="0" w:line="360" w:lineRule="auto"/>
        <w:ind w:firstLine="567"/>
        <w:jc w:val="both"/>
        <w:rPr>
          <w:rFonts w:ascii="Arial" w:hAnsi="Arial" w:cs="Arial"/>
          <w:color w:val="000000" w:themeColor="text1"/>
          <w:sz w:val="28"/>
          <w:szCs w:val="28"/>
        </w:rPr>
      </w:pPr>
      <w:r w:rsidRPr="00C349AC">
        <w:rPr>
          <w:rFonts w:ascii="Arial" w:hAnsi="Arial" w:cs="Arial"/>
          <w:color w:val="000000" w:themeColor="text1"/>
          <w:sz w:val="28"/>
          <w:szCs w:val="28"/>
        </w:rPr>
        <w:t>Ahora</w:t>
      </w:r>
      <w:r w:rsidR="00FF0104" w:rsidRPr="00C349AC">
        <w:rPr>
          <w:rFonts w:ascii="Arial" w:hAnsi="Arial" w:cs="Arial"/>
          <w:color w:val="000000" w:themeColor="text1"/>
          <w:sz w:val="28"/>
          <w:szCs w:val="28"/>
        </w:rPr>
        <w:t xml:space="preserve"> bien</w:t>
      </w:r>
      <w:r w:rsidRPr="00C349AC">
        <w:rPr>
          <w:rFonts w:ascii="Arial" w:hAnsi="Arial" w:cs="Arial"/>
          <w:color w:val="000000" w:themeColor="text1"/>
          <w:sz w:val="28"/>
          <w:szCs w:val="28"/>
        </w:rPr>
        <w:t>, n</w:t>
      </w:r>
      <w:r w:rsidR="008B584B" w:rsidRPr="00C349AC">
        <w:rPr>
          <w:rFonts w:ascii="Arial" w:hAnsi="Arial" w:cs="Arial"/>
          <w:color w:val="000000" w:themeColor="text1"/>
          <w:sz w:val="28"/>
          <w:szCs w:val="28"/>
        </w:rPr>
        <w:t>o desconozco que desde una óptica muy estricta del principio de taxatividad podría argumentarse que la norma resulta extremadamente amplia o indeterminada, pues puede abarcar una gran cantidad de conductas realizadas dentro o fuera del servicio. Sin embargo</w:t>
      </w:r>
      <w:r w:rsidR="008B584B" w:rsidRPr="00C349AC">
        <w:rPr>
          <w:rFonts w:ascii="Arial" w:hAnsi="Arial" w:cs="Arial"/>
          <w:bCs/>
          <w:color w:val="000000" w:themeColor="text1"/>
          <w:sz w:val="28"/>
          <w:szCs w:val="28"/>
        </w:rPr>
        <w:t>,</w:t>
      </w:r>
      <w:r w:rsidR="00DC1A86" w:rsidRPr="00C349AC">
        <w:rPr>
          <w:rFonts w:ascii="Arial" w:hAnsi="Arial" w:cs="Arial"/>
          <w:bCs/>
          <w:color w:val="000000" w:themeColor="text1"/>
          <w:sz w:val="28"/>
          <w:szCs w:val="28"/>
        </w:rPr>
        <w:t xml:space="preserve"> </w:t>
      </w:r>
      <w:r w:rsidR="001034F8" w:rsidRPr="00C349AC">
        <w:rPr>
          <w:rFonts w:ascii="Arial" w:hAnsi="Arial" w:cs="Arial"/>
          <w:bCs/>
          <w:color w:val="000000" w:themeColor="text1"/>
          <w:sz w:val="28"/>
          <w:szCs w:val="28"/>
        </w:rPr>
        <w:t>es importante no perder</w:t>
      </w:r>
      <w:r w:rsidR="00DC1A86" w:rsidRPr="00C349AC">
        <w:rPr>
          <w:rFonts w:ascii="Arial" w:hAnsi="Arial" w:cs="Arial"/>
          <w:bCs/>
          <w:color w:val="000000" w:themeColor="text1"/>
          <w:sz w:val="28"/>
          <w:szCs w:val="28"/>
        </w:rPr>
        <w:t xml:space="preserve"> de vista que la </w:t>
      </w:r>
      <w:r w:rsidR="00C45580" w:rsidRPr="00C349AC">
        <w:rPr>
          <w:rFonts w:ascii="Arial" w:hAnsi="Arial" w:cs="Arial"/>
          <w:bCs/>
          <w:color w:val="000000" w:themeColor="text1"/>
          <w:sz w:val="28"/>
          <w:szCs w:val="28"/>
        </w:rPr>
        <w:t>norma</w:t>
      </w:r>
      <w:r w:rsidR="00DC1A86" w:rsidRPr="00C349AC">
        <w:rPr>
          <w:rFonts w:ascii="Arial" w:hAnsi="Arial" w:cs="Arial"/>
          <w:bCs/>
          <w:color w:val="000000" w:themeColor="text1"/>
          <w:sz w:val="28"/>
          <w:szCs w:val="28"/>
        </w:rPr>
        <w:t xml:space="preserve"> está dirigida a una clase de personas</w:t>
      </w:r>
      <w:r w:rsidR="00C45580" w:rsidRPr="00C349AC">
        <w:rPr>
          <w:rFonts w:ascii="Arial" w:hAnsi="Arial" w:cs="Arial"/>
          <w:bCs/>
          <w:color w:val="000000" w:themeColor="text1"/>
          <w:sz w:val="28"/>
          <w:szCs w:val="28"/>
        </w:rPr>
        <w:t xml:space="preserve"> (e</w:t>
      </w:r>
      <w:r w:rsidR="00DC1A86" w:rsidRPr="00C349AC">
        <w:rPr>
          <w:rFonts w:ascii="Arial" w:hAnsi="Arial" w:cs="Arial"/>
          <w:bCs/>
          <w:color w:val="000000" w:themeColor="text1"/>
          <w:sz w:val="28"/>
          <w:szCs w:val="28"/>
        </w:rPr>
        <w:t>sto es, a los integrantes de las instituciones de seguridad ciudadana</w:t>
      </w:r>
      <w:r w:rsidR="00C45580" w:rsidRPr="00C349AC">
        <w:rPr>
          <w:rFonts w:ascii="Arial" w:hAnsi="Arial" w:cs="Arial"/>
          <w:bCs/>
          <w:color w:val="000000" w:themeColor="text1"/>
          <w:sz w:val="28"/>
          <w:szCs w:val="28"/>
        </w:rPr>
        <w:t>)</w:t>
      </w:r>
      <w:r w:rsidR="00DC1A86" w:rsidRPr="00C349AC">
        <w:rPr>
          <w:rFonts w:ascii="Arial" w:hAnsi="Arial" w:cs="Arial"/>
          <w:bCs/>
          <w:color w:val="000000" w:themeColor="text1"/>
          <w:sz w:val="28"/>
          <w:szCs w:val="28"/>
        </w:rPr>
        <w:t xml:space="preserve"> quienes, debido a la importante labor que realizan, </w:t>
      </w:r>
      <w:r w:rsidR="00DC1A86" w:rsidRPr="00C349AC">
        <w:rPr>
          <w:rFonts w:ascii="Arial" w:hAnsi="Arial" w:cs="Arial"/>
          <w:bCs/>
          <w:i/>
          <w:iCs/>
          <w:color w:val="000000" w:themeColor="text1"/>
          <w:sz w:val="28"/>
          <w:szCs w:val="28"/>
        </w:rPr>
        <w:t>están obligadas a observar en todo momento una disciplina y conducta intachable y compatible con ciertos principios</w:t>
      </w:r>
      <w:r w:rsidR="00DC1A86" w:rsidRPr="00C349AC">
        <w:rPr>
          <w:rFonts w:ascii="Arial" w:hAnsi="Arial" w:cs="Arial"/>
          <w:bCs/>
          <w:color w:val="000000" w:themeColor="text1"/>
          <w:sz w:val="28"/>
          <w:szCs w:val="28"/>
        </w:rPr>
        <w:t>, como son el de legalidad, objetividad, eficiencia, profesionalismo, honradez y respeto a los derechos humanos que constitucionalmente rigen dicha función.</w:t>
      </w:r>
      <w:r w:rsidR="00C45580" w:rsidRPr="00C349AC">
        <w:rPr>
          <w:rFonts w:ascii="Arial" w:hAnsi="Arial" w:cs="Arial"/>
          <w:bCs/>
          <w:color w:val="000000" w:themeColor="text1"/>
          <w:sz w:val="28"/>
          <w:szCs w:val="28"/>
        </w:rPr>
        <w:t xml:space="preserve"> </w:t>
      </w:r>
      <w:r w:rsidR="008B584B" w:rsidRPr="00C349AC">
        <w:rPr>
          <w:rFonts w:ascii="Arial" w:hAnsi="Arial" w:cs="Arial"/>
          <w:bCs/>
          <w:color w:val="000000" w:themeColor="text1"/>
          <w:sz w:val="28"/>
          <w:szCs w:val="28"/>
        </w:rPr>
        <w:t xml:space="preserve">Además, no hay que olvidar </w:t>
      </w:r>
      <w:r w:rsidR="00C45580" w:rsidRPr="00C349AC">
        <w:rPr>
          <w:rFonts w:ascii="Arial" w:hAnsi="Arial" w:cs="Arial"/>
          <w:bCs/>
          <w:color w:val="000000" w:themeColor="text1"/>
          <w:sz w:val="28"/>
          <w:szCs w:val="28"/>
        </w:rPr>
        <w:t>que</w:t>
      </w:r>
      <w:r w:rsidR="00DC1A86" w:rsidRPr="00C349AC">
        <w:rPr>
          <w:rFonts w:ascii="Arial" w:hAnsi="Arial" w:cs="Arial"/>
          <w:bCs/>
          <w:color w:val="000000" w:themeColor="text1"/>
          <w:sz w:val="28"/>
          <w:szCs w:val="28"/>
        </w:rPr>
        <w:t xml:space="preserve"> las y los integrantes de las instituciones de seguridad pública </w:t>
      </w:r>
      <w:r w:rsidR="00DC1A86" w:rsidRPr="00C349AC">
        <w:rPr>
          <w:rFonts w:ascii="Arial" w:hAnsi="Arial" w:cs="Arial"/>
          <w:bCs/>
          <w:i/>
          <w:iCs/>
          <w:color w:val="000000" w:themeColor="text1"/>
          <w:sz w:val="28"/>
          <w:szCs w:val="28"/>
        </w:rPr>
        <w:t>normalmente están sujetos a una formación y capacitación previa</w:t>
      </w:r>
      <w:r w:rsidR="00DC1A86" w:rsidRPr="00C349AC">
        <w:rPr>
          <w:rFonts w:ascii="Arial" w:hAnsi="Arial" w:cs="Arial"/>
          <w:bCs/>
          <w:color w:val="000000" w:themeColor="text1"/>
          <w:sz w:val="28"/>
          <w:szCs w:val="28"/>
        </w:rPr>
        <w:t>, así como a la observancia de estrictos Códigos de Conducta</w:t>
      </w:r>
      <w:r w:rsidR="00DC1A86" w:rsidRPr="00C349AC">
        <w:rPr>
          <w:rStyle w:val="Refdenotaalpie"/>
          <w:rFonts w:ascii="Arial" w:hAnsi="Arial" w:cs="Arial"/>
          <w:bCs/>
          <w:color w:val="000000" w:themeColor="text1"/>
          <w:sz w:val="28"/>
          <w:szCs w:val="28"/>
        </w:rPr>
        <w:footnoteReference w:id="30"/>
      </w:r>
      <w:r w:rsidR="00DC1A86" w:rsidRPr="00C349AC">
        <w:rPr>
          <w:rFonts w:ascii="Arial" w:hAnsi="Arial" w:cs="Arial"/>
          <w:bCs/>
          <w:color w:val="000000" w:themeColor="text1"/>
          <w:sz w:val="28"/>
          <w:szCs w:val="28"/>
        </w:rPr>
        <w:t xml:space="preserve">, lo que les permite conocer, con anticipación razonable, cuál es el comportamiento esperado de estos funcionarios dentro y fuera del servicio y, por tanto, qué tipo de conductas quedan comprendidas y/o prohibidas por la norma. </w:t>
      </w:r>
    </w:p>
    <w:p w14:paraId="45A11EA4" w14:textId="77777777" w:rsidR="00DC1A86" w:rsidRPr="00C349AC" w:rsidRDefault="00DC1A86" w:rsidP="00556E9F">
      <w:pPr>
        <w:spacing w:after="0" w:line="360" w:lineRule="auto"/>
        <w:ind w:firstLine="567"/>
        <w:jc w:val="both"/>
        <w:rPr>
          <w:rFonts w:ascii="Arial" w:hAnsi="Arial" w:cs="Arial"/>
          <w:bCs/>
          <w:color w:val="000000" w:themeColor="text1"/>
          <w:sz w:val="28"/>
          <w:szCs w:val="28"/>
        </w:rPr>
      </w:pPr>
    </w:p>
    <w:p w14:paraId="7F43D55A" w14:textId="28F06BDA" w:rsidR="00DC1A86" w:rsidRPr="00C349AC" w:rsidRDefault="00C45580" w:rsidP="00556E9F">
      <w:pPr>
        <w:spacing w:after="0" w:line="360" w:lineRule="auto"/>
        <w:ind w:firstLine="567"/>
        <w:jc w:val="both"/>
        <w:rPr>
          <w:rFonts w:ascii="Arial" w:hAnsi="Arial" w:cs="Arial"/>
          <w:bCs/>
          <w:color w:val="000000" w:themeColor="text1"/>
          <w:sz w:val="28"/>
          <w:szCs w:val="28"/>
        </w:rPr>
      </w:pPr>
      <w:r w:rsidRPr="00C349AC">
        <w:rPr>
          <w:rFonts w:ascii="Arial" w:hAnsi="Arial" w:cs="Arial"/>
          <w:bCs/>
          <w:color w:val="000000" w:themeColor="text1"/>
          <w:sz w:val="28"/>
          <w:szCs w:val="28"/>
        </w:rPr>
        <w:t>Por último</w:t>
      </w:r>
      <w:r w:rsidR="00DC1A86" w:rsidRPr="00C349AC">
        <w:rPr>
          <w:rFonts w:ascii="Arial" w:hAnsi="Arial" w:cs="Arial"/>
          <w:bCs/>
          <w:color w:val="000000" w:themeColor="text1"/>
          <w:sz w:val="28"/>
          <w:szCs w:val="28"/>
        </w:rPr>
        <w:t xml:space="preserve">, </w:t>
      </w:r>
      <w:r w:rsidR="00935C93" w:rsidRPr="00C349AC">
        <w:rPr>
          <w:rFonts w:ascii="Arial" w:hAnsi="Arial" w:cs="Arial"/>
          <w:bCs/>
          <w:color w:val="000000" w:themeColor="text1"/>
          <w:sz w:val="28"/>
          <w:szCs w:val="28"/>
        </w:rPr>
        <w:t>es</w:t>
      </w:r>
      <w:r w:rsidR="00DC1A86" w:rsidRPr="00C349AC">
        <w:rPr>
          <w:rFonts w:ascii="Arial" w:hAnsi="Arial" w:cs="Arial"/>
          <w:bCs/>
          <w:color w:val="000000" w:themeColor="text1"/>
          <w:sz w:val="28"/>
          <w:szCs w:val="28"/>
        </w:rPr>
        <w:t xml:space="preserve"> importante aclarar que </w:t>
      </w:r>
      <w:r w:rsidR="001034F8" w:rsidRPr="00C349AC">
        <w:rPr>
          <w:rFonts w:ascii="Arial" w:hAnsi="Arial" w:cs="Arial"/>
          <w:bCs/>
          <w:color w:val="000000" w:themeColor="text1"/>
          <w:sz w:val="28"/>
          <w:szCs w:val="28"/>
        </w:rPr>
        <w:t>esta conclusión</w:t>
      </w:r>
      <w:r w:rsidR="00DC1A86" w:rsidRPr="00C349AC">
        <w:rPr>
          <w:rFonts w:ascii="Arial" w:hAnsi="Arial" w:cs="Arial"/>
          <w:bCs/>
          <w:color w:val="000000" w:themeColor="text1"/>
          <w:sz w:val="28"/>
          <w:szCs w:val="28"/>
        </w:rPr>
        <w:t xml:space="preserve"> no implica dejar en desprotección o en la arbitrariedad a las y los integrantes de las instituciones de seguridad pública, pues en cada caso concreto deberá acreditarse que la conducta en cuestión efectivamente ha afectado la reputación del propio agente o de las instituciones de seguridad </w:t>
      </w:r>
      <w:r w:rsidR="00DC1A86" w:rsidRPr="00C349AC">
        <w:rPr>
          <w:rFonts w:ascii="Arial" w:hAnsi="Arial" w:cs="Arial"/>
          <w:bCs/>
          <w:color w:val="000000" w:themeColor="text1"/>
          <w:sz w:val="28"/>
          <w:szCs w:val="28"/>
        </w:rPr>
        <w:lastRenderedPageBreak/>
        <w:t xml:space="preserve">ciudadana, lo cual deberá evaluarse por los operadores jurídicos de la manera más objetiva posible. Además, toda aplicación desproporcionada o arbitraria de la ley puede ser </w:t>
      </w:r>
      <w:r w:rsidR="00935C93" w:rsidRPr="00C349AC">
        <w:rPr>
          <w:rFonts w:ascii="Arial" w:hAnsi="Arial" w:cs="Arial"/>
          <w:bCs/>
          <w:color w:val="000000" w:themeColor="text1"/>
          <w:sz w:val="28"/>
          <w:szCs w:val="28"/>
        </w:rPr>
        <w:t>sometida</w:t>
      </w:r>
      <w:r w:rsidR="00DC1A86" w:rsidRPr="00C349AC">
        <w:rPr>
          <w:rFonts w:ascii="Arial" w:hAnsi="Arial" w:cs="Arial"/>
          <w:bCs/>
          <w:color w:val="000000" w:themeColor="text1"/>
          <w:sz w:val="28"/>
          <w:szCs w:val="28"/>
        </w:rPr>
        <w:t xml:space="preserve"> a </w:t>
      </w:r>
      <w:r w:rsidR="00DC1A86" w:rsidRPr="00C349AC">
        <w:rPr>
          <w:rFonts w:ascii="Arial" w:hAnsi="Arial" w:cs="Arial"/>
          <w:bCs/>
          <w:i/>
          <w:iCs/>
          <w:color w:val="000000" w:themeColor="text1"/>
          <w:sz w:val="28"/>
          <w:szCs w:val="28"/>
        </w:rPr>
        <w:t>control judicial</w:t>
      </w:r>
      <w:r w:rsidR="00DC1A86" w:rsidRPr="00C349AC">
        <w:rPr>
          <w:rFonts w:ascii="Arial" w:hAnsi="Arial" w:cs="Arial"/>
          <w:bCs/>
          <w:color w:val="000000" w:themeColor="text1"/>
          <w:sz w:val="28"/>
          <w:szCs w:val="28"/>
        </w:rPr>
        <w:t xml:space="preserve">, en donde se podrá discutir si la imposición de una sanción basada en dicha causal fue correcta o no. </w:t>
      </w:r>
    </w:p>
    <w:p w14:paraId="685CD787" w14:textId="77777777" w:rsidR="00DC1A86" w:rsidRPr="00C349AC" w:rsidRDefault="00DC1A86" w:rsidP="00991B1A">
      <w:pPr>
        <w:spacing w:after="0" w:line="360" w:lineRule="auto"/>
        <w:jc w:val="both"/>
        <w:rPr>
          <w:rFonts w:ascii="Arial" w:hAnsi="Arial" w:cs="Arial"/>
          <w:color w:val="000000" w:themeColor="text1"/>
          <w:sz w:val="28"/>
          <w:szCs w:val="28"/>
        </w:rPr>
      </w:pPr>
    </w:p>
    <w:p w14:paraId="4CC53D5E" w14:textId="311377BB" w:rsidR="00DC1A86" w:rsidRPr="00C349AC" w:rsidRDefault="008C1D7C" w:rsidP="00556E9F">
      <w:pPr>
        <w:pStyle w:val="Prrafodelista"/>
        <w:numPr>
          <w:ilvl w:val="0"/>
          <w:numId w:val="3"/>
        </w:numPr>
        <w:spacing w:after="0" w:line="360" w:lineRule="auto"/>
        <w:jc w:val="both"/>
        <w:rPr>
          <w:rFonts w:ascii="Arial" w:hAnsi="Arial" w:cs="Arial"/>
          <w:b/>
          <w:bCs/>
          <w:color w:val="000000" w:themeColor="text1"/>
          <w:sz w:val="28"/>
          <w:szCs w:val="28"/>
          <w:lang w:val="es-ES_tradnl"/>
        </w:rPr>
      </w:pPr>
      <w:r w:rsidRPr="00C349AC">
        <w:rPr>
          <w:rFonts w:ascii="Arial" w:hAnsi="Arial" w:cs="Arial"/>
          <w:b/>
          <w:bCs/>
          <w:color w:val="000000" w:themeColor="text1"/>
          <w:sz w:val="28"/>
          <w:szCs w:val="28"/>
          <w:lang w:val="es-ES_tradnl"/>
        </w:rPr>
        <w:t xml:space="preserve">Tema </w:t>
      </w:r>
      <w:r w:rsidR="00C17767" w:rsidRPr="00C349AC">
        <w:rPr>
          <w:rFonts w:ascii="Arial" w:hAnsi="Arial" w:cs="Arial"/>
          <w:b/>
          <w:bCs/>
          <w:color w:val="000000" w:themeColor="text1"/>
          <w:sz w:val="28"/>
          <w:szCs w:val="28"/>
          <w:lang w:val="es-ES_tradnl"/>
        </w:rPr>
        <w:t>5</w:t>
      </w:r>
      <w:r w:rsidRPr="00C349AC">
        <w:rPr>
          <w:rFonts w:ascii="Arial" w:hAnsi="Arial" w:cs="Arial"/>
          <w:b/>
          <w:bCs/>
          <w:color w:val="000000" w:themeColor="text1"/>
          <w:sz w:val="28"/>
          <w:szCs w:val="28"/>
          <w:lang w:val="es-ES_tradnl"/>
        </w:rPr>
        <w:t xml:space="preserve">. </w:t>
      </w:r>
      <w:r w:rsidR="00C17767" w:rsidRPr="00C349AC">
        <w:rPr>
          <w:rFonts w:ascii="Arial" w:hAnsi="Arial" w:cs="Arial"/>
          <w:b/>
          <w:bCs/>
          <w:color w:val="000000" w:themeColor="text1"/>
          <w:sz w:val="28"/>
          <w:szCs w:val="28"/>
          <w:lang w:val="es-ES_tradnl"/>
        </w:rPr>
        <w:t xml:space="preserve">Constitucionalidad </w:t>
      </w:r>
      <w:r w:rsidR="00DC1A86" w:rsidRPr="00C349AC">
        <w:rPr>
          <w:rFonts w:ascii="Arial" w:hAnsi="Arial" w:cs="Arial"/>
          <w:b/>
          <w:bCs/>
          <w:color w:val="000000" w:themeColor="text1"/>
          <w:sz w:val="28"/>
          <w:szCs w:val="28"/>
          <w:lang w:val="es-ES_tradnl"/>
        </w:rPr>
        <w:t>del artículo 42, fracción XI</w:t>
      </w:r>
      <w:r w:rsidR="0024037C">
        <w:rPr>
          <w:rFonts w:ascii="Arial" w:hAnsi="Arial" w:cs="Arial"/>
          <w:b/>
          <w:bCs/>
          <w:color w:val="000000" w:themeColor="text1"/>
          <w:sz w:val="28"/>
          <w:szCs w:val="28"/>
          <w:lang w:val="es-ES_tradnl"/>
        </w:rPr>
        <w:t>.</w:t>
      </w:r>
    </w:p>
    <w:p w14:paraId="45D02B7F" w14:textId="77777777" w:rsidR="00DC1A86" w:rsidRPr="00C349AC" w:rsidRDefault="00DC1A86" w:rsidP="00556E9F">
      <w:pPr>
        <w:spacing w:after="0" w:line="360" w:lineRule="auto"/>
        <w:jc w:val="both"/>
        <w:rPr>
          <w:rFonts w:ascii="Arial" w:hAnsi="Arial" w:cs="Arial"/>
          <w:color w:val="000000" w:themeColor="text1"/>
          <w:sz w:val="28"/>
          <w:szCs w:val="28"/>
          <w:highlight w:val="yellow"/>
          <w:lang w:val="es-ES_tradnl"/>
        </w:rPr>
      </w:pPr>
    </w:p>
    <w:p w14:paraId="2662CF82" w14:textId="52E520B1" w:rsidR="00C17767" w:rsidRPr="00C349AC" w:rsidRDefault="00C17767" w:rsidP="00556E9F">
      <w:pPr>
        <w:spacing w:after="0" w:line="360" w:lineRule="auto"/>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En este apartado, el</w:t>
      </w:r>
      <w:r w:rsidR="00DC1A86" w:rsidRPr="00C349AC">
        <w:rPr>
          <w:rFonts w:ascii="Arial" w:hAnsi="Arial" w:cs="Arial"/>
          <w:color w:val="000000" w:themeColor="text1"/>
          <w:sz w:val="28"/>
          <w:szCs w:val="28"/>
          <w:lang w:val="es-ES_tradnl"/>
        </w:rPr>
        <w:t xml:space="preserve"> Tribunal Pleno reconoció la validez del artículo 42, fracción XI</w:t>
      </w:r>
      <w:r w:rsidR="0024037C">
        <w:rPr>
          <w:rFonts w:ascii="Arial" w:hAnsi="Arial" w:cs="Arial"/>
          <w:color w:val="000000" w:themeColor="text1"/>
          <w:sz w:val="28"/>
          <w:szCs w:val="28"/>
          <w:lang w:val="es-ES_tradnl"/>
        </w:rPr>
        <w:t>,</w:t>
      </w:r>
      <w:r w:rsidR="00DC1A86" w:rsidRPr="00C349AC">
        <w:rPr>
          <w:rFonts w:ascii="Arial" w:hAnsi="Arial" w:cs="Arial"/>
          <w:color w:val="000000" w:themeColor="text1"/>
          <w:sz w:val="28"/>
          <w:szCs w:val="28"/>
          <w:lang w:val="es-ES_tradnl"/>
        </w:rPr>
        <w:t xml:space="preserve"> de la Ley impugnada, el cual faculta al Consejo Ciudadano para la Seguridad Ciudadana y Procuración de Justicia para </w:t>
      </w:r>
      <w:r w:rsidRPr="00C349AC">
        <w:rPr>
          <w:rFonts w:ascii="Arial" w:hAnsi="Arial" w:cs="Arial"/>
          <w:color w:val="000000" w:themeColor="text1"/>
          <w:sz w:val="28"/>
          <w:szCs w:val="28"/>
          <w:lang w:val="es-ES_tradnl"/>
        </w:rPr>
        <w:t>“</w:t>
      </w:r>
      <w:r w:rsidR="00DC1A86" w:rsidRPr="00C349AC">
        <w:rPr>
          <w:rFonts w:ascii="Arial" w:hAnsi="Arial" w:cs="Arial"/>
          <w:color w:val="000000" w:themeColor="text1"/>
          <w:sz w:val="28"/>
          <w:szCs w:val="28"/>
          <w:lang w:val="es-ES_tradnl"/>
        </w:rPr>
        <w:t>recibir, evaluar, canalizar y formular denuncias por violaciones a derechos humanos</w:t>
      </w:r>
      <w:r w:rsidRPr="00C349AC">
        <w:rPr>
          <w:rFonts w:ascii="Arial" w:hAnsi="Arial" w:cs="Arial"/>
          <w:color w:val="000000" w:themeColor="text1"/>
          <w:sz w:val="28"/>
          <w:szCs w:val="28"/>
          <w:lang w:val="es-ES_tradnl"/>
        </w:rPr>
        <w:t>”</w:t>
      </w:r>
      <w:r w:rsidR="00DC1A86" w:rsidRPr="00C349AC">
        <w:rPr>
          <w:rFonts w:ascii="Arial" w:hAnsi="Arial" w:cs="Arial"/>
          <w:color w:val="000000" w:themeColor="text1"/>
          <w:sz w:val="28"/>
          <w:szCs w:val="28"/>
          <w:lang w:val="es-ES_tradnl"/>
        </w:rPr>
        <w:t xml:space="preserve"> cometidas por instituciones o servidores en materia de cultura cívica, seguridad ciudadana y procuración de justicia.</w:t>
      </w:r>
      <w:r w:rsidRPr="00C349AC">
        <w:rPr>
          <w:rFonts w:ascii="Arial" w:hAnsi="Arial" w:cs="Arial"/>
          <w:color w:val="000000" w:themeColor="text1"/>
          <w:sz w:val="28"/>
          <w:szCs w:val="28"/>
          <w:lang w:val="es-ES_tradnl"/>
        </w:rPr>
        <w:t xml:space="preserve"> </w:t>
      </w:r>
    </w:p>
    <w:p w14:paraId="46448ED8" w14:textId="77777777" w:rsidR="00C17767" w:rsidRPr="00C349AC" w:rsidRDefault="00C17767" w:rsidP="00556E9F">
      <w:pPr>
        <w:spacing w:after="0" w:line="360" w:lineRule="auto"/>
        <w:jc w:val="both"/>
        <w:rPr>
          <w:rFonts w:ascii="Arial" w:hAnsi="Arial" w:cs="Arial"/>
          <w:color w:val="000000" w:themeColor="text1"/>
          <w:sz w:val="28"/>
          <w:szCs w:val="28"/>
          <w:lang w:val="es-ES_tradnl"/>
        </w:rPr>
      </w:pPr>
    </w:p>
    <w:p w14:paraId="64FD711E" w14:textId="514959AF" w:rsidR="00DC1A86" w:rsidRPr="00C349AC" w:rsidRDefault="00C17767" w:rsidP="00C17767">
      <w:pPr>
        <w:spacing w:after="0" w:line="360" w:lineRule="auto"/>
        <w:ind w:firstLine="708"/>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 xml:space="preserve">La mayoría consideró </w:t>
      </w:r>
      <w:r w:rsidR="00DC1A86" w:rsidRPr="00C349AC">
        <w:rPr>
          <w:rFonts w:ascii="Arial" w:hAnsi="Arial" w:cs="Arial"/>
          <w:color w:val="000000" w:themeColor="text1"/>
          <w:sz w:val="28"/>
          <w:szCs w:val="28"/>
          <w:lang w:val="es-ES_tradnl"/>
        </w:rPr>
        <w:t>que, contrario a lo sostenido por la</w:t>
      </w:r>
      <w:r w:rsidRPr="00C349AC">
        <w:rPr>
          <w:rFonts w:ascii="Arial" w:hAnsi="Arial" w:cs="Arial"/>
          <w:color w:val="000000" w:themeColor="text1"/>
          <w:sz w:val="28"/>
          <w:szCs w:val="28"/>
          <w:lang w:val="es-ES_tradnl"/>
        </w:rPr>
        <w:t xml:space="preserve"> </w:t>
      </w:r>
      <w:r w:rsidR="007279D3" w:rsidRPr="00C349AC">
        <w:rPr>
          <w:rFonts w:ascii="Arial" w:hAnsi="Arial" w:cs="Arial"/>
          <w:color w:val="000000" w:themeColor="text1"/>
          <w:sz w:val="28"/>
          <w:szCs w:val="28"/>
          <w:lang w:val="es-ES_tradnl"/>
        </w:rPr>
        <w:t>CDHCM</w:t>
      </w:r>
      <w:r w:rsidR="00DC1A86" w:rsidRPr="00C349AC">
        <w:rPr>
          <w:rFonts w:ascii="Arial" w:hAnsi="Arial" w:cs="Arial"/>
          <w:color w:val="000000" w:themeColor="text1"/>
          <w:sz w:val="28"/>
          <w:szCs w:val="28"/>
          <w:lang w:val="es-ES_tradnl"/>
        </w:rPr>
        <w:t xml:space="preserve">, la existencia de unidades diversas a las </w:t>
      </w:r>
      <w:r w:rsidRPr="00C349AC">
        <w:rPr>
          <w:rFonts w:ascii="Arial" w:hAnsi="Arial" w:cs="Arial"/>
          <w:color w:val="000000" w:themeColor="text1"/>
          <w:sz w:val="28"/>
          <w:szCs w:val="28"/>
          <w:lang w:val="es-ES_tradnl"/>
        </w:rPr>
        <w:t>c</w:t>
      </w:r>
      <w:r w:rsidR="00DC1A86" w:rsidRPr="00C349AC">
        <w:rPr>
          <w:rFonts w:ascii="Arial" w:hAnsi="Arial" w:cs="Arial"/>
          <w:color w:val="000000" w:themeColor="text1"/>
          <w:sz w:val="28"/>
          <w:szCs w:val="28"/>
          <w:lang w:val="es-ES_tradnl"/>
        </w:rPr>
        <w:t xml:space="preserve">omisiones de </w:t>
      </w:r>
      <w:r w:rsidRPr="00C349AC">
        <w:rPr>
          <w:rFonts w:ascii="Arial" w:hAnsi="Arial" w:cs="Arial"/>
          <w:color w:val="000000" w:themeColor="text1"/>
          <w:sz w:val="28"/>
          <w:szCs w:val="28"/>
          <w:lang w:val="es-ES_tradnl"/>
        </w:rPr>
        <w:t>d</w:t>
      </w:r>
      <w:r w:rsidR="00DC1A86" w:rsidRPr="00C349AC">
        <w:rPr>
          <w:rFonts w:ascii="Arial" w:hAnsi="Arial" w:cs="Arial"/>
          <w:color w:val="000000" w:themeColor="text1"/>
          <w:sz w:val="28"/>
          <w:szCs w:val="28"/>
          <w:lang w:val="es-ES_tradnl"/>
        </w:rPr>
        <w:t xml:space="preserve">erechos </w:t>
      </w:r>
      <w:r w:rsidRPr="00C349AC">
        <w:rPr>
          <w:rFonts w:ascii="Arial" w:hAnsi="Arial" w:cs="Arial"/>
          <w:color w:val="000000" w:themeColor="text1"/>
          <w:sz w:val="28"/>
          <w:szCs w:val="28"/>
          <w:lang w:val="es-ES_tradnl"/>
        </w:rPr>
        <w:t>h</w:t>
      </w:r>
      <w:r w:rsidR="00DC1A86" w:rsidRPr="00C349AC">
        <w:rPr>
          <w:rFonts w:ascii="Arial" w:hAnsi="Arial" w:cs="Arial"/>
          <w:color w:val="000000" w:themeColor="text1"/>
          <w:sz w:val="28"/>
          <w:szCs w:val="28"/>
          <w:lang w:val="es-ES_tradnl"/>
        </w:rPr>
        <w:t xml:space="preserve">umanos </w:t>
      </w:r>
      <w:r w:rsidR="001034F8" w:rsidRPr="00C349AC">
        <w:rPr>
          <w:rFonts w:ascii="Arial" w:hAnsi="Arial" w:cs="Arial"/>
          <w:color w:val="000000" w:themeColor="text1"/>
          <w:sz w:val="28"/>
          <w:szCs w:val="28"/>
          <w:lang w:val="es-ES_tradnl"/>
        </w:rPr>
        <w:t>que cuentan con</w:t>
      </w:r>
      <w:r w:rsidRPr="00C349AC">
        <w:rPr>
          <w:rFonts w:ascii="Arial" w:hAnsi="Arial" w:cs="Arial"/>
          <w:color w:val="000000" w:themeColor="text1"/>
          <w:sz w:val="28"/>
          <w:szCs w:val="28"/>
          <w:lang w:val="es-ES_tradnl"/>
        </w:rPr>
        <w:t xml:space="preserve"> facultades para</w:t>
      </w:r>
      <w:r w:rsidR="00DC1A86" w:rsidRPr="00C349AC">
        <w:rPr>
          <w:rFonts w:ascii="Arial" w:hAnsi="Arial" w:cs="Arial"/>
          <w:color w:val="000000" w:themeColor="text1"/>
          <w:sz w:val="28"/>
          <w:szCs w:val="28"/>
          <w:lang w:val="es-ES_tradnl"/>
        </w:rPr>
        <w:t xml:space="preserve"> canalizar y recibir denuncias por violación a derechos humanos no impacta en la competencia de la Comisión Nacional de </w:t>
      </w:r>
      <w:r w:rsidR="003378E9">
        <w:rPr>
          <w:rFonts w:ascii="Arial" w:hAnsi="Arial" w:cs="Arial"/>
          <w:color w:val="000000" w:themeColor="text1"/>
          <w:sz w:val="28"/>
          <w:szCs w:val="28"/>
          <w:lang w:val="es-ES_tradnl"/>
        </w:rPr>
        <w:t xml:space="preserve">los </w:t>
      </w:r>
      <w:r w:rsidR="00DC1A86" w:rsidRPr="00C349AC">
        <w:rPr>
          <w:rFonts w:ascii="Arial" w:hAnsi="Arial" w:cs="Arial"/>
          <w:color w:val="000000" w:themeColor="text1"/>
          <w:sz w:val="28"/>
          <w:szCs w:val="28"/>
          <w:lang w:val="es-ES_tradnl"/>
        </w:rPr>
        <w:t>Derechos Humanos o de los órganos locales.</w:t>
      </w:r>
      <w:r w:rsidRPr="00C349AC">
        <w:rPr>
          <w:rFonts w:ascii="Arial" w:hAnsi="Arial" w:cs="Arial"/>
          <w:color w:val="000000" w:themeColor="text1"/>
          <w:sz w:val="28"/>
          <w:szCs w:val="28"/>
          <w:lang w:val="es-ES_tradnl"/>
        </w:rPr>
        <w:t xml:space="preserve"> De acuerdo con la mayoría, la </w:t>
      </w:r>
      <w:r w:rsidR="00DC1A86" w:rsidRPr="00C349AC">
        <w:rPr>
          <w:rFonts w:ascii="Arial" w:hAnsi="Arial" w:cs="Arial"/>
          <w:color w:val="000000" w:themeColor="text1"/>
          <w:sz w:val="28"/>
          <w:szCs w:val="28"/>
          <w:lang w:val="es-ES_tradnl"/>
        </w:rPr>
        <w:t xml:space="preserve">existencia y competencia constitucional de la Comisión Nacional de </w:t>
      </w:r>
      <w:r w:rsidR="003378E9">
        <w:rPr>
          <w:rFonts w:ascii="Arial" w:hAnsi="Arial" w:cs="Arial"/>
          <w:color w:val="000000" w:themeColor="text1"/>
          <w:sz w:val="28"/>
          <w:szCs w:val="28"/>
          <w:lang w:val="es-ES_tradnl"/>
        </w:rPr>
        <w:t xml:space="preserve">los </w:t>
      </w:r>
      <w:r w:rsidR="00DC1A86" w:rsidRPr="00C349AC">
        <w:rPr>
          <w:rFonts w:ascii="Arial" w:hAnsi="Arial" w:cs="Arial"/>
          <w:color w:val="000000" w:themeColor="text1"/>
          <w:sz w:val="28"/>
          <w:szCs w:val="28"/>
          <w:lang w:val="es-ES_tradnl"/>
        </w:rPr>
        <w:t xml:space="preserve">Derechos Humanos y de los órganos protectores de derechos humanos locales no significa que exista una exclusividad y que no se puedan crear unidades que atiendan, canalicen y formulen denuncias, tratándose de violaciones a derechos humanos. </w:t>
      </w:r>
    </w:p>
    <w:p w14:paraId="69E96F1A" w14:textId="77777777" w:rsidR="00DC1A86" w:rsidRPr="00C349AC" w:rsidRDefault="00DC1A86" w:rsidP="00556E9F">
      <w:pPr>
        <w:spacing w:after="0" w:line="360" w:lineRule="auto"/>
        <w:jc w:val="both"/>
        <w:rPr>
          <w:rFonts w:ascii="Arial" w:hAnsi="Arial" w:cs="Arial"/>
          <w:color w:val="000000" w:themeColor="text1"/>
          <w:sz w:val="28"/>
          <w:szCs w:val="28"/>
          <w:highlight w:val="yellow"/>
          <w:lang w:val="es-ES_tradnl"/>
        </w:rPr>
      </w:pPr>
    </w:p>
    <w:p w14:paraId="2F28AF29" w14:textId="709ABEF7" w:rsidR="002C73DC" w:rsidRPr="00C349AC" w:rsidRDefault="00DC1A86" w:rsidP="00B829C4">
      <w:pPr>
        <w:spacing w:after="0" w:line="360" w:lineRule="auto"/>
        <w:ind w:firstLine="708"/>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Si bien coincido plenamente con la sentencia en este tema, me separo del último párrafo de la página 71, así como del primer párrafo de la página 72, los cuales dan a entender que cuando el Consejo</w:t>
      </w:r>
      <w:r w:rsidR="00B829C4" w:rsidRPr="00C349AC">
        <w:rPr>
          <w:rFonts w:ascii="Arial" w:hAnsi="Arial" w:cs="Arial"/>
          <w:color w:val="000000" w:themeColor="text1"/>
          <w:sz w:val="28"/>
          <w:szCs w:val="28"/>
          <w:lang w:val="es-ES_tradnl"/>
        </w:rPr>
        <w:t xml:space="preserve"> </w:t>
      </w:r>
      <w:r w:rsidRPr="00C349AC">
        <w:rPr>
          <w:rFonts w:ascii="Arial" w:hAnsi="Arial" w:cs="Arial"/>
          <w:color w:val="000000" w:themeColor="text1"/>
          <w:sz w:val="28"/>
          <w:szCs w:val="28"/>
          <w:lang w:val="es-ES_tradnl"/>
        </w:rPr>
        <w:t xml:space="preserve">advierta algún hecho o presunta violación a algún derecho humano, </w:t>
      </w:r>
      <w:r w:rsidR="00974DBE" w:rsidRPr="00C349AC">
        <w:rPr>
          <w:rFonts w:ascii="Arial" w:hAnsi="Arial" w:cs="Arial"/>
          <w:color w:val="000000" w:themeColor="text1"/>
          <w:sz w:val="28"/>
          <w:szCs w:val="28"/>
          <w:lang w:val="es-ES_tradnl"/>
        </w:rPr>
        <w:lastRenderedPageBreak/>
        <w:t>necesariamente</w:t>
      </w:r>
      <w:r w:rsidRPr="00C349AC">
        <w:rPr>
          <w:rFonts w:ascii="Arial" w:hAnsi="Arial" w:cs="Arial"/>
          <w:color w:val="000000" w:themeColor="text1"/>
          <w:sz w:val="28"/>
          <w:szCs w:val="28"/>
          <w:lang w:val="es-ES_tradnl"/>
        </w:rPr>
        <w:t xml:space="preserve"> deberá </w:t>
      </w:r>
      <w:r w:rsidRPr="00C349AC">
        <w:rPr>
          <w:rFonts w:ascii="Arial" w:hAnsi="Arial" w:cs="Arial"/>
          <w:i/>
          <w:iCs/>
          <w:color w:val="000000" w:themeColor="text1"/>
          <w:sz w:val="28"/>
          <w:szCs w:val="28"/>
          <w:lang w:val="es-ES_tradnl"/>
        </w:rPr>
        <w:t>instar</w:t>
      </w:r>
      <w:r w:rsidRPr="00C349AC">
        <w:rPr>
          <w:rFonts w:ascii="Arial" w:hAnsi="Arial" w:cs="Arial"/>
          <w:color w:val="000000" w:themeColor="text1"/>
          <w:sz w:val="28"/>
          <w:szCs w:val="28"/>
          <w:lang w:val="es-ES_tradnl"/>
        </w:rPr>
        <w:t xml:space="preserve"> a la Comisión de Derechos Humanos para que ésta proceda a iniciar la investigación correspondiente.</w:t>
      </w:r>
      <w:r w:rsidR="00B829C4" w:rsidRPr="00C349AC">
        <w:rPr>
          <w:rFonts w:ascii="Arial" w:hAnsi="Arial" w:cs="Arial"/>
          <w:color w:val="000000" w:themeColor="text1"/>
          <w:sz w:val="28"/>
          <w:szCs w:val="28"/>
          <w:lang w:val="es-ES_tradnl"/>
        </w:rPr>
        <w:t xml:space="preserve"> </w:t>
      </w:r>
    </w:p>
    <w:p w14:paraId="5F66FED4" w14:textId="77777777" w:rsidR="002C73DC" w:rsidRPr="00C349AC" w:rsidRDefault="002C73DC" w:rsidP="00B829C4">
      <w:pPr>
        <w:spacing w:after="0" w:line="360" w:lineRule="auto"/>
        <w:ind w:firstLine="708"/>
        <w:jc w:val="both"/>
        <w:rPr>
          <w:rFonts w:ascii="Arial" w:hAnsi="Arial" w:cs="Arial"/>
          <w:color w:val="000000" w:themeColor="text1"/>
          <w:sz w:val="28"/>
          <w:szCs w:val="28"/>
          <w:lang w:val="es-ES_tradnl"/>
        </w:rPr>
      </w:pPr>
    </w:p>
    <w:p w14:paraId="54C318E4" w14:textId="07C0BBCD" w:rsidR="00C67ACA" w:rsidRPr="00C349AC" w:rsidRDefault="00B829C4" w:rsidP="00C67ACA">
      <w:pPr>
        <w:spacing w:after="0" w:line="360" w:lineRule="auto"/>
        <w:ind w:firstLine="708"/>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 xml:space="preserve">No comparto tales consideraciones pues, </w:t>
      </w:r>
      <w:r w:rsidR="00974DBE" w:rsidRPr="00C349AC">
        <w:rPr>
          <w:rFonts w:ascii="Arial" w:hAnsi="Arial" w:cs="Arial"/>
          <w:color w:val="000000" w:themeColor="text1"/>
          <w:sz w:val="28"/>
          <w:szCs w:val="28"/>
          <w:lang w:val="es-ES_tradnl"/>
        </w:rPr>
        <w:t>como referí durante la discusión</w:t>
      </w:r>
      <w:r w:rsidR="00DC1A86" w:rsidRPr="00C349AC">
        <w:rPr>
          <w:rFonts w:ascii="Arial" w:hAnsi="Arial" w:cs="Arial"/>
          <w:color w:val="000000" w:themeColor="text1"/>
          <w:sz w:val="28"/>
          <w:szCs w:val="28"/>
          <w:lang w:val="es-ES_tradnl"/>
        </w:rPr>
        <w:t>,</w:t>
      </w:r>
      <w:r w:rsidR="00974DBE" w:rsidRPr="00C349AC">
        <w:rPr>
          <w:rFonts w:ascii="Arial" w:hAnsi="Arial" w:cs="Arial"/>
          <w:color w:val="000000" w:themeColor="text1"/>
          <w:sz w:val="28"/>
          <w:szCs w:val="28"/>
          <w:lang w:val="es-ES_tradnl"/>
        </w:rPr>
        <w:t xml:space="preserve"> desde mi perspectiva</w:t>
      </w:r>
      <w:r w:rsidRPr="00C349AC">
        <w:rPr>
          <w:rFonts w:ascii="Arial" w:hAnsi="Arial" w:cs="Arial"/>
          <w:color w:val="000000" w:themeColor="text1"/>
          <w:sz w:val="28"/>
          <w:szCs w:val="28"/>
          <w:lang w:val="es-ES_tradnl"/>
        </w:rPr>
        <w:t xml:space="preserve"> </w:t>
      </w:r>
      <w:r w:rsidR="00DC1A86" w:rsidRPr="00C349AC">
        <w:rPr>
          <w:rFonts w:ascii="Arial" w:hAnsi="Arial" w:cs="Arial"/>
          <w:color w:val="000000" w:themeColor="text1"/>
          <w:sz w:val="28"/>
          <w:szCs w:val="28"/>
          <w:lang w:val="es-ES_tradnl"/>
        </w:rPr>
        <w:t xml:space="preserve">el Consejo Ciudadano para la Seguridad Ciudadana y Procuración de Justicia no tiene por qué ser </w:t>
      </w:r>
      <w:r w:rsidRPr="00C349AC">
        <w:rPr>
          <w:rFonts w:ascii="Arial" w:hAnsi="Arial" w:cs="Arial"/>
          <w:color w:val="000000" w:themeColor="text1"/>
          <w:sz w:val="28"/>
          <w:szCs w:val="28"/>
          <w:lang w:val="es-ES_tradnl"/>
        </w:rPr>
        <w:t xml:space="preserve">considerado necesariamente como </w:t>
      </w:r>
      <w:r w:rsidR="00DC1A86" w:rsidRPr="00C349AC">
        <w:rPr>
          <w:rFonts w:ascii="Arial" w:hAnsi="Arial" w:cs="Arial"/>
          <w:color w:val="000000" w:themeColor="text1"/>
          <w:sz w:val="28"/>
          <w:szCs w:val="28"/>
          <w:lang w:val="es-ES_tradnl"/>
        </w:rPr>
        <w:t xml:space="preserve">un órgano </w:t>
      </w:r>
      <w:r w:rsidR="00DC1A86" w:rsidRPr="00C349AC">
        <w:rPr>
          <w:rFonts w:ascii="Arial" w:hAnsi="Arial" w:cs="Arial"/>
          <w:i/>
          <w:iCs/>
          <w:color w:val="000000" w:themeColor="text1"/>
          <w:sz w:val="28"/>
          <w:szCs w:val="28"/>
          <w:lang w:val="es-ES_tradnl"/>
        </w:rPr>
        <w:t>coadyuvante</w:t>
      </w:r>
      <w:r w:rsidR="00DC1A86" w:rsidRPr="00C349AC">
        <w:rPr>
          <w:rFonts w:ascii="Arial" w:hAnsi="Arial" w:cs="Arial"/>
          <w:color w:val="000000" w:themeColor="text1"/>
          <w:sz w:val="28"/>
          <w:szCs w:val="28"/>
          <w:lang w:val="es-ES_tradnl"/>
        </w:rPr>
        <w:t xml:space="preserve"> de las comisiones de derechos humanos. </w:t>
      </w:r>
      <w:r w:rsidRPr="00C349AC">
        <w:rPr>
          <w:rFonts w:ascii="Arial" w:hAnsi="Arial" w:cs="Arial"/>
          <w:color w:val="000000" w:themeColor="text1"/>
          <w:sz w:val="28"/>
          <w:szCs w:val="28"/>
          <w:lang w:val="es-ES_tradnl"/>
        </w:rPr>
        <w:t xml:space="preserve">Como la propia sentencia señala, la Constitución General no establece una </w:t>
      </w:r>
      <w:r w:rsidRPr="00C349AC">
        <w:rPr>
          <w:rFonts w:ascii="Arial" w:hAnsi="Arial" w:cs="Arial"/>
          <w:i/>
          <w:iCs/>
          <w:color w:val="000000" w:themeColor="text1"/>
          <w:sz w:val="28"/>
          <w:szCs w:val="28"/>
          <w:lang w:val="es-ES_tradnl"/>
        </w:rPr>
        <w:t>exclusividad</w:t>
      </w:r>
      <w:r w:rsidRPr="00C349AC">
        <w:rPr>
          <w:rFonts w:ascii="Arial" w:hAnsi="Arial" w:cs="Arial"/>
          <w:color w:val="000000" w:themeColor="text1"/>
          <w:sz w:val="28"/>
          <w:szCs w:val="28"/>
          <w:lang w:val="es-ES_tradnl"/>
        </w:rPr>
        <w:t xml:space="preserve"> a favor de las comisiones de derechos humanos que impida crear otras unidades que atiendan, canalicen y formulen denuncias, tratándose de violaciones a derechos humanos.</w:t>
      </w:r>
    </w:p>
    <w:p w14:paraId="369A5B03" w14:textId="77777777" w:rsidR="00DC1A86" w:rsidRPr="00C349AC" w:rsidRDefault="00DC1A86" w:rsidP="00556E9F">
      <w:pPr>
        <w:spacing w:after="0" w:line="360" w:lineRule="auto"/>
        <w:jc w:val="both"/>
        <w:rPr>
          <w:rFonts w:ascii="Arial" w:hAnsi="Arial" w:cs="Arial"/>
          <w:color w:val="000000" w:themeColor="text1"/>
          <w:sz w:val="28"/>
          <w:szCs w:val="28"/>
          <w:highlight w:val="yellow"/>
          <w:lang w:val="es-ES_tradnl"/>
        </w:rPr>
      </w:pPr>
    </w:p>
    <w:p w14:paraId="5AA2484C" w14:textId="295D9F9B" w:rsidR="00DC1A86" w:rsidRPr="00C349AC" w:rsidRDefault="009F0EAA" w:rsidP="00556E9F">
      <w:pPr>
        <w:pStyle w:val="Prrafodelista"/>
        <w:numPr>
          <w:ilvl w:val="0"/>
          <w:numId w:val="3"/>
        </w:numPr>
        <w:spacing w:after="0" w:line="360" w:lineRule="auto"/>
        <w:jc w:val="both"/>
        <w:rPr>
          <w:rFonts w:ascii="Arial" w:hAnsi="Arial" w:cs="Arial"/>
          <w:b/>
          <w:bCs/>
          <w:color w:val="000000" w:themeColor="text1"/>
          <w:sz w:val="28"/>
          <w:szCs w:val="28"/>
          <w:lang w:val="es-ES_tradnl"/>
        </w:rPr>
      </w:pPr>
      <w:r w:rsidRPr="00C349AC">
        <w:rPr>
          <w:rFonts w:ascii="Arial" w:hAnsi="Arial" w:cs="Arial"/>
          <w:b/>
          <w:bCs/>
          <w:color w:val="000000" w:themeColor="text1"/>
          <w:sz w:val="28"/>
          <w:szCs w:val="28"/>
          <w:lang w:val="es-ES_tradnl"/>
        </w:rPr>
        <w:t xml:space="preserve">Tema </w:t>
      </w:r>
      <w:r w:rsidR="00B829C4" w:rsidRPr="00C349AC">
        <w:rPr>
          <w:rFonts w:ascii="Arial" w:hAnsi="Arial" w:cs="Arial"/>
          <w:b/>
          <w:bCs/>
          <w:color w:val="000000" w:themeColor="text1"/>
          <w:sz w:val="28"/>
          <w:szCs w:val="28"/>
          <w:lang w:val="es-ES_tradnl"/>
        </w:rPr>
        <w:t>6</w:t>
      </w:r>
      <w:r w:rsidRPr="00C349AC">
        <w:rPr>
          <w:rFonts w:ascii="Arial" w:hAnsi="Arial" w:cs="Arial"/>
          <w:b/>
          <w:bCs/>
          <w:color w:val="000000" w:themeColor="text1"/>
          <w:sz w:val="28"/>
          <w:szCs w:val="28"/>
          <w:lang w:val="es-ES_tradnl"/>
        </w:rPr>
        <w:t xml:space="preserve">. </w:t>
      </w:r>
      <w:r w:rsidR="00B829C4" w:rsidRPr="00C349AC">
        <w:rPr>
          <w:rFonts w:ascii="Arial" w:hAnsi="Arial" w:cs="Arial"/>
          <w:b/>
          <w:bCs/>
          <w:color w:val="000000" w:themeColor="text1"/>
          <w:sz w:val="28"/>
          <w:szCs w:val="28"/>
          <w:lang w:val="es-ES_tradnl"/>
        </w:rPr>
        <w:t>Constitucionalidad</w:t>
      </w:r>
      <w:r w:rsidR="00DC1A86" w:rsidRPr="00C349AC">
        <w:rPr>
          <w:rFonts w:ascii="Arial" w:hAnsi="Arial" w:cs="Arial"/>
          <w:b/>
          <w:bCs/>
          <w:color w:val="000000" w:themeColor="text1"/>
          <w:sz w:val="28"/>
          <w:szCs w:val="28"/>
          <w:lang w:val="es-ES_tradnl"/>
        </w:rPr>
        <w:t xml:space="preserve"> del artículo 8</w:t>
      </w:r>
      <w:r w:rsidR="00EC1B61">
        <w:rPr>
          <w:rFonts w:ascii="Arial" w:hAnsi="Arial" w:cs="Arial"/>
          <w:b/>
          <w:bCs/>
          <w:color w:val="000000" w:themeColor="text1"/>
          <w:sz w:val="28"/>
          <w:szCs w:val="28"/>
          <w:lang w:val="es-ES_tradnl"/>
        </w:rPr>
        <w:t>.</w:t>
      </w:r>
    </w:p>
    <w:p w14:paraId="1EBC6D05" w14:textId="77777777" w:rsidR="00DC1A86" w:rsidRPr="00C349AC" w:rsidRDefault="00DC1A86" w:rsidP="00556E9F">
      <w:pPr>
        <w:pStyle w:val="Prrafodelista"/>
        <w:spacing w:after="0" w:line="360" w:lineRule="auto"/>
        <w:ind w:left="1080"/>
        <w:jc w:val="both"/>
        <w:rPr>
          <w:rFonts w:ascii="Arial" w:hAnsi="Arial" w:cs="Arial"/>
          <w:b/>
          <w:bCs/>
          <w:color w:val="000000" w:themeColor="text1"/>
          <w:sz w:val="28"/>
          <w:szCs w:val="28"/>
          <w:highlight w:val="yellow"/>
          <w:lang w:val="es-ES_tradnl"/>
        </w:rPr>
      </w:pPr>
    </w:p>
    <w:p w14:paraId="70644019" w14:textId="6EAC6301" w:rsidR="005A53B8" w:rsidRPr="00C349AC" w:rsidRDefault="00B829C4" w:rsidP="00556E9F">
      <w:pPr>
        <w:spacing w:after="0" w:line="360" w:lineRule="auto"/>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 xml:space="preserve">En su demanda, </w:t>
      </w:r>
      <w:r w:rsidR="005A53B8" w:rsidRPr="00C349AC">
        <w:rPr>
          <w:rFonts w:ascii="Arial" w:hAnsi="Arial" w:cs="Arial"/>
          <w:color w:val="000000" w:themeColor="text1"/>
          <w:sz w:val="28"/>
          <w:szCs w:val="28"/>
          <w:lang w:val="es-ES_tradnl"/>
        </w:rPr>
        <w:t xml:space="preserve">la </w:t>
      </w:r>
      <w:r w:rsidR="00FF0104" w:rsidRPr="00C349AC">
        <w:rPr>
          <w:rFonts w:ascii="Arial" w:hAnsi="Arial" w:cs="Arial"/>
          <w:color w:val="000000" w:themeColor="text1"/>
          <w:sz w:val="28"/>
          <w:szCs w:val="28"/>
          <w:lang w:val="es-ES_tradnl"/>
        </w:rPr>
        <w:t>CDHCM</w:t>
      </w:r>
      <w:r w:rsidR="005A53B8" w:rsidRPr="00C349AC">
        <w:rPr>
          <w:rFonts w:ascii="Arial" w:hAnsi="Arial" w:cs="Arial"/>
          <w:color w:val="000000" w:themeColor="text1"/>
          <w:sz w:val="28"/>
          <w:szCs w:val="28"/>
          <w:lang w:val="es-ES_tradnl"/>
        </w:rPr>
        <w:t xml:space="preserve"> argumentó que el artículo 8 de la Ley impugnada restringe el ejercicio de derechos y limita la obligación del Gobierno de la Ciudad de México de garantizar los derechos humanos. Lo anterior, pues, por una parte, limita la obligación del Gobierno de la Ciudad de México a garantizar </w:t>
      </w:r>
      <w:r w:rsidR="005A53B8" w:rsidRPr="00C349AC">
        <w:rPr>
          <w:rFonts w:ascii="Arial" w:hAnsi="Arial" w:cs="Arial"/>
          <w:i/>
          <w:iCs/>
          <w:color w:val="000000" w:themeColor="text1"/>
          <w:sz w:val="28"/>
          <w:szCs w:val="28"/>
          <w:lang w:val="es-ES_tradnl"/>
        </w:rPr>
        <w:t>sólo algunos derechos</w:t>
      </w:r>
      <w:r w:rsidR="005A53B8" w:rsidRPr="00C349AC">
        <w:rPr>
          <w:rFonts w:ascii="Arial" w:hAnsi="Arial" w:cs="Arial"/>
          <w:color w:val="000000" w:themeColor="text1"/>
          <w:sz w:val="28"/>
          <w:szCs w:val="28"/>
          <w:lang w:val="es-ES_tradnl"/>
        </w:rPr>
        <w:t xml:space="preserve"> en materia de seguridad ciudadana y, por otra parte, porque únicamente garantiza los derechos listados a los </w:t>
      </w:r>
      <w:r w:rsidR="005A53B8" w:rsidRPr="00C349AC">
        <w:rPr>
          <w:rFonts w:ascii="Arial" w:hAnsi="Arial" w:cs="Arial"/>
          <w:i/>
          <w:iCs/>
          <w:color w:val="000000" w:themeColor="text1"/>
          <w:sz w:val="28"/>
          <w:szCs w:val="28"/>
          <w:lang w:val="es-ES_tradnl"/>
        </w:rPr>
        <w:t>habitantes</w:t>
      </w:r>
      <w:r w:rsidR="005A53B8" w:rsidRPr="00C349AC">
        <w:rPr>
          <w:rFonts w:ascii="Arial" w:hAnsi="Arial" w:cs="Arial"/>
          <w:color w:val="000000" w:themeColor="text1"/>
          <w:sz w:val="28"/>
          <w:szCs w:val="28"/>
          <w:lang w:val="es-ES_tradnl"/>
        </w:rPr>
        <w:t xml:space="preserve"> de la Ciudad de México, sin contemplar a las personas que transitan en ella.</w:t>
      </w:r>
    </w:p>
    <w:p w14:paraId="20AC8BF8" w14:textId="77777777" w:rsidR="005A53B8" w:rsidRPr="00C349AC" w:rsidRDefault="005A53B8" w:rsidP="00556E9F">
      <w:pPr>
        <w:spacing w:after="0" w:line="360" w:lineRule="auto"/>
        <w:jc w:val="both"/>
        <w:rPr>
          <w:rFonts w:ascii="Arial" w:hAnsi="Arial" w:cs="Arial"/>
          <w:color w:val="000000" w:themeColor="text1"/>
          <w:sz w:val="28"/>
          <w:szCs w:val="28"/>
          <w:lang w:val="es-ES_tradnl"/>
        </w:rPr>
      </w:pPr>
    </w:p>
    <w:p w14:paraId="7931A114" w14:textId="72739EE9" w:rsidR="00DC1A86" w:rsidRPr="00C349AC" w:rsidRDefault="00B829C4" w:rsidP="00B829C4">
      <w:pPr>
        <w:spacing w:after="0" w:line="360" w:lineRule="auto"/>
        <w:ind w:firstLine="708"/>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El</w:t>
      </w:r>
      <w:r w:rsidR="00DC1A86" w:rsidRPr="00C349AC">
        <w:rPr>
          <w:rFonts w:ascii="Arial" w:hAnsi="Arial" w:cs="Arial"/>
          <w:color w:val="000000" w:themeColor="text1"/>
          <w:sz w:val="28"/>
          <w:szCs w:val="28"/>
          <w:lang w:val="es-ES_tradnl"/>
        </w:rPr>
        <w:t xml:space="preserve"> Tribunal Pleno </w:t>
      </w:r>
      <w:r w:rsidRPr="00C349AC">
        <w:rPr>
          <w:rFonts w:ascii="Arial" w:hAnsi="Arial" w:cs="Arial"/>
          <w:color w:val="000000" w:themeColor="text1"/>
          <w:sz w:val="28"/>
          <w:szCs w:val="28"/>
          <w:lang w:val="es-ES_tradnl"/>
        </w:rPr>
        <w:t xml:space="preserve">calificó de infundado el argumento y </w:t>
      </w:r>
      <w:r w:rsidR="00DC1A86" w:rsidRPr="00C349AC">
        <w:rPr>
          <w:rFonts w:ascii="Arial" w:hAnsi="Arial" w:cs="Arial"/>
          <w:color w:val="000000" w:themeColor="text1"/>
          <w:sz w:val="28"/>
          <w:szCs w:val="28"/>
          <w:lang w:val="es-ES_tradnl"/>
        </w:rPr>
        <w:t>reconoció la validez del artículo 8</w:t>
      </w:r>
      <w:r w:rsidR="00DC1A86" w:rsidRPr="00C349AC">
        <w:rPr>
          <w:rStyle w:val="Refdenotaalpie"/>
          <w:rFonts w:ascii="Arial" w:hAnsi="Arial" w:cs="Arial"/>
          <w:color w:val="000000" w:themeColor="text1"/>
          <w:sz w:val="28"/>
          <w:szCs w:val="28"/>
          <w:lang w:val="es-ES_tradnl"/>
        </w:rPr>
        <w:footnoteReference w:id="31"/>
      </w:r>
      <w:r w:rsidRPr="00C349AC">
        <w:rPr>
          <w:rFonts w:ascii="Arial" w:hAnsi="Arial" w:cs="Arial"/>
          <w:color w:val="000000" w:themeColor="text1"/>
          <w:sz w:val="28"/>
          <w:szCs w:val="28"/>
          <w:lang w:val="es-ES_tradnl"/>
        </w:rPr>
        <w:t xml:space="preserve">. Para justificar lo anterior, la </w:t>
      </w:r>
      <w:r w:rsidR="00DC1A86" w:rsidRPr="00C349AC">
        <w:rPr>
          <w:rFonts w:ascii="Arial" w:hAnsi="Arial" w:cs="Arial"/>
          <w:color w:val="000000" w:themeColor="text1"/>
          <w:sz w:val="28"/>
          <w:szCs w:val="28"/>
          <w:lang w:val="es-ES_tradnl"/>
        </w:rPr>
        <w:t xml:space="preserve">sentencia retoma las </w:t>
      </w:r>
      <w:r w:rsidR="00DC1A86" w:rsidRPr="00C349AC">
        <w:rPr>
          <w:rFonts w:ascii="Arial" w:hAnsi="Arial" w:cs="Arial"/>
          <w:color w:val="000000" w:themeColor="text1"/>
          <w:sz w:val="28"/>
          <w:szCs w:val="28"/>
          <w:lang w:val="es-ES_tradnl"/>
        </w:rPr>
        <w:lastRenderedPageBreak/>
        <w:t xml:space="preserve">consideraciones adoptadas por esta Suprema Corte al resolver la acción de inconstitucionalidad 15/2017 y sus acumuladas 16/2017, 18/2017 y 19/2017 en donde sostuvo que la Ciudad de México puede incluir no sólo los derechos humanos reconocidos en la Constitución General y los instrumentos internacionales, sino </w:t>
      </w:r>
      <w:r w:rsidR="00DC1A86" w:rsidRPr="00C349AC">
        <w:rPr>
          <w:rFonts w:ascii="Arial" w:hAnsi="Arial" w:cs="Arial"/>
          <w:i/>
          <w:iCs/>
          <w:color w:val="000000" w:themeColor="text1"/>
          <w:sz w:val="28"/>
          <w:szCs w:val="28"/>
          <w:lang w:val="es-ES_tradnl"/>
        </w:rPr>
        <w:t>añadir más.</w:t>
      </w:r>
      <w:r w:rsidR="00DC1A86" w:rsidRPr="00C349AC">
        <w:rPr>
          <w:rFonts w:ascii="Arial" w:hAnsi="Arial" w:cs="Arial"/>
          <w:color w:val="000000" w:themeColor="text1"/>
          <w:sz w:val="28"/>
          <w:szCs w:val="28"/>
          <w:lang w:val="es-ES_tradnl"/>
        </w:rPr>
        <w:t xml:space="preserve"> </w:t>
      </w:r>
    </w:p>
    <w:p w14:paraId="7FFD6A42" w14:textId="77777777" w:rsidR="00DC1A86" w:rsidRPr="00C349AC" w:rsidRDefault="00DC1A86" w:rsidP="00556E9F">
      <w:pPr>
        <w:spacing w:after="0" w:line="360" w:lineRule="auto"/>
        <w:jc w:val="both"/>
        <w:rPr>
          <w:rFonts w:ascii="Arial" w:hAnsi="Arial" w:cs="Arial"/>
          <w:color w:val="000000" w:themeColor="text1"/>
          <w:sz w:val="28"/>
          <w:szCs w:val="28"/>
          <w:highlight w:val="yellow"/>
          <w:lang w:val="es-ES_tradnl"/>
        </w:rPr>
      </w:pPr>
    </w:p>
    <w:p w14:paraId="37E258B1" w14:textId="75EF5F40" w:rsidR="00DC1A86" w:rsidRPr="00C349AC" w:rsidRDefault="00DC1A86" w:rsidP="00556E9F">
      <w:pPr>
        <w:spacing w:after="0" w:line="360" w:lineRule="auto"/>
        <w:jc w:val="both"/>
        <w:rPr>
          <w:rFonts w:ascii="Arial" w:hAnsi="Arial" w:cs="Arial"/>
          <w:i/>
          <w:iCs/>
          <w:color w:val="000000" w:themeColor="text1"/>
          <w:sz w:val="28"/>
          <w:szCs w:val="28"/>
          <w:lang w:val="es-ES_tradnl"/>
        </w:rPr>
      </w:pPr>
      <w:r w:rsidRPr="00C349AC">
        <w:rPr>
          <w:rFonts w:ascii="Arial" w:hAnsi="Arial" w:cs="Arial"/>
          <w:color w:val="000000" w:themeColor="text1"/>
          <w:sz w:val="28"/>
          <w:szCs w:val="28"/>
          <w:lang w:val="es-ES_tradnl"/>
        </w:rPr>
        <w:tab/>
      </w:r>
      <w:r w:rsidR="004C4E71" w:rsidRPr="00C349AC">
        <w:rPr>
          <w:rFonts w:ascii="Arial" w:hAnsi="Arial" w:cs="Arial"/>
          <w:color w:val="000000" w:themeColor="text1"/>
          <w:sz w:val="28"/>
          <w:szCs w:val="28"/>
          <w:lang w:val="es-ES_tradnl"/>
        </w:rPr>
        <w:t>En esa línea</w:t>
      </w:r>
      <w:r w:rsidRPr="00C349AC">
        <w:rPr>
          <w:rFonts w:ascii="Arial" w:hAnsi="Arial" w:cs="Arial"/>
          <w:color w:val="000000" w:themeColor="text1"/>
          <w:sz w:val="28"/>
          <w:szCs w:val="28"/>
          <w:lang w:val="es-ES_tradnl"/>
        </w:rPr>
        <w:t xml:space="preserve">, la sentencia señala que los derechos enumerados en el artículo 8 </w:t>
      </w:r>
      <w:r w:rsidR="004C4E71" w:rsidRPr="00C349AC">
        <w:rPr>
          <w:rFonts w:ascii="Arial" w:hAnsi="Arial" w:cs="Arial"/>
          <w:color w:val="000000" w:themeColor="text1"/>
          <w:sz w:val="28"/>
          <w:szCs w:val="28"/>
          <w:lang w:val="es-ES_tradnl"/>
        </w:rPr>
        <w:t xml:space="preserve">impugnado </w:t>
      </w:r>
      <w:r w:rsidR="00B829C4" w:rsidRPr="00C349AC">
        <w:rPr>
          <w:rFonts w:ascii="Arial" w:hAnsi="Arial" w:cs="Arial"/>
          <w:color w:val="000000" w:themeColor="text1"/>
          <w:sz w:val="28"/>
          <w:szCs w:val="28"/>
          <w:lang w:val="es-ES_tradnl"/>
        </w:rPr>
        <w:t xml:space="preserve">únicamente </w:t>
      </w:r>
      <w:r w:rsidRPr="00C349AC">
        <w:rPr>
          <w:rFonts w:ascii="Arial" w:hAnsi="Arial" w:cs="Arial"/>
          <w:color w:val="000000" w:themeColor="text1"/>
          <w:sz w:val="28"/>
          <w:szCs w:val="28"/>
          <w:lang w:val="es-ES_tradnl"/>
        </w:rPr>
        <w:t xml:space="preserve">implican una </w:t>
      </w:r>
      <w:r w:rsidRPr="00C349AC">
        <w:rPr>
          <w:rFonts w:ascii="Arial" w:hAnsi="Arial" w:cs="Arial"/>
          <w:i/>
          <w:iCs/>
          <w:color w:val="000000" w:themeColor="text1"/>
          <w:sz w:val="28"/>
          <w:szCs w:val="28"/>
          <w:lang w:val="es-ES_tradnl"/>
        </w:rPr>
        <w:t>ampliación</w:t>
      </w:r>
      <w:r w:rsidRPr="00C349AC">
        <w:rPr>
          <w:rFonts w:ascii="Arial" w:hAnsi="Arial" w:cs="Arial"/>
          <w:color w:val="000000" w:themeColor="text1"/>
          <w:sz w:val="28"/>
          <w:szCs w:val="28"/>
          <w:lang w:val="es-ES_tradnl"/>
        </w:rPr>
        <w:t xml:space="preserve"> o </w:t>
      </w:r>
      <w:r w:rsidRPr="00C349AC">
        <w:rPr>
          <w:rFonts w:ascii="Arial" w:hAnsi="Arial" w:cs="Arial"/>
          <w:i/>
          <w:iCs/>
          <w:color w:val="000000" w:themeColor="text1"/>
          <w:sz w:val="28"/>
          <w:szCs w:val="28"/>
          <w:lang w:val="es-ES_tradnl"/>
        </w:rPr>
        <w:t>desarrollo</w:t>
      </w:r>
      <w:r w:rsidRPr="00C349AC">
        <w:rPr>
          <w:rFonts w:ascii="Arial" w:hAnsi="Arial" w:cs="Arial"/>
          <w:color w:val="000000" w:themeColor="text1"/>
          <w:sz w:val="28"/>
          <w:szCs w:val="28"/>
          <w:lang w:val="es-ES_tradnl"/>
        </w:rPr>
        <w:t xml:space="preserve"> por parte del Congreso de la Ciudad de México respecto de derechos ya previstos en la </w:t>
      </w:r>
      <w:r w:rsidR="00EC1B61">
        <w:rPr>
          <w:rFonts w:ascii="Arial" w:hAnsi="Arial" w:cs="Arial"/>
          <w:color w:val="000000" w:themeColor="text1"/>
          <w:sz w:val="28"/>
          <w:szCs w:val="28"/>
          <w:lang w:val="es-ES_tradnl"/>
        </w:rPr>
        <w:t>C</w:t>
      </w:r>
      <w:r w:rsidRPr="00C349AC">
        <w:rPr>
          <w:rFonts w:ascii="Arial" w:hAnsi="Arial" w:cs="Arial"/>
          <w:color w:val="000000" w:themeColor="text1"/>
          <w:sz w:val="28"/>
          <w:szCs w:val="28"/>
          <w:lang w:val="es-ES_tradnl"/>
        </w:rPr>
        <w:t xml:space="preserve">onstitución </w:t>
      </w:r>
      <w:r w:rsidR="00EC1B61">
        <w:rPr>
          <w:rFonts w:ascii="Arial" w:hAnsi="Arial" w:cs="Arial"/>
          <w:color w:val="000000" w:themeColor="text1"/>
          <w:sz w:val="28"/>
          <w:szCs w:val="28"/>
          <w:lang w:val="es-ES_tradnl"/>
        </w:rPr>
        <w:t xml:space="preserve">General </w:t>
      </w:r>
      <w:r w:rsidRPr="00C349AC">
        <w:rPr>
          <w:rFonts w:ascii="Arial" w:hAnsi="Arial" w:cs="Arial"/>
          <w:color w:val="000000" w:themeColor="text1"/>
          <w:sz w:val="28"/>
          <w:szCs w:val="28"/>
          <w:lang w:val="es-ES_tradnl"/>
        </w:rPr>
        <w:t>o en diversos instrumentos internacionales.</w:t>
      </w:r>
      <w:r w:rsidR="00B829C4" w:rsidRPr="00C349AC">
        <w:rPr>
          <w:rFonts w:ascii="Arial" w:hAnsi="Arial" w:cs="Arial"/>
          <w:color w:val="000000" w:themeColor="text1"/>
          <w:sz w:val="28"/>
          <w:szCs w:val="28"/>
          <w:lang w:val="es-ES_tradnl"/>
        </w:rPr>
        <w:t xml:space="preserve"> Así</w:t>
      </w:r>
      <w:r w:rsidRPr="00C349AC">
        <w:rPr>
          <w:rFonts w:ascii="Arial" w:hAnsi="Arial" w:cs="Arial"/>
          <w:color w:val="000000" w:themeColor="text1"/>
          <w:sz w:val="28"/>
          <w:szCs w:val="28"/>
          <w:lang w:val="es-ES_tradnl"/>
        </w:rPr>
        <w:t xml:space="preserve">, estima que no se trata de una alteración del parámetro de regularidad constitucional, sino de una materialización del </w:t>
      </w:r>
      <w:r w:rsidRPr="00C349AC">
        <w:rPr>
          <w:rFonts w:ascii="Arial" w:hAnsi="Arial" w:cs="Arial"/>
          <w:i/>
          <w:iCs/>
          <w:color w:val="000000" w:themeColor="text1"/>
          <w:sz w:val="28"/>
          <w:szCs w:val="28"/>
          <w:lang w:val="es-ES_tradnl"/>
        </w:rPr>
        <w:t>principio de progresividad.</w:t>
      </w:r>
      <w:r w:rsidR="00B829C4" w:rsidRPr="00C349AC">
        <w:rPr>
          <w:rFonts w:ascii="Arial" w:hAnsi="Arial" w:cs="Arial"/>
          <w:i/>
          <w:iCs/>
          <w:color w:val="000000" w:themeColor="text1"/>
          <w:sz w:val="28"/>
          <w:szCs w:val="28"/>
          <w:lang w:val="es-ES_tradnl"/>
        </w:rPr>
        <w:t xml:space="preserve"> </w:t>
      </w:r>
    </w:p>
    <w:p w14:paraId="63F4684D" w14:textId="3252509A" w:rsidR="00B829C4" w:rsidRPr="00C349AC" w:rsidRDefault="00B829C4" w:rsidP="00556E9F">
      <w:pPr>
        <w:spacing w:after="0" w:line="360" w:lineRule="auto"/>
        <w:jc w:val="both"/>
        <w:rPr>
          <w:rFonts w:ascii="Arial" w:hAnsi="Arial" w:cs="Arial"/>
          <w:i/>
          <w:iCs/>
          <w:color w:val="000000" w:themeColor="text1"/>
          <w:sz w:val="28"/>
          <w:szCs w:val="28"/>
          <w:lang w:val="es-ES_tradnl"/>
        </w:rPr>
      </w:pPr>
    </w:p>
    <w:p w14:paraId="1AEAFCBD" w14:textId="08598654" w:rsidR="00B829C4" w:rsidRPr="00C349AC" w:rsidRDefault="00B829C4" w:rsidP="00B829C4">
      <w:pPr>
        <w:spacing w:after="0" w:line="360" w:lineRule="auto"/>
        <w:ind w:firstLine="708"/>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 xml:space="preserve">Finalmente, la mayoría </w:t>
      </w:r>
      <w:r w:rsidR="004C4E71" w:rsidRPr="00C349AC">
        <w:rPr>
          <w:rFonts w:ascii="Arial" w:hAnsi="Arial" w:cs="Arial"/>
          <w:color w:val="000000" w:themeColor="text1"/>
          <w:sz w:val="28"/>
          <w:szCs w:val="28"/>
          <w:lang w:val="es-ES_tradnl"/>
        </w:rPr>
        <w:t xml:space="preserve">consideró </w:t>
      </w:r>
      <w:r w:rsidRPr="00C349AC">
        <w:rPr>
          <w:rFonts w:ascii="Arial" w:hAnsi="Arial" w:cs="Arial"/>
          <w:color w:val="000000" w:themeColor="text1"/>
          <w:sz w:val="28"/>
          <w:szCs w:val="28"/>
          <w:lang w:val="es-ES_tradnl"/>
        </w:rPr>
        <w:t>que el mismo razonamiento deb</w:t>
      </w:r>
      <w:r w:rsidR="004C4E71" w:rsidRPr="00C349AC">
        <w:rPr>
          <w:rFonts w:ascii="Arial" w:hAnsi="Arial" w:cs="Arial"/>
          <w:color w:val="000000" w:themeColor="text1"/>
          <w:sz w:val="28"/>
          <w:szCs w:val="28"/>
          <w:lang w:val="es-ES_tradnl"/>
        </w:rPr>
        <w:t>ía</w:t>
      </w:r>
      <w:r w:rsidRPr="00C349AC">
        <w:rPr>
          <w:rFonts w:ascii="Arial" w:hAnsi="Arial" w:cs="Arial"/>
          <w:color w:val="000000" w:themeColor="text1"/>
          <w:sz w:val="28"/>
          <w:szCs w:val="28"/>
          <w:lang w:val="es-ES_tradnl"/>
        </w:rPr>
        <w:t xml:space="preserve"> regir en cuanto al argumento de que el Congreso de la Unión excluyó del parámetro de regularidad constitucional a los transeúntes, ya que únicamente hace referencia a los habitantes de la Ciudad de México. Ello, toda vez que la enunciación y modulación contenida en la norma impugnada, en nada afecta el parámetro de regularidad constitucional prevista en el artículo 1° de la Constitución Federal. </w:t>
      </w:r>
    </w:p>
    <w:p w14:paraId="49F52FE4" w14:textId="77777777" w:rsidR="00DC1A86" w:rsidRPr="00C349AC" w:rsidRDefault="00DC1A86" w:rsidP="00556E9F">
      <w:pPr>
        <w:spacing w:after="0" w:line="360" w:lineRule="auto"/>
        <w:jc w:val="both"/>
        <w:rPr>
          <w:rFonts w:ascii="Arial" w:hAnsi="Arial" w:cs="Arial"/>
          <w:color w:val="000000" w:themeColor="text1"/>
          <w:sz w:val="28"/>
          <w:szCs w:val="28"/>
          <w:highlight w:val="yellow"/>
          <w:lang w:val="es-ES_tradnl"/>
        </w:rPr>
      </w:pPr>
    </w:p>
    <w:p w14:paraId="5EC256DC" w14:textId="3E0F0B04" w:rsidR="00DC1A86" w:rsidRPr="00C349AC" w:rsidRDefault="00B829C4" w:rsidP="00556E9F">
      <w:pPr>
        <w:spacing w:after="0" w:line="360" w:lineRule="auto"/>
        <w:ind w:firstLine="708"/>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lastRenderedPageBreak/>
        <w:t>C</w:t>
      </w:r>
      <w:r w:rsidR="00DC1A86" w:rsidRPr="00C349AC">
        <w:rPr>
          <w:rFonts w:ascii="Arial" w:hAnsi="Arial" w:cs="Arial"/>
          <w:color w:val="000000" w:themeColor="text1"/>
          <w:sz w:val="28"/>
          <w:szCs w:val="28"/>
          <w:lang w:val="es-ES_tradnl"/>
        </w:rPr>
        <w:t xml:space="preserve">oincido con el reconocimiento de validez del artículo impugnado. Sin embargo, considero que </w:t>
      </w:r>
      <w:r w:rsidR="004C4E71" w:rsidRPr="00C349AC">
        <w:rPr>
          <w:rFonts w:ascii="Arial" w:hAnsi="Arial" w:cs="Arial"/>
          <w:color w:val="000000" w:themeColor="text1"/>
          <w:sz w:val="28"/>
          <w:szCs w:val="28"/>
          <w:lang w:val="es-ES_tradnl"/>
        </w:rPr>
        <w:t xml:space="preserve">para sustentar dicha conclusión </w:t>
      </w:r>
      <w:r w:rsidR="000E48E7" w:rsidRPr="00C349AC">
        <w:rPr>
          <w:rFonts w:ascii="Arial" w:hAnsi="Arial" w:cs="Arial"/>
          <w:color w:val="000000" w:themeColor="text1"/>
          <w:sz w:val="28"/>
          <w:szCs w:val="28"/>
          <w:lang w:val="es-ES_tradnl"/>
        </w:rPr>
        <w:t xml:space="preserve">bastaba con señalar que </w:t>
      </w:r>
      <w:r w:rsidR="00DC1A86" w:rsidRPr="00C349AC">
        <w:rPr>
          <w:rFonts w:ascii="Arial" w:hAnsi="Arial" w:cs="Arial"/>
          <w:color w:val="000000" w:themeColor="text1"/>
          <w:sz w:val="28"/>
          <w:szCs w:val="28"/>
          <w:lang w:val="es-ES_tradnl"/>
        </w:rPr>
        <w:t>la norma</w:t>
      </w:r>
      <w:r w:rsidR="000E48E7" w:rsidRPr="00C349AC">
        <w:rPr>
          <w:rFonts w:ascii="Arial" w:hAnsi="Arial" w:cs="Arial"/>
          <w:color w:val="000000" w:themeColor="text1"/>
          <w:sz w:val="28"/>
          <w:szCs w:val="28"/>
          <w:lang w:val="es-ES_tradnl"/>
        </w:rPr>
        <w:t xml:space="preserve"> impugnada</w:t>
      </w:r>
      <w:r w:rsidR="00DC1A86" w:rsidRPr="00C349AC">
        <w:rPr>
          <w:rFonts w:ascii="Arial" w:hAnsi="Arial" w:cs="Arial"/>
          <w:color w:val="000000" w:themeColor="text1"/>
          <w:sz w:val="28"/>
          <w:szCs w:val="28"/>
          <w:lang w:val="es-ES_tradnl"/>
        </w:rPr>
        <w:t xml:space="preserve"> debe interpretarse en el sentido de que únicamente tiene por finalidad “enumerar”</w:t>
      </w:r>
      <w:r w:rsidR="00466347" w:rsidRPr="00C349AC">
        <w:rPr>
          <w:rFonts w:ascii="Arial" w:hAnsi="Arial" w:cs="Arial"/>
          <w:color w:val="000000" w:themeColor="text1"/>
          <w:sz w:val="28"/>
          <w:szCs w:val="28"/>
          <w:lang w:val="es-ES_tradnl"/>
        </w:rPr>
        <w:t xml:space="preserve"> ―</w:t>
      </w:r>
      <w:r w:rsidR="00DC1A86" w:rsidRPr="00C349AC">
        <w:rPr>
          <w:rFonts w:ascii="Arial" w:hAnsi="Arial" w:cs="Arial"/>
          <w:color w:val="000000" w:themeColor="text1"/>
          <w:sz w:val="28"/>
          <w:szCs w:val="28"/>
          <w:lang w:val="es-ES_tradnl"/>
        </w:rPr>
        <w:t>de forma enunciativa y no limitativa</w:t>
      </w:r>
      <w:r w:rsidR="00466347" w:rsidRPr="00C349AC">
        <w:rPr>
          <w:rFonts w:ascii="Arial" w:hAnsi="Arial" w:cs="Arial"/>
          <w:color w:val="000000" w:themeColor="text1"/>
          <w:sz w:val="28"/>
          <w:szCs w:val="28"/>
          <w:lang w:val="es-ES_tradnl"/>
        </w:rPr>
        <w:t>―</w:t>
      </w:r>
      <w:r w:rsidR="00DC1A86" w:rsidRPr="00C349AC">
        <w:rPr>
          <w:rFonts w:ascii="Arial" w:hAnsi="Arial" w:cs="Arial"/>
          <w:color w:val="000000" w:themeColor="text1"/>
          <w:sz w:val="28"/>
          <w:szCs w:val="28"/>
          <w:lang w:val="es-ES_tradnl"/>
        </w:rPr>
        <w:t xml:space="preserve"> algunos de los derechos que las autoridades de la Ciudad de México tienen obligación de garantizar en materia de seguridad. </w:t>
      </w:r>
      <w:r w:rsidR="004C4E71" w:rsidRPr="00C349AC">
        <w:rPr>
          <w:rFonts w:ascii="Arial" w:hAnsi="Arial" w:cs="Arial"/>
          <w:bCs/>
          <w:color w:val="000000" w:themeColor="text1"/>
          <w:sz w:val="28"/>
          <w:szCs w:val="28"/>
          <w:lang w:val="es-ES_tradnl"/>
        </w:rPr>
        <w:t xml:space="preserve">Lo anterior, sin que </w:t>
      </w:r>
      <w:r w:rsidR="00DC1A86" w:rsidRPr="00C349AC">
        <w:rPr>
          <w:rFonts w:ascii="Arial" w:hAnsi="Arial" w:cs="Arial"/>
          <w:bCs/>
          <w:color w:val="000000" w:themeColor="text1"/>
          <w:sz w:val="28"/>
          <w:szCs w:val="28"/>
          <w:lang w:val="es-ES_tradnl"/>
        </w:rPr>
        <w:t xml:space="preserve">ello </w:t>
      </w:r>
      <w:r w:rsidR="00466347" w:rsidRPr="00C349AC">
        <w:rPr>
          <w:rFonts w:ascii="Arial" w:hAnsi="Arial" w:cs="Arial"/>
          <w:bCs/>
          <w:color w:val="000000" w:themeColor="text1"/>
          <w:sz w:val="28"/>
          <w:szCs w:val="28"/>
          <w:lang w:val="es-ES_tradnl"/>
        </w:rPr>
        <w:t>signifique</w:t>
      </w:r>
      <w:r w:rsidR="00DC1A86" w:rsidRPr="00C349AC">
        <w:rPr>
          <w:rFonts w:ascii="Arial" w:hAnsi="Arial" w:cs="Arial"/>
          <w:bCs/>
          <w:color w:val="000000" w:themeColor="text1"/>
          <w:sz w:val="28"/>
          <w:szCs w:val="28"/>
          <w:lang w:val="es-ES_tradnl"/>
        </w:rPr>
        <w:t xml:space="preserve"> una </w:t>
      </w:r>
      <w:r w:rsidR="00DC1A86" w:rsidRPr="00C349AC">
        <w:rPr>
          <w:rFonts w:ascii="Arial" w:hAnsi="Arial" w:cs="Arial"/>
          <w:bCs/>
          <w:i/>
          <w:iCs/>
          <w:color w:val="000000" w:themeColor="text1"/>
          <w:sz w:val="28"/>
          <w:szCs w:val="28"/>
          <w:lang w:val="es-ES_tradnl"/>
        </w:rPr>
        <w:t>limitación</w:t>
      </w:r>
      <w:r w:rsidR="00DC1A86" w:rsidRPr="00C349AC">
        <w:rPr>
          <w:rFonts w:ascii="Arial" w:hAnsi="Arial" w:cs="Arial"/>
          <w:bCs/>
          <w:color w:val="000000" w:themeColor="text1"/>
          <w:sz w:val="28"/>
          <w:szCs w:val="28"/>
          <w:lang w:val="es-ES_tradnl"/>
        </w:rPr>
        <w:t xml:space="preserve"> respecto al número de derechos garantizados ni los titulares de su protección, pues de lo contrario sí sería inconstitucional. </w:t>
      </w:r>
    </w:p>
    <w:p w14:paraId="608B2BEF" w14:textId="77777777" w:rsidR="00DC1A86" w:rsidRPr="00C349AC" w:rsidRDefault="00DC1A86" w:rsidP="00556E9F">
      <w:pPr>
        <w:spacing w:after="0" w:line="360" w:lineRule="auto"/>
        <w:jc w:val="both"/>
        <w:rPr>
          <w:rFonts w:ascii="Arial" w:hAnsi="Arial" w:cs="Arial"/>
          <w:b/>
          <w:color w:val="000000" w:themeColor="text1"/>
          <w:sz w:val="28"/>
          <w:szCs w:val="28"/>
          <w:lang w:val="es-ES_tradnl"/>
        </w:rPr>
      </w:pPr>
    </w:p>
    <w:p w14:paraId="56214CE2" w14:textId="7133BEC6" w:rsidR="00DC1A86" w:rsidRPr="00C349AC" w:rsidRDefault="00FF0104" w:rsidP="00556E9F">
      <w:pPr>
        <w:spacing w:after="0" w:line="360" w:lineRule="auto"/>
        <w:ind w:firstLine="708"/>
        <w:jc w:val="both"/>
        <w:rPr>
          <w:rFonts w:ascii="Arial" w:hAnsi="Arial" w:cs="Arial"/>
          <w:color w:val="000000" w:themeColor="text1"/>
          <w:sz w:val="28"/>
          <w:szCs w:val="28"/>
          <w:lang w:val="es-ES_tradnl"/>
        </w:rPr>
      </w:pPr>
      <w:r w:rsidRPr="00C349AC">
        <w:rPr>
          <w:rFonts w:ascii="Arial" w:hAnsi="Arial" w:cs="Arial"/>
          <w:color w:val="000000" w:themeColor="text1"/>
          <w:sz w:val="28"/>
          <w:szCs w:val="28"/>
          <w:lang w:val="es-ES_tradnl"/>
        </w:rPr>
        <w:t xml:space="preserve">En otras palabras, </w:t>
      </w:r>
      <w:r w:rsidR="0000584B" w:rsidRPr="00C349AC">
        <w:rPr>
          <w:rFonts w:ascii="Arial" w:hAnsi="Arial" w:cs="Arial"/>
          <w:color w:val="000000" w:themeColor="text1"/>
          <w:sz w:val="28"/>
          <w:szCs w:val="28"/>
          <w:lang w:val="es-ES_tradnl"/>
        </w:rPr>
        <w:t>considero que</w:t>
      </w:r>
      <w:r w:rsidRPr="00C349AC">
        <w:rPr>
          <w:rFonts w:ascii="Arial" w:hAnsi="Arial" w:cs="Arial"/>
          <w:color w:val="000000" w:themeColor="text1"/>
          <w:sz w:val="28"/>
          <w:szCs w:val="28"/>
          <w:lang w:val="es-ES_tradnl"/>
        </w:rPr>
        <w:t xml:space="preserve"> </w:t>
      </w:r>
      <w:r w:rsidR="009340D6" w:rsidRPr="00C349AC">
        <w:rPr>
          <w:rFonts w:ascii="Arial" w:hAnsi="Arial" w:cs="Arial"/>
          <w:color w:val="000000" w:themeColor="text1"/>
          <w:sz w:val="28"/>
          <w:szCs w:val="28"/>
          <w:lang w:val="es-ES_tradnl"/>
        </w:rPr>
        <w:t>para sostener la constitucionalidad del precepto era suficiente</w:t>
      </w:r>
      <w:r w:rsidR="000E48E7" w:rsidRPr="00C349AC">
        <w:rPr>
          <w:rFonts w:ascii="Arial" w:hAnsi="Arial" w:cs="Arial"/>
          <w:color w:val="000000" w:themeColor="text1"/>
          <w:sz w:val="28"/>
          <w:szCs w:val="28"/>
          <w:lang w:val="es-ES_tradnl"/>
        </w:rPr>
        <w:t xml:space="preserve"> con precisar que </w:t>
      </w:r>
      <w:r w:rsidR="009340D6" w:rsidRPr="00C349AC">
        <w:rPr>
          <w:rFonts w:ascii="Arial" w:hAnsi="Arial" w:cs="Arial"/>
          <w:color w:val="000000" w:themeColor="text1"/>
          <w:sz w:val="28"/>
          <w:szCs w:val="28"/>
          <w:lang w:val="es-ES_tradnl"/>
        </w:rPr>
        <w:t>el artículo 8 impugnado</w:t>
      </w:r>
      <w:r w:rsidR="00DC1A86" w:rsidRPr="00C349AC">
        <w:rPr>
          <w:rFonts w:ascii="Arial" w:hAnsi="Arial" w:cs="Arial"/>
          <w:color w:val="000000" w:themeColor="text1"/>
          <w:sz w:val="28"/>
          <w:szCs w:val="28"/>
          <w:lang w:val="es-ES_tradnl"/>
        </w:rPr>
        <w:t xml:space="preserve"> es constitucional</w:t>
      </w:r>
      <w:r w:rsidR="004C4E71" w:rsidRPr="00C349AC">
        <w:rPr>
          <w:rFonts w:ascii="Arial" w:hAnsi="Arial" w:cs="Arial"/>
          <w:color w:val="000000" w:themeColor="text1"/>
          <w:sz w:val="28"/>
          <w:szCs w:val="28"/>
          <w:lang w:val="es-ES_tradnl"/>
        </w:rPr>
        <w:t xml:space="preserve"> si, y sólo sí, se </w:t>
      </w:r>
      <w:r w:rsidR="004C4E71" w:rsidRPr="00C349AC">
        <w:rPr>
          <w:rFonts w:ascii="Arial" w:hAnsi="Arial" w:cs="Arial"/>
          <w:i/>
          <w:iCs/>
          <w:color w:val="000000" w:themeColor="text1"/>
          <w:sz w:val="28"/>
          <w:szCs w:val="28"/>
          <w:lang w:val="es-ES_tradnl"/>
        </w:rPr>
        <w:t>interpreta conforme</w:t>
      </w:r>
      <w:r w:rsidR="004C4E71" w:rsidRPr="00C349AC">
        <w:rPr>
          <w:rFonts w:ascii="Arial" w:hAnsi="Arial" w:cs="Arial"/>
          <w:color w:val="000000" w:themeColor="text1"/>
          <w:sz w:val="28"/>
          <w:szCs w:val="28"/>
          <w:lang w:val="es-ES_tradnl"/>
        </w:rPr>
        <w:t xml:space="preserve"> al artículo 1° de la Constitución General</w:t>
      </w:r>
      <w:r w:rsidR="009340D6" w:rsidRPr="00C349AC">
        <w:rPr>
          <w:rFonts w:ascii="Arial" w:hAnsi="Arial" w:cs="Arial"/>
          <w:color w:val="000000" w:themeColor="text1"/>
          <w:sz w:val="28"/>
          <w:szCs w:val="28"/>
          <w:lang w:val="es-ES_tradnl"/>
        </w:rPr>
        <w:t>; e</w:t>
      </w:r>
      <w:r w:rsidR="004C4E71" w:rsidRPr="00C349AC">
        <w:rPr>
          <w:rFonts w:ascii="Arial" w:hAnsi="Arial" w:cs="Arial"/>
          <w:color w:val="000000" w:themeColor="text1"/>
          <w:sz w:val="28"/>
          <w:szCs w:val="28"/>
          <w:lang w:val="es-ES_tradnl"/>
        </w:rPr>
        <w:t xml:space="preserve">sto es, </w:t>
      </w:r>
      <w:r w:rsidR="00DC1A86" w:rsidRPr="00C349AC">
        <w:rPr>
          <w:rFonts w:ascii="Arial" w:hAnsi="Arial" w:cs="Arial"/>
          <w:color w:val="000000" w:themeColor="text1"/>
          <w:sz w:val="28"/>
          <w:szCs w:val="28"/>
          <w:lang w:val="es-ES_tradnl"/>
        </w:rPr>
        <w:t>en el sentido de que</w:t>
      </w:r>
      <w:r w:rsidR="009340D6" w:rsidRPr="00C349AC">
        <w:rPr>
          <w:rFonts w:ascii="Arial" w:hAnsi="Arial" w:cs="Arial"/>
          <w:color w:val="000000" w:themeColor="text1"/>
          <w:sz w:val="28"/>
          <w:szCs w:val="28"/>
          <w:lang w:val="es-ES_tradnl"/>
        </w:rPr>
        <w:t xml:space="preserve"> el mismo</w:t>
      </w:r>
      <w:r w:rsidR="00DC1A86" w:rsidRPr="00C349AC">
        <w:rPr>
          <w:rFonts w:ascii="Arial" w:hAnsi="Arial" w:cs="Arial"/>
          <w:color w:val="000000" w:themeColor="text1"/>
          <w:sz w:val="28"/>
          <w:szCs w:val="28"/>
          <w:lang w:val="es-ES_tradnl"/>
        </w:rPr>
        <w:t xml:space="preserve"> únicamente contiene una “enunciación” de derechos que las autoridades de la Ciudad de México deben garantizar en materia de seguridad, pero que: 1) de ninguna manera limita el número de derechos que las autoridades de la Ciudad de México deben garantizar en materia de seguridad, pues conforme al artículo 1° de la Constitución General están obligados a respetar y garantizar todos los derechos previstos en la Constitución y los tratados internacionales; y 2) tampoco limita su protección a los habitantes de la Ciudad de México, sino que abarca también a las personas que transitan por su territorio. </w:t>
      </w:r>
    </w:p>
    <w:p w14:paraId="568F6ADE" w14:textId="77777777" w:rsidR="00DC1A86" w:rsidRPr="00C349AC" w:rsidRDefault="00DC1A86" w:rsidP="00556E9F">
      <w:pPr>
        <w:spacing w:after="0" w:line="360" w:lineRule="auto"/>
        <w:jc w:val="both"/>
        <w:rPr>
          <w:rFonts w:ascii="Arial" w:hAnsi="Arial" w:cs="Arial"/>
          <w:color w:val="000000" w:themeColor="text1"/>
          <w:sz w:val="28"/>
          <w:szCs w:val="28"/>
          <w:lang w:val="es-ES_tradnl"/>
        </w:rPr>
      </w:pPr>
    </w:p>
    <w:p w14:paraId="0ABBA091" w14:textId="73E8BCB6" w:rsidR="00DC1A86" w:rsidRPr="00C349AC" w:rsidRDefault="0000584B" w:rsidP="00FF0104">
      <w:pPr>
        <w:spacing w:after="0" w:line="360" w:lineRule="auto"/>
        <w:ind w:firstLine="708"/>
        <w:jc w:val="both"/>
        <w:rPr>
          <w:rFonts w:ascii="Arial" w:eastAsia="Times New Roman" w:hAnsi="Arial" w:cs="Arial"/>
          <w:color w:val="000000" w:themeColor="text1"/>
          <w:sz w:val="28"/>
          <w:szCs w:val="28"/>
          <w:highlight w:val="yellow"/>
          <w:lang w:eastAsia="es-ES"/>
        </w:rPr>
      </w:pPr>
      <w:r w:rsidRPr="00C349AC">
        <w:rPr>
          <w:rFonts w:ascii="Arial" w:hAnsi="Arial" w:cs="Arial"/>
          <w:color w:val="000000" w:themeColor="text1"/>
          <w:sz w:val="28"/>
          <w:szCs w:val="28"/>
          <w:lang w:val="es-ES_tradnl"/>
        </w:rPr>
        <w:t xml:space="preserve">En ese sentido, me parece que </w:t>
      </w:r>
      <w:r w:rsidR="009340D6" w:rsidRPr="00C349AC">
        <w:rPr>
          <w:rFonts w:ascii="Arial" w:hAnsi="Arial" w:cs="Arial"/>
          <w:color w:val="000000" w:themeColor="text1"/>
          <w:sz w:val="28"/>
          <w:szCs w:val="28"/>
          <w:lang w:val="es-ES_tradnl"/>
        </w:rPr>
        <w:t xml:space="preserve">era innecesario </w:t>
      </w:r>
      <w:r w:rsidR="000E48E7" w:rsidRPr="00C349AC">
        <w:rPr>
          <w:rFonts w:ascii="Arial" w:hAnsi="Arial" w:cs="Arial"/>
          <w:color w:val="000000" w:themeColor="text1"/>
          <w:sz w:val="28"/>
          <w:szCs w:val="28"/>
          <w:lang w:val="es-ES_tradnl"/>
        </w:rPr>
        <w:t xml:space="preserve">retomar las consideraciones de la acción de inconstitucionalidad 15/2017 y sus acumuladas, </w:t>
      </w:r>
      <w:r w:rsidR="009340D6" w:rsidRPr="00C349AC">
        <w:rPr>
          <w:rFonts w:ascii="Arial" w:hAnsi="Arial" w:cs="Arial"/>
          <w:color w:val="000000" w:themeColor="text1"/>
          <w:sz w:val="28"/>
          <w:szCs w:val="28"/>
          <w:lang w:val="es-ES_tradnl"/>
        </w:rPr>
        <w:t>o</w:t>
      </w:r>
      <w:r w:rsidR="000E48E7" w:rsidRPr="00C349AC">
        <w:rPr>
          <w:rFonts w:ascii="Arial" w:hAnsi="Arial" w:cs="Arial"/>
          <w:color w:val="000000" w:themeColor="text1"/>
          <w:sz w:val="28"/>
          <w:szCs w:val="28"/>
          <w:lang w:val="es-ES_tradnl"/>
        </w:rPr>
        <w:t xml:space="preserve"> </w:t>
      </w:r>
      <w:r w:rsidR="00DC1A86" w:rsidRPr="00C349AC">
        <w:rPr>
          <w:rFonts w:ascii="Arial" w:hAnsi="Arial" w:cs="Arial"/>
          <w:color w:val="000000" w:themeColor="text1"/>
          <w:sz w:val="28"/>
          <w:szCs w:val="28"/>
          <w:lang w:val="es-ES_tradnl"/>
        </w:rPr>
        <w:t>hacer consideraciones adicionales en torno a la facultad de l</w:t>
      </w:r>
      <w:r w:rsidR="00FF0104" w:rsidRPr="00C349AC">
        <w:rPr>
          <w:rFonts w:ascii="Arial" w:hAnsi="Arial" w:cs="Arial"/>
          <w:color w:val="000000" w:themeColor="text1"/>
          <w:sz w:val="28"/>
          <w:szCs w:val="28"/>
          <w:lang w:val="es-ES_tradnl"/>
        </w:rPr>
        <w:t>as entidades federativas</w:t>
      </w:r>
      <w:r w:rsidR="00DC1A86" w:rsidRPr="00C349AC">
        <w:rPr>
          <w:rFonts w:ascii="Arial" w:hAnsi="Arial" w:cs="Arial"/>
          <w:color w:val="000000" w:themeColor="text1"/>
          <w:sz w:val="28"/>
          <w:szCs w:val="28"/>
          <w:lang w:val="es-ES_tradnl"/>
        </w:rPr>
        <w:t xml:space="preserve"> de ampliar, desarrollar o crear derechos humanos en sus ordenamientos locales. </w:t>
      </w:r>
      <w:r w:rsidR="009340D6" w:rsidRPr="00C349AC">
        <w:rPr>
          <w:rFonts w:ascii="Arial" w:hAnsi="Arial" w:cs="Arial"/>
          <w:color w:val="000000" w:themeColor="text1"/>
          <w:sz w:val="28"/>
          <w:szCs w:val="28"/>
          <w:lang w:val="es-ES_tradnl"/>
        </w:rPr>
        <w:t>A mi juicio, tales consideraciones no sólo eran inconducentes</w:t>
      </w:r>
      <w:r w:rsidR="0012689B" w:rsidRPr="00C349AC">
        <w:rPr>
          <w:rFonts w:ascii="Arial" w:hAnsi="Arial" w:cs="Arial"/>
          <w:color w:val="000000" w:themeColor="text1"/>
          <w:sz w:val="28"/>
          <w:szCs w:val="28"/>
          <w:lang w:val="es-ES_tradnl"/>
        </w:rPr>
        <w:t xml:space="preserve"> para resolver el asunto</w:t>
      </w:r>
      <w:r w:rsidR="009340D6" w:rsidRPr="00C349AC">
        <w:rPr>
          <w:rFonts w:ascii="Arial" w:hAnsi="Arial" w:cs="Arial"/>
          <w:color w:val="000000" w:themeColor="text1"/>
          <w:sz w:val="28"/>
          <w:szCs w:val="28"/>
          <w:lang w:val="es-ES_tradnl"/>
        </w:rPr>
        <w:t xml:space="preserve">, </w:t>
      </w:r>
      <w:r w:rsidR="000E48E7" w:rsidRPr="00C349AC">
        <w:rPr>
          <w:rFonts w:ascii="Arial" w:hAnsi="Arial" w:cs="Arial"/>
          <w:color w:val="000000" w:themeColor="text1"/>
          <w:sz w:val="28"/>
          <w:szCs w:val="28"/>
          <w:lang w:val="es-ES_tradnl"/>
        </w:rPr>
        <w:t xml:space="preserve">sino </w:t>
      </w:r>
      <w:r w:rsidR="000E48E7" w:rsidRPr="00C349AC">
        <w:rPr>
          <w:rFonts w:ascii="Arial" w:hAnsi="Arial" w:cs="Arial"/>
          <w:color w:val="000000" w:themeColor="text1"/>
          <w:sz w:val="28"/>
          <w:szCs w:val="28"/>
          <w:lang w:val="es-ES_tradnl"/>
        </w:rPr>
        <w:lastRenderedPageBreak/>
        <w:t>que</w:t>
      </w:r>
      <w:r w:rsidR="009340D6" w:rsidRPr="00C349AC">
        <w:rPr>
          <w:rFonts w:ascii="Arial" w:hAnsi="Arial" w:cs="Arial"/>
          <w:color w:val="000000" w:themeColor="text1"/>
          <w:sz w:val="28"/>
          <w:szCs w:val="28"/>
          <w:lang w:val="es-ES_tradnl"/>
        </w:rPr>
        <w:t xml:space="preserve"> además</w:t>
      </w:r>
      <w:r w:rsidR="000E48E7" w:rsidRPr="00C349AC">
        <w:rPr>
          <w:rFonts w:ascii="Arial" w:hAnsi="Arial" w:cs="Arial"/>
          <w:color w:val="000000" w:themeColor="text1"/>
          <w:sz w:val="28"/>
          <w:szCs w:val="28"/>
          <w:lang w:val="es-ES_tradnl"/>
        </w:rPr>
        <w:t xml:space="preserve"> pueden generar confusión sobre la forma en la que esta Corte entiende su propio precedente</w:t>
      </w:r>
      <w:r w:rsidR="009340D6" w:rsidRPr="00C349AC">
        <w:rPr>
          <w:rFonts w:ascii="Arial" w:hAnsi="Arial" w:cs="Arial"/>
          <w:color w:val="000000" w:themeColor="text1"/>
          <w:sz w:val="28"/>
          <w:szCs w:val="28"/>
          <w:lang w:val="es-ES_tradnl"/>
        </w:rPr>
        <w:t xml:space="preserve">, </w:t>
      </w:r>
      <w:r w:rsidR="000E48E7" w:rsidRPr="00C349AC">
        <w:rPr>
          <w:rFonts w:ascii="Arial" w:hAnsi="Arial" w:cs="Arial"/>
          <w:color w:val="000000" w:themeColor="text1"/>
          <w:sz w:val="28"/>
          <w:szCs w:val="28"/>
          <w:lang w:val="es-ES_tradnl"/>
        </w:rPr>
        <w:t>pues</w:t>
      </w:r>
      <w:r w:rsidR="009340D6" w:rsidRPr="00C349AC">
        <w:rPr>
          <w:rFonts w:ascii="Arial" w:hAnsi="Arial" w:cs="Arial"/>
          <w:color w:val="000000" w:themeColor="text1"/>
          <w:sz w:val="28"/>
          <w:szCs w:val="28"/>
          <w:lang w:val="es-ES_tradnl"/>
        </w:rPr>
        <w:t>to que</w:t>
      </w:r>
      <w:r w:rsidR="000E48E7" w:rsidRPr="00C349AC">
        <w:rPr>
          <w:rFonts w:ascii="Arial" w:hAnsi="Arial" w:cs="Arial"/>
          <w:color w:val="000000" w:themeColor="text1"/>
          <w:sz w:val="28"/>
          <w:szCs w:val="28"/>
          <w:lang w:val="es-ES_tradnl"/>
        </w:rPr>
        <w:t xml:space="preserve"> </w:t>
      </w:r>
      <w:r w:rsidR="00DC1A86" w:rsidRPr="00C349AC">
        <w:rPr>
          <w:rFonts w:ascii="Arial" w:hAnsi="Arial" w:cs="Arial"/>
          <w:color w:val="000000" w:themeColor="text1"/>
          <w:sz w:val="28"/>
          <w:szCs w:val="28"/>
          <w:lang w:val="es-ES_tradnl"/>
        </w:rPr>
        <w:t>resulta cuestionable que la norma impugnada realmente implique una “ampliación”, “matiz” o “desarrollo” de derechos humanos</w:t>
      </w:r>
      <w:r w:rsidR="000E48E7" w:rsidRPr="00C349AC">
        <w:rPr>
          <w:rFonts w:ascii="Arial" w:hAnsi="Arial" w:cs="Arial"/>
          <w:color w:val="000000" w:themeColor="text1"/>
          <w:sz w:val="28"/>
          <w:szCs w:val="28"/>
          <w:lang w:val="es-ES_tradnl"/>
        </w:rPr>
        <w:t xml:space="preserve">. Como se </w:t>
      </w:r>
      <w:r w:rsidR="0012689B" w:rsidRPr="00C349AC">
        <w:rPr>
          <w:rFonts w:ascii="Arial" w:hAnsi="Arial" w:cs="Arial"/>
          <w:color w:val="000000" w:themeColor="text1"/>
          <w:sz w:val="28"/>
          <w:szCs w:val="28"/>
          <w:lang w:val="es-ES_tradnl"/>
        </w:rPr>
        <w:t>advierte</w:t>
      </w:r>
      <w:r w:rsidR="000E48E7" w:rsidRPr="00C349AC">
        <w:rPr>
          <w:rFonts w:ascii="Arial" w:hAnsi="Arial" w:cs="Arial"/>
          <w:color w:val="000000" w:themeColor="text1"/>
          <w:sz w:val="28"/>
          <w:szCs w:val="28"/>
          <w:lang w:val="es-ES_tradnl"/>
        </w:rPr>
        <w:t xml:space="preserve"> de la simple lectura del precepto impugnado, éste </w:t>
      </w:r>
      <w:r w:rsidR="00DC1A86" w:rsidRPr="00C349AC">
        <w:rPr>
          <w:rFonts w:ascii="Arial" w:hAnsi="Arial" w:cs="Arial"/>
          <w:color w:val="000000" w:themeColor="text1"/>
          <w:sz w:val="28"/>
          <w:szCs w:val="28"/>
          <w:lang w:val="es-ES_tradnl"/>
        </w:rPr>
        <w:t xml:space="preserve">únicamente contiene un </w:t>
      </w:r>
      <w:r w:rsidR="00DC1A86" w:rsidRPr="00C349AC">
        <w:rPr>
          <w:rFonts w:ascii="Arial" w:hAnsi="Arial" w:cs="Arial"/>
          <w:i/>
          <w:iCs/>
          <w:color w:val="000000" w:themeColor="text1"/>
          <w:sz w:val="28"/>
          <w:szCs w:val="28"/>
          <w:lang w:val="es-ES_tradnl"/>
        </w:rPr>
        <w:t>listado</w:t>
      </w:r>
      <w:r w:rsidR="00DC1A86" w:rsidRPr="00C349AC">
        <w:rPr>
          <w:rFonts w:ascii="Arial" w:hAnsi="Arial" w:cs="Arial"/>
          <w:color w:val="000000" w:themeColor="text1"/>
          <w:sz w:val="28"/>
          <w:szCs w:val="28"/>
          <w:lang w:val="es-ES_tradnl"/>
        </w:rPr>
        <w:t xml:space="preserve"> de derechos, </w:t>
      </w:r>
      <w:r w:rsidR="00FF0104" w:rsidRPr="00C349AC">
        <w:rPr>
          <w:rFonts w:ascii="Arial" w:hAnsi="Arial" w:cs="Arial"/>
          <w:color w:val="000000" w:themeColor="text1"/>
          <w:sz w:val="28"/>
          <w:szCs w:val="28"/>
          <w:lang w:val="es-ES_tradnl"/>
        </w:rPr>
        <w:t>pero no les da un</w:t>
      </w:r>
      <w:r w:rsidR="00DC1A86" w:rsidRPr="00C349AC">
        <w:rPr>
          <w:rFonts w:ascii="Arial" w:hAnsi="Arial" w:cs="Arial"/>
          <w:color w:val="000000" w:themeColor="text1"/>
          <w:sz w:val="28"/>
          <w:szCs w:val="28"/>
          <w:lang w:val="es-ES_tradnl"/>
        </w:rPr>
        <w:t xml:space="preserve"> contenido específico</w:t>
      </w:r>
      <w:r w:rsidR="00FF0104" w:rsidRPr="00C349AC">
        <w:rPr>
          <w:rFonts w:ascii="Arial" w:hAnsi="Arial" w:cs="Arial"/>
          <w:color w:val="000000" w:themeColor="text1"/>
          <w:sz w:val="28"/>
          <w:szCs w:val="28"/>
          <w:lang w:val="es-ES_tradnl"/>
        </w:rPr>
        <w:t>. Además, se trata de derechos</w:t>
      </w:r>
      <w:r w:rsidR="00DC1A86" w:rsidRPr="00C349AC">
        <w:rPr>
          <w:rFonts w:ascii="Arial" w:hAnsi="Arial" w:cs="Arial"/>
          <w:color w:val="000000" w:themeColor="text1"/>
          <w:sz w:val="28"/>
          <w:szCs w:val="28"/>
          <w:lang w:val="es-ES_tradnl"/>
        </w:rPr>
        <w:t xml:space="preserve"> </w:t>
      </w:r>
      <w:r w:rsidR="00533E6D">
        <w:rPr>
          <w:rFonts w:ascii="Arial" w:hAnsi="Arial" w:cs="Arial"/>
          <w:color w:val="000000" w:themeColor="text1"/>
          <w:sz w:val="28"/>
          <w:szCs w:val="28"/>
          <w:lang w:val="es-ES_tradnl"/>
        </w:rPr>
        <w:t xml:space="preserve">que </w:t>
      </w:r>
      <w:r w:rsidR="00DC1A86" w:rsidRPr="00C349AC">
        <w:rPr>
          <w:rFonts w:ascii="Arial" w:hAnsi="Arial" w:cs="Arial"/>
          <w:color w:val="000000" w:themeColor="text1"/>
          <w:sz w:val="28"/>
          <w:szCs w:val="28"/>
          <w:lang w:val="es-ES_tradnl"/>
        </w:rPr>
        <w:t xml:space="preserve">ya están previstos expresamente en la Constitución y en los </w:t>
      </w:r>
      <w:r w:rsidR="0012689B" w:rsidRPr="00C349AC">
        <w:rPr>
          <w:rFonts w:ascii="Arial" w:hAnsi="Arial" w:cs="Arial"/>
          <w:color w:val="000000" w:themeColor="text1"/>
          <w:sz w:val="28"/>
          <w:szCs w:val="28"/>
          <w:lang w:val="es-ES_tradnl"/>
        </w:rPr>
        <w:t>t</w:t>
      </w:r>
      <w:r w:rsidR="00DC1A86" w:rsidRPr="00C349AC">
        <w:rPr>
          <w:rFonts w:ascii="Arial" w:hAnsi="Arial" w:cs="Arial"/>
          <w:color w:val="000000" w:themeColor="text1"/>
          <w:sz w:val="28"/>
          <w:szCs w:val="28"/>
          <w:lang w:val="es-ES_tradnl"/>
        </w:rPr>
        <w:t xml:space="preserve">ratados </w:t>
      </w:r>
      <w:r w:rsidR="0012689B" w:rsidRPr="00C349AC">
        <w:rPr>
          <w:rFonts w:ascii="Arial" w:hAnsi="Arial" w:cs="Arial"/>
          <w:color w:val="000000" w:themeColor="text1"/>
          <w:sz w:val="28"/>
          <w:szCs w:val="28"/>
          <w:lang w:val="es-ES_tradnl"/>
        </w:rPr>
        <w:t>i</w:t>
      </w:r>
      <w:r w:rsidR="00DC1A86" w:rsidRPr="00C349AC">
        <w:rPr>
          <w:rFonts w:ascii="Arial" w:hAnsi="Arial" w:cs="Arial"/>
          <w:color w:val="000000" w:themeColor="text1"/>
          <w:sz w:val="28"/>
          <w:szCs w:val="28"/>
          <w:lang w:val="es-ES_tradnl"/>
        </w:rPr>
        <w:t xml:space="preserve">nternacionales, o bien, </w:t>
      </w:r>
      <w:r w:rsidR="00FF0104" w:rsidRPr="00C349AC">
        <w:rPr>
          <w:rFonts w:ascii="Arial" w:hAnsi="Arial" w:cs="Arial"/>
          <w:color w:val="000000" w:themeColor="text1"/>
          <w:sz w:val="28"/>
          <w:szCs w:val="28"/>
          <w:lang w:val="es-ES_tradnl"/>
        </w:rPr>
        <w:t xml:space="preserve">que válidamente </w:t>
      </w:r>
      <w:r w:rsidR="00DC1A86" w:rsidRPr="00C349AC">
        <w:rPr>
          <w:rFonts w:ascii="Arial" w:hAnsi="Arial" w:cs="Arial"/>
          <w:color w:val="000000" w:themeColor="text1"/>
          <w:sz w:val="28"/>
          <w:szCs w:val="28"/>
          <w:lang w:val="es-ES_tradnl"/>
        </w:rPr>
        <w:t>pueden derivarse de aqu</w:t>
      </w:r>
      <w:r w:rsidR="00533E6D">
        <w:rPr>
          <w:rFonts w:ascii="Arial" w:hAnsi="Arial" w:cs="Arial"/>
          <w:color w:val="000000" w:themeColor="text1"/>
          <w:sz w:val="28"/>
          <w:szCs w:val="28"/>
          <w:lang w:val="es-ES_tradnl"/>
        </w:rPr>
        <w:t>é</w:t>
      </w:r>
      <w:r w:rsidR="00DC1A86" w:rsidRPr="00C349AC">
        <w:rPr>
          <w:rFonts w:ascii="Arial" w:hAnsi="Arial" w:cs="Arial"/>
          <w:color w:val="000000" w:themeColor="text1"/>
          <w:sz w:val="28"/>
          <w:szCs w:val="28"/>
          <w:lang w:val="es-ES_tradnl"/>
        </w:rPr>
        <w:t xml:space="preserve">llos. </w:t>
      </w:r>
    </w:p>
    <w:p w14:paraId="5B0B99FD" w14:textId="77777777" w:rsidR="00DC1A86" w:rsidRPr="00C349AC" w:rsidRDefault="00DC1A86" w:rsidP="00556E9F">
      <w:pPr>
        <w:tabs>
          <w:tab w:val="left" w:pos="8931"/>
        </w:tabs>
        <w:spacing w:after="0" w:line="360" w:lineRule="auto"/>
        <w:ind w:firstLine="708"/>
        <w:jc w:val="both"/>
        <w:rPr>
          <w:rFonts w:ascii="Arial" w:eastAsia="Times New Roman" w:hAnsi="Arial" w:cs="Arial"/>
          <w:color w:val="000000" w:themeColor="text1"/>
          <w:sz w:val="28"/>
          <w:szCs w:val="28"/>
          <w:highlight w:val="yellow"/>
          <w:lang w:eastAsia="es-ES"/>
        </w:rPr>
      </w:pPr>
    </w:p>
    <w:p w14:paraId="00A1A90B" w14:textId="77777777" w:rsidR="00991B1A" w:rsidRDefault="00991B1A" w:rsidP="00FF0104">
      <w:pPr>
        <w:tabs>
          <w:tab w:val="left" w:pos="8931"/>
        </w:tabs>
        <w:spacing w:after="0" w:line="360" w:lineRule="auto"/>
        <w:jc w:val="center"/>
        <w:rPr>
          <w:rFonts w:ascii="Arial" w:eastAsia="Times New Roman" w:hAnsi="Arial" w:cs="Arial"/>
          <w:b/>
          <w:color w:val="000000" w:themeColor="text1"/>
          <w:sz w:val="28"/>
          <w:szCs w:val="28"/>
          <w:lang w:eastAsia="es-ES"/>
        </w:rPr>
      </w:pPr>
    </w:p>
    <w:p w14:paraId="14A2E342" w14:textId="7789E84C" w:rsidR="00991B1A" w:rsidRDefault="00DC1A86" w:rsidP="00FF0104">
      <w:pPr>
        <w:tabs>
          <w:tab w:val="left" w:pos="8931"/>
        </w:tabs>
        <w:spacing w:after="0" w:line="360" w:lineRule="auto"/>
        <w:jc w:val="center"/>
        <w:rPr>
          <w:rFonts w:ascii="Arial" w:eastAsia="Times New Roman" w:hAnsi="Arial" w:cs="Arial"/>
          <w:b/>
          <w:color w:val="000000" w:themeColor="text1"/>
          <w:sz w:val="28"/>
          <w:szCs w:val="28"/>
          <w:lang w:eastAsia="es-ES"/>
        </w:rPr>
      </w:pPr>
      <w:r w:rsidRPr="00C349AC">
        <w:rPr>
          <w:rFonts w:ascii="Arial" w:eastAsia="Times New Roman" w:hAnsi="Arial" w:cs="Arial"/>
          <w:b/>
          <w:color w:val="000000" w:themeColor="text1"/>
          <w:sz w:val="28"/>
          <w:szCs w:val="28"/>
          <w:lang w:eastAsia="es-ES"/>
        </w:rPr>
        <w:t xml:space="preserve">MINISTRO PRESIDENTE </w:t>
      </w:r>
    </w:p>
    <w:p w14:paraId="0BE282C0" w14:textId="77777777" w:rsidR="00533E6D" w:rsidRDefault="00533E6D" w:rsidP="00FF0104">
      <w:pPr>
        <w:tabs>
          <w:tab w:val="left" w:pos="8931"/>
        </w:tabs>
        <w:spacing w:after="0" w:line="360" w:lineRule="auto"/>
        <w:jc w:val="center"/>
        <w:rPr>
          <w:rFonts w:ascii="Arial" w:eastAsia="Times New Roman" w:hAnsi="Arial" w:cs="Arial"/>
          <w:b/>
          <w:color w:val="000000" w:themeColor="text1"/>
          <w:sz w:val="28"/>
          <w:szCs w:val="28"/>
          <w:lang w:eastAsia="es-ES"/>
        </w:rPr>
      </w:pPr>
    </w:p>
    <w:p w14:paraId="2C64BB76" w14:textId="77777777" w:rsidR="00533E6D" w:rsidRDefault="00533E6D" w:rsidP="00FF0104">
      <w:pPr>
        <w:tabs>
          <w:tab w:val="left" w:pos="8931"/>
        </w:tabs>
        <w:spacing w:after="0" w:line="360" w:lineRule="auto"/>
        <w:jc w:val="center"/>
        <w:rPr>
          <w:rFonts w:ascii="Arial" w:eastAsia="Times New Roman" w:hAnsi="Arial" w:cs="Arial"/>
          <w:b/>
          <w:color w:val="000000" w:themeColor="text1"/>
          <w:sz w:val="28"/>
          <w:szCs w:val="28"/>
          <w:lang w:eastAsia="es-ES"/>
        </w:rPr>
      </w:pPr>
    </w:p>
    <w:p w14:paraId="39E31FF4" w14:textId="77777777" w:rsidR="00533E6D" w:rsidRDefault="00533E6D" w:rsidP="00FF0104">
      <w:pPr>
        <w:tabs>
          <w:tab w:val="left" w:pos="8931"/>
        </w:tabs>
        <w:spacing w:after="0" w:line="360" w:lineRule="auto"/>
        <w:jc w:val="center"/>
        <w:rPr>
          <w:rFonts w:ascii="Arial" w:eastAsia="Times New Roman" w:hAnsi="Arial" w:cs="Arial"/>
          <w:b/>
          <w:color w:val="000000" w:themeColor="text1"/>
          <w:sz w:val="28"/>
          <w:szCs w:val="28"/>
          <w:lang w:eastAsia="es-ES"/>
        </w:rPr>
      </w:pPr>
    </w:p>
    <w:p w14:paraId="6C6EB052" w14:textId="2F786C65" w:rsidR="00F559DD" w:rsidRPr="00C349AC" w:rsidRDefault="00DC1A86" w:rsidP="00FF0104">
      <w:pPr>
        <w:tabs>
          <w:tab w:val="left" w:pos="8931"/>
        </w:tabs>
        <w:spacing w:after="0" w:line="360" w:lineRule="auto"/>
        <w:jc w:val="center"/>
        <w:rPr>
          <w:rFonts w:ascii="Arial" w:hAnsi="Arial" w:cs="Arial"/>
          <w:color w:val="000000" w:themeColor="text1"/>
          <w:sz w:val="28"/>
          <w:szCs w:val="28"/>
        </w:rPr>
      </w:pPr>
      <w:r w:rsidRPr="00C349AC">
        <w:rPr>
          <w:rFonts w:ascii="Arial" w:eastAsia="Times New Roman" w:hAnsi="Arial" w:cs="Arial"/>
          <w:b/>
          <w:color w:val="000000" w:themeColor="text1"/>
          <w:sz w:val="28"/>
          <w:szCs w:val="28"/>
          <w:lang w:eastAsia="es-ES"/>
        </w:rPr>
        <w:t>ARTURO ZALDÍVAR LELO DE LARREA</w:t>
      </w:r>
    </w:p>
    <w:sectPr w:rsidR="00F559DD" w:rsidRPr="00C349AC" w:rsidSect="008610C0">
      <w:headerReference w:type="even" r:id="rId12"/>
      <w:headerReference w:type="default" r:id="rId13"/>
      <w:footerReference w:type="even" r:id="rId14"/>
      <w:footerReference w:type="default" r:id="rId15"/>
      <w:headerReference w:type="first" r:id="rId16"/>
      <w:pgSz w:w="12242" w:h="19442" w:code="133"/>
      <w:pgMar w:top="2835" w:right="1701"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26B0" w14:textId="77777777" w:rsidR="00A57D02" w:rsidRDefault="00A57D02" w:rsidP="00DC1A86">
      <w:pPr>
        <w:spacing w:after="0" w:line="240" w:lineRule="auto"/>
      </w:pPr>
      <w:r>
        <w:separator/>
      </w:r>
    </w:p>
  </w:endnote>
  <w:endnote w:type="continuationSeparator" w:id="0">
    <w:p w14:paraId="09AAA610" w14:textId="77777777" w:rsidR="00A57D02" w:rsidRDefault="00A57D02" w:rsidP="00DC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235F" w14:textId="77777777" w:rsidR="00537B6A" w:rsidRDefault="002C73DC">
    <w:pPr>
      <w:pStyle w:val="Piedepgina"/>
    </w:pPr>
    <w:r>
      <w:fldChar w:fldCharType="begin"/>
    </w:r>
    <w:r>
      <w:instrText>PAGE   \* MERGEFORMAT</w:instrText>
    </w:r>
    <w:r>
      <w:fldChar w:fldCharType="separate"/>
    </w:r>
    <w:r w:rsidRPr="00224D51">
      <w:rPr>
        <w:noProof/>
        <w:lang w:val="es-ES"/>
      </w:rPr>
      <w:t>2</w:t>
    </w:r>
    <w:r>
      <w:fldChar w:fldCharType="end"/>
    </w:r>
  </w:p>
  <w:p w14:paraId="3788CFE6" w14:textId="77777777" w:rsidR="00537B6A" w:rsidRDefault="00A57D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4AD3" w14:textId="77777777" w:rsidR="00537B6A" w:rsidRPr="00FB1C1C" w:rsidRDefault="002C73DC">
    <w:pPr>
      <w:pStyle w:val="Piedepgina"/>
      <w:jc w:val="right"/>
      <w:rPr>
        <w:rFonts w:ascii="Arial" w:hAnsi="Arial" w:cs="Arial"/>
        <w:sz w:val="24"/>
        <w:szCs w:val="24"/>
      </w:rPr>
    </w:pPr>
    <w:r w:rsidRPr="00FB1C1C">
      <w:rPr>
        <w:rFonts w:ascii="Arial" w:hAnsi="Arial" w:cs="Arial"/>
        <w:sz w:val="24"/>
        <w:szCs w:val="24"/>
      </w:rPr>
      <w:fldChar w:fldCharType="begin"/>
    </w:r>
    <w:r w:rsidRPr="00FB1C1C">
      <w:rPr>
        <w:rFonts w:ascii="Arial" w:hAnsi="Arial" w:cs="Arial"/>
        <w:sz w:val="24"/>
        <w:szCs w:val="24"/>
      </w:rPr>
      <w:instrText>PAGE   \* MERGEFORMAT</w:instrText>
    </w:r>
    <w:r w:rsidRPr="00FB1C1C">
      <w:rPr>
        <w:rFonts w:ascii="Arial" w:hAnsi="Arial" w:cs="Arial"/>
        <w:sz w:val="24"/>
        <w:szCs w:val="24"/>
      </w:rPr>
      <w:fldChar w:fldCharType="separate"/>
    </w:r>
    <w:r w:rsidRPr="00224D51">
      <w:rPr>
        <w:rFonts w:ascii="Arial" w:hAnsi="Arial" w:cs="Arial"/>
        <w:noProof/>
        <w:sz w:val="24"/>
        <w:szCs w:val="24"/>
        <w:lang w:val="es-ES"/>
      </w:rPr>
      <w:t>9</w:t>
    </w:r>
    <w:r w:rsidRPr="00FB1C1C">
      <w:rPr>
        <w:rFonts w:ascii="Arial" w:hAnsi="Arial" w:cs="Arial"/>
        <w:sz w:val="24"/>
        <w:szCs w:val="24"/>
      </w:rPr>
      <w:fldChar w:fldCharType="end"/>
    </w:r>
  </w:p>
  <w:p w14:paraId="35983541" w14:textId="77777777" w:rsidR="00537B6A" w:rsidRPr="00FB1C1C" w:rsidRDefault="00A57D02">
    <w:pPr>
      <w:pStyle w:val="Piedepgina"/>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39C9" w14:textId="77777777" w:rsidR="00A57D02" w:rsidRDefault="00A57D02" w:rsidP="00DC1A86">
      <w:pPr>
        <w:spacing w:after="0" w:line="240" w:lineRule="auto"/>
      </w:pPr>
      <w:r>
        <w:separator/>
      </w:r>
    </w:p>
  </w:footnote>
  <w:footnote w:type="continuationSeparator" w:id="0">
    <w:p w14:paraId="05DBB327" w14:textId="77777777" w:rsidR="00A57D02" w:rsidRDefault="00A57D02" w:rsidP="00DC1A86">
      <w:pPr>
        <w:spacing w:after="0" w:line="240" w:lineRule="auto"/>
      </w:pPr>
      <w:r>
        <w:continuationSeparator/>
      </w:r>
    </w:p>
  </w:footnote>
  <w:footnote w:id="1">
    <w:p w14:paraId="08ED9976" w14:textId="75BE290E" w:rsidR="00DC1A86" w:rsidRPr="00CC59E0" w:rsidRDefault="00DC1A86"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Tesis P.XI/2008, de rubro: “</w:t>
      </w:r>
      <w:r w:rsidRPr="00CC59E0">
        <w:rPr>
          <w:rFonts w:ascii="Arial" w:hAnsi="Arial" w:cs="Arial"/>
          <w:b/>
          <w:bCs/>
          <w:sz w:val="22"/>
          <w:szCs w:val="22"/>
        </w:rPr>
        <w:t>ACCIÓN DE INCONSTITUCIONALIDAD. EL CONTROL DE LA REGULARIDAD CONSTITUCIONAL A CARGO DE LA SUPREMA CORTE DE JUSTICIA DE LA NACIÓN AUTORIZA EL EXAMEN DE TODO TIPO DE VIOLACIONES A LA CONSTITUCIÓN POLÍTICA DE LOS ESTADOS UNIDOS MEXICANOS.”</w:t>
      </w:r>
      <w:r w:rsidRPr="00CC59E0">
        <w:rPr>
          <w:rFonts w:ascii="Arial" w:hAnsi="Arial" w:cs="Arial"/>
          <w:sz w:val="22"/>
          <w:szCs w:val="22"/>
        </w:rPr>
        <w:t xml:space="preserve"> Seminario Judicial de la Federación y su Gaceta, Novena Época, Junio de 2008, página 673. Registro 169573.</w:t>
      </w:r>
    </w:p>
  </w:footnote>
  <w:footnote w:id="2">
    <w:p w14:paraId="1E24E703" w14:textId="6BAE6E27" w:rsidR="00DC1A86" w:rsidRPr="00CC59E0" w:rsidRDefault="00DC1A86"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Tesis de jurisprudencia P./J. 36/2004, de rubro: </w:t>
      </w:r>
      <w:r w:rsidRPr="00CC59E0">
        <w:rPr>
          <w:rFonts w:ascii="Arial" w:hAnsi="Arial" w:cs="Arial"/>
          <w:b/>
          <w:bCs/>
          <w:sz w:val="22"/>
          <w:szCs w:val="22"/>
        </w:rPr>
        <w:t xml:space="preserve">“ACCIÓN DE INCONSTITUCIONALIDAD. SI SE HACE VALER UNA CAUSAL DE IMPROCEDENCIA QUE INVOLUCRA EL ESTUDIO DE FONDO, DEBE DESESTIMARSE”. </w:t>
      </w:r>
      <w:r w:rsidRPr="00CC59E0">
        <w:rPr>
          <w:rFonts w:ascii="Arial" w:hAnsi="Arial" w:cs="Arial"/>
          <w:sz w:val="22"/>
          <w:szCs w:val="22"/>
        </w:rPr>
        <w:t>Seminario Judicial de la Federación y su Gaceta, Novena Época, Junio de 2004, página 865. Registro 181395.</w:t>
      </w:r>
    </w:p>
  </w:footnote>
  <w:footnote w:id="3">
    <w:p w14:paraId="2B099459" w14:textId="298CE723" w:rsidR="00C349AC" w:rsidRPr="00C349AC" w:rsidRDefault="00DC1A86" w:rsidP="00CC59E0">
      <w:pPr>
        <w:pStyle w:val="Estilo"/>
        <w:rPr>
          <w:rFonts w:ascii="Arial" w:hAnsi="Arial" w:cs="Arial"/>
          <w:b/>
          <w:bCs/>
          <w:color w:val="000000" w:themeColor="text1"/>
          <w:u w:val="single"/>
          <w:lang w:val="es-ES_tradnl"/>
        </w:rPr>
      </w:pPr>
      <w:r w:rsidRPr="00CC59E0">
        <w:rPr>
          <w:rStyle w:val="Refdenotaalpie"/>
          <w:rFonts w:ascii="Arial" w:hAnsi="Arial" w:cs="Arial"/>
        </w:rPr>
        <w:footnoteRef/>
      </w:r>
      <w:r w:rsidRPr="00CC59E0">
        <w:rPr>
          <w:rFonts w:ascii="Arial" w:hAnsi="Arial" w:cs="Arial"/>
        </w:rPr>
        <w:t xml:space="preserve"> </w:t>
      </w:r>
      <w:r w:rsidR="00C349AC" w:rsidRPr="00C349AC">
        <w:rPr>
          <w:rFonts w:ascii="Arial" w:hAnsi="Arial" w:cs="Arial"/>
          <w:b/>
          <w:bCs/>
          <w:color w:val="000000" w:themeColor="text1"/>
          <w:u w:val="single"/>
          <w:lang w:val="es-ES_tradnl"/>
        </w:rPr>
        <w:t>Ley del Sistema de Seguridad Ciudadana de la Ciudad de México</w:t>
      </w:r>
    </w:p>
    <w:p w14:paraId="7775EE09" w14:textId="7B529ACD" w:rsidR="00DC1A86" w:rsidRPr="00CC59E0" w:rsidRDefault="00DC1A86" w:rsidP="00CC59E0">
      <w:pPr>
        <w:pStyle w:val="Estilo"/>
        <w:rPr>
          <w:rFonts w:ascii="Arial" w:hAnsi="Arial" w:cs="Arial"/>
          <w:highlight w:val="yellow"/>
        </w:rPr>
      </w:pPr>
      <w:r w:rsidRPr="00CC59E0">
        <w:rPr>
          <w:rFonts w:ascii="Arial" w:hAnsi="Arial" w:cs="Arial"/>
          <w:b/>
        </w:rPr>
        <w:t>Artículo 42</w:t>
      </w:r>
      <w:r w:rsidRPr="00CC59E0">
        <w:rPr>
          <w:rFonts w:ascii="Arial" w:hAnsi="Arial" w:cs="Arial"/>
        </w:rPr>
        <w:t xml:space="preserve">. El Consejo Ciudadano contará con las siguientes atribuciones: […] </w:t>
      </w:r>
      <w:r w:rsidRPr="00CC59E0">
        <w:rPr>
          <w:rFonts w:ascii="Arial" w:hAnsi="Arial" w:cs="Arial"/>
          <w:b/>
        </w:rPr>
        <w:t>XI</w:t>
      </w:r>
      <w:r w:rsidRPr="00CC59E0">
        <w:rPr>
          <w:rFonts w:ascii="Arial" w:hAnsi="Arial" w:cs="Arial"/>
        </w:rPr>
        <w:t>. Recibir, evaluar, canalizar y formular denuncias por violaciones a derechos humanos cometidas por instituciones o servidores en materia de cultura cívica, seguridad ciudadana y procuración de justicia.</w:t>
      </w:r>
    </w:p>
  </w:footnote>
  <w:footnote w:id="4">
    <w:p w14:paraId="1957F5F7" w14:textId="1D8BE429" w:rsidR="00A222E2" w:rsidRPr="00CC59E0" w:rsidRDefault="00A222E2"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En concreto, la comisión accionante alegó que tal disposición violaba el sistema no jurisdiccional de protección de derechos humanos, pues la misma otorga al Consejo Ciudadano para la Seguridad Ciudadana y la Procuración de Justicia atribuciones que son exclusivas de los organismos protectores de derechos humanos.</w:t>
      </w:r>
    </w:p>
  </w:footnote>
  <w:footnote w:id="5">
    <w:p w14:paraId="0239C848" w14:textId="02067CA2" w:rsidR="00DC1A86" w:rsidRPr="00CC59E0" w:rsidRDefault="00DC1A86"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Así se ha reconocido, entre otros asuntos, en las </w:t>
      </w:r>
      <w:r w:rsidRPr="00CC59E0">
        <w:rPr>
          <w:rFonts w:ascii="Arial" w:hAnsi="Arial" w:cs="Arial"/>
          <w:b/>
          <w:sz w:val="22"/>
          <w:szCs w:val="22"/>
        </w:rPr>
        <w:t>acciones de inconstitucionalidad 42/2013</w:t>
      </w:r>
      <w:r w:rsidRPr="00CC59E0">
        <w:rPr>
          <w:rFonts w:ascii="Arial" w:hAnsi="Arial" w:cs="Arial"/>
          <w:sz w:val="22"/>
          <w:szCs w:val="22"/>
        </w:rPr>
        <w:t xml:space="preserve"> y </w:t>
      </w:r>
      <w:r w:rsidRPr="00CC59E0">
        <w:rPr>
          <w:rFonts w:ascii="Arial" w:hAnsi="Arial" w:cs="Arial"/>
          <w:b/>
          <w:sz w:val="22"/>
          <w:szCs w:val="22"/>
        </w:rPr>
        <w:t>15/2017 sus acumuladas</w:t>
      </w:r>
      <w:r w:rsidRPr="00CC59E0">
        <w:rPr>
          <w:rFonts w:ascii="Arial" w:hAnsi="Arial" w:cs="Arial"/>
          <w:sz w:val="22"/>
          <w:szCs w:val="22"/>
        </w:rPr>
        <w:t xml:space="preserve">, en las cuales la Comisión Nacional de </w:t>
      </w:r>
      <w:r w:rsidR="00E74CBF">
        <w:rPr>
          <w:rFonts w:ascii="Arial" w:hAnsi="Arial" w:cs="Arial"/>
          <w:sz w:val="22"/>
          <w:szCs w:val="22"/>
        </w:rPr>
        <w:t xml:space="preserve">los </w:t>
      </w:r>
      <w:r w:rsidRPr="00CC59E0">
        <w:rPr>
          <w:rFonts w:ascii="Arial" w:hAnsi="Arial" w:cs="Arial"/>
          <w:sz w:val="22"/>
          <w:szCs w:val="22"/>
        </w:rPr>
        <w:t xml:space="preserve">Derechos Humanos planteó violaciones al sistema no jurisdiccional de derechos humanos previsto en ordenamientos locales. </w:t>
      </w:r>
    </w:p>
  </w:footnote>
  <w:footnote w:id="6">
    <w:p w14:paraId="2E37EC74" w14:textId="6140E9AD" w:rsidR="008A270D" w:rsidRPr="00CC59E0" w:rsidRDefault="008A270D" w:rsidP="00CC59E0">
      <w:pPr>
        <w:pStyle w:val="corte4fondo"/>
        <w:autoSpaceDE w:val="0"/>
        <w:autoSpaceDN w:val="0"/>
        <w:adjustRightInd w:val="0"/>
        <w:spacing w:line="240" w:lineRule="auto"/>
        <w:ind w:right="51" w:firstLine="0"/>
        <w:rPr>
          <w:rFonts w:cs="Arial"/>
          <w:b/>
          <w:sz w:val="22"/>
          <w:szCs w:val="22"/>
          <w:lang w:val="es-ES_tradnl"/>
        </w:rPr>
      </w:pPr>
      <w:r w:rsidRPr="00CC59E0">
        <w:rPr>
          <w:rStyle w:val="Refdenotaalpie"/>
          <w:rFonts w:eastAsia="Calibri" w:cs="Arial"/>
          <w:sz w:val="22"/>
          <w:szCs w:val="22"/>
        </w:rPr>
        <w:footnoteRef/>
      </w:r>
      <w:r w:rsidRPr="00CC59E0">
        <w:rPr>
          <w:rFonts w:cs="Arial"/>
          <w:sz w:val="22"/>
          <w:szCs w:val="22"/>
        </w:rPr>
        <w:t xml:space="preserve"> En específico, la </w:t>
      </w:r>
      <w:r w:rsidR="007279D3" w:rsidRPr="00CC59E0">
        <w:rPr>
          <w:rFonts w:cs="Arial"/>
          <w:sz w:val="22"/>
          <w:szCs w:val="22"/>
        </w:rPr>
        <w:t>CNDH</w:t>
      </w:r>
      <w:r w:rsidRPr="00CC59E0">
        <w:rPr>
          <w:rFonts w:cs="Arial"/>
          <w:sz w:val="22"/>
          <w:szCs w:val="22"/>
        </w:rPr>
        <w:t xml:space="preserve"> impugnó los artículos 101 a 109, así como los artículos 116 a 120, </w:t>
      </w:r>
      <w:r w:rsidR="007279D3" w:rsidRPr="00CC59E0">
        <w:rPr>
          <w:rFonts w:cs="Arial"/>
          <w:sz w:val="22"/>
          <w:szCs w:val="22"/>
        </w:rPr>
        <w:t xml:space="preserve">pues </w:t>
      </w:r>
      <w:r w:rsidRPr="00CC59E0">
        <w:rPr>
          <w:rFonts w:cs="Arial"/>
          <w:sz w:val="22"/>
          <w:szCs w:val="22"/>
        </w:rPr>
        <w:t>estimó que el Congreso de la Ciudad de México</w:t>
      </w:r>
      <w:r w:rsidR="007279D3" w:rsidRPr="00CC59E0">
        <w:rPr>
          <w:rFonts w:cs="Arial"/>
          <w:sz w:val="22"/>
          <w:szCs w:val="22"/>
        </w:rPr>
        <w:t xml:space="preserve"> </w:t>
      </w:r>
      <w:r w:rsidRPr="00CC59E0">
        <w:rPr>
          <w:rFonts w:cs="Arial"/>
          <w:sz w:val="22"/>
          <w:szCs w:val="22"/>
          <w:lang w:val="es-ES_tradnl"/>
        </w:rPr>
        <w:t>omitió consignar procedimientos que garanticen el derecho a un debido proceso (específicamente los derechos de audiencia previa y de defensa)</w:t>
      </w:r>
      <w:r w:rsidR="007279D3" w:rsidRPr="00CC59E0">
        <w:rPr>
          <w:rFonts w:cs="Arial"/>
          <w:sz w:val="22"/>
          <w:szCs w:val="22"/>
          <w:lang w:val="es-ES_tradnl"/>
        </w:rPr>
        <w:t xml:space="preserve">. </w:t>
      </w:r>
      <w:r w:rsidRPr="00CC59E0">
        <w:rPr>
          <w:rFonts w:cs="Arial"/>
          <w:sz w:val="22"/>
          <w:szCs w:val="22"/>
          <w:lang w:val="es-ES_tradnl"/>
        </w:rPr>
        <w:t xml:space="preserve">Por </w:t>
      </w:r>
      <w:r w:rsidR="007279D3" w:rsidRPr="00CC59E0">
        <w:rPr>
          <w:rFonts w:cs="Arial"/>
          <w:sz w:val="22"/>
          <w:szCs w:val="22"/>
          <w:lang w:val="es-ES_tradnl"/>
        </w:rPr>
        <w:t xml:space="preserve">su </w:t>
      </w:r>
      <w:r w:rsidRPr="00CC59E0">
        <w:rPr>
          <w:rFonts w:cs="Arial"/>
          <w:sz w:val="22"/>
          <w:szCs w:val="22"/>
          <w:lang w:val="es-ES_tradnl"/>
        </w:rPr>
        <w:t xml:space="preserve">parte, la </w:t>
      </w:r>
      <w:r w:rsidR="007279D3" w:rsidRPr="00CC59E0">
        <w:rPr>
          <w:rFonts w:cs="Arial"/>
          <w:sz w:val="22"/>
          <w:szCs w:val="22"/>
          <w:lang w:val="es-ES_tradnl"/>
        </w:rPr>
        <w:t>CDHCM</w:t>
      </w:r>
      <w:r w:rsidRPr="00CC59E0">
        <w:rPr>
          <w:rFonts w:cs="Arial"/>
          <w:sz w:val="22"/>
          <w:szCs w:val="22"/>
          <w:lang w:val="es-ES_tradnl"/>
        </w:rPr>
        <w:t xml:space="preserve"> controvirtió el artículo 104, en relación con el </w:t>
      </w:r>
      <w:r w:rsidR="006E4FD8">
        <w:rPr>
          <w:rFonts w:cs="Arial"/>
          <w:sz w:val="22"/>
          <w:szCs w:val="22"/>
          <w:lang w:val="es-ES_tradnl"/>
        </w:rPr>
        <w:t>diverso</w:t>
      </w:r>
      <w:r w:rsidRPr="00CC59E0">
        <w:rPr>
          <w:rFonts w:cs="Arial"/>
          <w:sz w:val="22"/>
          <w:szCs w:val="22"/>
          <w:lang w:val="es-ES_tradnl"/>
        </w:rPr>
        <w:t xml:space="preserve"> 106, pues consideró que el Congreso debió prever la posibilidad de que los integrantes de los cuerpos de seguridad fueran oídos y vencidos antes de ser sancionados.</w:t>
      </w:r>
      <w:r w:rsidRPr="00CC59E0">
        <w:rPr>
          <w:rFonts w:cs="Arial"/>
          <w:b/>
          <w:sz w:val="22"/>
          <w:szCs w:val="22"/>
          <w:lang w:val="es-ES_tradnl"/>
        </w:rPr>
        <w:t xml:space="preserve"> </w:t>
      </w:r>
    </w:p>
  </w:footnote>
  <w:footnote w:id="7">
    <w:p w14:paraId="4473DCCD" w14:textId="77777777" w:rsidR="00855B67" w:rsidRDefault="00DC1A86" w:rsidP="00CC59E0">
      <w:pPr>
        <w:pStyle w:val="Estilo"/>
        <w:rPr>
          <w:rFonts w:ascii="Arial" w:hAnsi="Arial" w:cs="Arial"/>
          <w:color w:val="000000" w:themeColor="text1"/>
          <w:sz w:val="28"/>
          <w:szCs w:val="28"/>
          <w:lang w:val="es-ES_tradnl"/>
        </w:rPr>
      </w:pPr>
      <w:r w:rsidRPr="00CC59E0">
        <w:rPr>
          <w:rStyle w:val="Refdenotaalpie"/>
          <w:rFonts w:ascii="Arial" w:hAnsi="Arial" w:cs="Arial"/>
        </w:rPr>
        <w:footnoteRef/>
      </w:r>
      <w:r w:rsidRPr="00CC59E0">
        <w:rPr>
          <w:rFonts w:ascii="Arial" w:hAnsi="Arial" w:cs="Arial"/>
        </w:rPr>
        <w:t xml:space="preserve"> </w:t>
      </w:r>
      <w:r w:rsidR="00855B67" w:rsidRPr="00855B67">
        <w:rPr>
          <w:rFonts w:ascii="Arial" w:hAnsi="Arial" w:cs="Arial"/>
          <w:b/>
          <w:bCs/>
          <w:color w:val="000000" w:themeColor="text1"/>
          <w:u w:val="single"/>
          <w:lang w:val="es-ES_tradnl"/>
        </w:rPr>
        <w:t>Ley del Sistema de Seguridad Ciudadana de la Ciudad de México</w:t>
      </w:r>
    </w:p>
    <w:p w14:paraId="69C83E77" w14:textId="5717BB28" w:rsidR="00DC1A86" w:rsidRPr="00CC59E0" w:rsidRDefault="00DC1A86" w:rsidP="00CC59E0">
      <w:pPr>
        <w:pStyle w:val="Estilo"/>
        <w:rPr>
          <w:rFonts w:ascii="Arial" w:hAnsi="Arial" w:cs="Arial"/>
        </w:rPr>
      </w:pPr>
      <w:r w:rsidRPr="00CC59E0">
        <w:rPr>
          <w:rFonts w:ascii="Arial" w:hAnsi="Arial" w:cs="Arial"/>
          <w:b/>
        </w:rPr>
        <w:t>Artículo 105</w:t>
      </w:r>
      <w:r w:rsidRPr="00CC59E0">
        <w:rPr>
          <w:rFonts w:ascii="Arial" w:hAnsi="Arial" w:cs="Arial"/>
        </w:rPr>
        <w:t>. Mediante la amonestación el superior jerárquico advierte al subordinado la omisión o falta en el cumplimiento de sus deberes, invitándolo a corregirse. Será de palabra y constará por escrito. Quien amoneste lo hará de tal manera que ninguna persona de menor jerarquía a la del amonestado conozca de la aplicación de la medida y observará la discreción que exige la disciplina.</w:t>
      </w:r>
      <w:r w:rsidR="008A270D" w:rsidRPr="00CC59E0">
        <w:rPr>
          <w:rFonts w:ascii="Arial" w:hAnsi="Arial" w:cs="Arial"/>
        </w:rPr>
        <w:t xml:space="preserve"> </w:t>
      </w:r>
    </w:p>
    <w:p w14:paraId="2B7B0AB3" w14:textId="46930119" w:rsidR="00DC1A86" w:rsidRPr="00CC59E0" w:rsidRDefault="00BE24FD" w:rsidP="00C349AC">
      <w:pPr>
        <w:pStyle w:val="Estilo"/>
        <w:rPr>
          <w:rFonts w:ascii="Arial" w:hAnsi="Arial" w:cs="Arial"/>
        </w:rPr>
      </w:pPr>
      <w:r w:rsidRPr="00CC59E0">
        <w:rPr>
          <w:rFonts w:ascii="Arial" w:hAnsi="Arial" w:cs="Arial"/>
        </w:rPr>
        <w:t>[…]</w:t>
      </w:r>
    </w:p>
    <w:p w14:paraId="2A564D98" w14:textId="77777777" w:rsidR="00DC1A86" w:rsidRPr="00CC59E0" w:rsidRDefault="00DC1A86" w:rsidP="00C349AC">
      <w:pPr>
        <w:pStyle w:val="Estilo"/>
        <w:rPr>
          <w:rFonts w:ascii="Arial" w:hAnsi="Arial" w:cs="Arial"/>
          <w:b/>
        </w:rPr>
      </w:pPr>
      <w:r w:rsidRPr="00CC59E0">
        <w:rPr>
          <w:rFonts w:ascii="Arial" w:hAnsi="Arial" w:cs="Arial"/>
          <w:b/>
        </w:rPr>
        <w:t>(ADICIONADO, G.O. 24 DE DICIEMBRE DE 2019)</w:t>
      </w:r>
    </w:p>
    <w:p w14:paraId="26C7570A" w14:textId="64ED5ED9" w:rsidR="00DC1A86" w:rsidRPr="00CC59E0" w:rsidRDefault="00DC1A86" w:rsidP="00C349AC">
      <w:pPr>
        <w:pStyle w:val="Estilo"/>
        <w:rPr>
          <w:rFonts w:ascii="Arial" w:hAnsi="Arial" w:cs="Arial"/>
        </w:rPr>
      </w:pPr>
      <w:r w:rsidRPr="00CC59E0">
        <w:rPr>
          <w:rFonts w:ascii="Arial" w:hAnsi="Arial" w:cs="Arial"/>
          <w:b/>
        </w:rPr>
        <w:t>Previo a la imposición del arresto, y con el propósito de determinar si el subordinado es acreedor a éste, el superior jerárquico deberá otorgarle derecho de audiencia, a efecto de hacerle del conocimiento los hechos que se le atribuyen, para que éste exprese lo que a su derecho convenga.</w:t>
      </w:r>
    </w:p>
  </w:footnote>
  <w:footnote w:id="8">
    <w:p w14:paraId="5C788631" w14:textId="0321E7CB" w:rsidR="00855B67" w:rsidRPr="00855B67" w:rsidRDefault="00DC1A86" w:rsidP="00CC59E0">
      <w:pPr>
        <w:pStyle w:val="Estilo"/>
        <w:rPr>
          <w:rFonts w:ascii="Arial" w:hAnsi="Arial" w:cs="Arial"/>
          <w:b/>
          <w:bCs/>
          <w:u w:val="single"/>
        </w:rPr>
      </w:pPr>
      <w:r w:rsidRPr="00855B67">
        <w:rPr>
          <w:rStyle w:val="Refdenotaalpie"/>
          <w:rFonts w:ascii="Arial" w:hAnsi="Arial" w:cs="Arial"/>
          <w:b/>
          <w:bCs/>
          <w:u w:val="single"/>
        </w:rPr>
        <w:footnoteRef/>
      </w:r>
      <w:r w:rsidRPr="00855B67">
        <w:rPr>
          <w:rFonts w:ascii="Arial" w:hAnsi="Arial" w:cs="Arial"/>
          <w:b/>
          <w:bCs/>
          <w:u w:val="single"/>
        </w:rPr>
        <w:t xml:space="preserve"> </w:t>
      </w:r>
      <w:r w:rsidR="00855B67" w:rsidRPr="00855B67">
        <w:rPr>
          <w:rFonts w:ascii="Arial" w:hAnsi="Arial" w:cs="Arial"/>
          <w:b/>
          <w:bCs/>
          <w:color w:val="000000" w:themeColor="text1"/>
          <w:u w:val="single"/>
          <w:lang w:val="es-ES_tradnl"/>
        </w:rPr>
        <w:t>Ley del Sistema de Seguridad Ciudadana de la Ciudad de México</w:t>
      </w:r>
    </w:p>
    <w:p w14:paraId="4862E27D" w14:textId="2BEA7433" w:rsidR="00DC1A86" w:rsidRPr="00CC59E0" w:rsidRDefault="00DC1A86" w:rsidP="00CC59E0">
      <w:pPr>
        <w:pStyle w:val="Estilo"/>
        <w:rPr>
          <w:rFonts w:ascii="Arial" w:hAnsi="Arial" w:cs="Arial"/>
        </w:rPr>
      </w:pPr>
      <w:r w:rsidRPr="00CC59E0">
        <w:rPr>
          <w:rFonts w:ascii="Arial" w:hAnsi="Arial" w:cs="Arial"/>
        </w:rPr>
        <w:t>(ADICIONADO, G.O. 24 DE DICIEMBRE DE 2019)</w:t>
      </w:r>
    </w:p>
    <w:p w14:paraId="1B478F1F" w14:textId="61643E9E" w:rsidR="00DC1A86" w:rsidRPr="00CC59E0" w:rsidRDefault="00DC1A86" w:rsidP="00C349AC">
      <w:pPr>
        <w:pStyle w:val="Estilo"/>
        <w:rPr>
          <w:rFonts w:ascii="Arial" w:hAnsi="Arial" w:cs="Arial"/>
        </w:rPr>
      </w:pPr>
      <w:r w:rsidRPr="00CC59E0">
        <w:rPr>
          <w:rFonts w:ascii="Arial" w:hAnsi="Arial" w:cs="Arial"/>
          <w:b/>
          <w:bCs/>
        </w:rPr>
        <w:t>Artículo 118 Bis</w:t>
      </w:r>
      <w:r w:rsidRPr="00CC59E0">
        <w:rPr>
          <w:rFonts w:ascii="Arial" w:hAnsi="Arial" w:cs="Arial"/>
        </w:rPr>
        <w:t>. En los asuntos a que se refieren las fracciones I a III del artículo 116 de esta Ley se abrirá un expediente con las constancias que existan sobre el particular y se sujetarán al siguiente procedimiento:</w:t>
      </w:r>
    </w:p>
    <w:p w14:paraId="7650ABEC" w14:textId="5DC32956" w:rsidR="00DC1A86" w:rsidRPr="00CC59E0" w:rsidRDefault="00DC1A86" w:rsidP="00855B67">
      <w:pPr>
        <w:pStyle w:val="Estilo"/>
        <w:rPr>
          <w:rFonts w:ascii="Arial" w:hAnsi="Arial" w:cs="Arial"/>
        </w:rPr>
      </w:pPr>
      <w:r w:rsidRPr="00CC59E0">
        <w:rPr>
          <w:rFonts w:ascii="Arial" w:hAnsi="Arial" w:cs="Arial"/>
          <w:b/>
          <w:bCs/>
        </w:rPr>
        <w:t>I</w:t>
      </w:r>
      <w:r w:rsidRPr="00CC59E0">
        <w:rPr>
          <w:rFonts w:ascii="Arial" w:hAnsi="Arial" w:cs="Arial"/>
        </w:rPr>
        <w:t>. Se notificará personalmente al integrante el inicio del procedimiento en el domicilio que haya señalado conforme al artículo 59, fracción XXXII de esta Ley.</w:t>
      </w:r>
    </w:p>
    <w:p w14:paraId="2F881325" w14:textId="23159E56" w:rsidR="00DC1A86" w:rsidRPr="00CC59E0" w:rsidRDefault="00DC1A86" w:rsidP="00855B67">
      <w:pPr>
        <w:pStyle w:val="Estilo"/>
        <w:rPr>
          <w:rFonts w:ascii="Arial" w:hAnsi="Arial" w:cs="Arial"/>
        </w:rPr>
      </w:pPr>
      <w:r w:rsidRPr="00CC59E0">
        <w:rPr>
          <w:rFonts w:ascii="Arial" w:hAnsi="Arial" w:cs="Arial"/>
          <w:b/>
          <w:bCs/>
        </w:rPr>
        <w:t>II.</w:t>
      </w:r>
      <w:r w:rsidRPr="00CC59E0">
        <w:rPr>
          <w:rFonts w:ascii="Arial" w:hAnsi="Arial" w:cs="Arial"/>
        </w:rPr>
        <w:t xml:space="preserve"> En la notificación se le informará la naturaleza y causa del procedimiento a fin de que conozca los hechos que se le imputan y pueda defenderse por sí o por su defensor concediéndole diez días hábiles para que ofrezca las pruebas pertinentes y señalándole lugar, día y hora para la celebración de la audiencia de pruebas y alegatos. Serán admisibles toda clase de pruebas, excepto la confesional de la autoridad y las que fueren en contra del derecho.</w:t>
      </w:r>
    </w:p>
    <w:p w14:paraId="1D1300D4" w14:textId="0F6817C5" w:rsidR="00DC1A86" w:rsidRPr="00CC59E0" w:rsidRDefault="00DC1A86" w:rsidP="00855B67">
      <w:pPr>
        <w:pStyle w:val="Estilo"/>
        <w:rPr>
          <w:rFonts w:ascii="Arial" w:hAnsi="Arial" w:cs="Arial"/>
        </w:rPr>
      </w:pPr>
      <w:r w:rsidRPr="00CC59E0">
        <w:rPr>
          <w:rFonts w:ascii="Arial" w:hAnsi="Arial" w:cs="Arial"/>
          <w:b/>
          <w:bCs/>
        </w:rPr>
        <w:t>III</w:t>
      </w:r>
      <w:r w:rsidRPr="00CC59E0">
        <w:rPr>
          <w:rFonts w:ascii="Arial" w:hAnsi="Arial" w:cs="Arial"/>
        </w:rPr>
        <w:t>. En dicha audiencia se desahogarán las pruebas admitidas y el interesado podrá presentar en forma verbal o por escrito los alegatos que a su derecho convengan. Una vez integrado el expediente, la Comisión de Honor y Justicia dictará su resolución debidamente fundada y motivada dentro de los veinte días hábiles siguientes, misma que será notificada personalmente al interesado en el domicilio antes indicado o en el que haya designado durante la secuela del procedimiento, misma que tendrá que ser dentro del territorio de la Ciudad de México.</w:t>
      </w:r>
    </w:p>
    <w:p w14:paraId="6F3EA8BA" w14:textId="2764A1D5" w:rsidR="00DC1A86" w:rsidRPr="00CC59E0" w:rsidRDefault="00DC1A86" w:rsidP="00855B67">
      <w:pPr>
        <w:pStyle w:val="Estilo"/>
        <w:rPr>
          <w:rFonts w:ascii="Arial" w:hAnsi="Arial" w:cs="Arial"/>
        </w:rPr>
      </w:pPr>
      <w:r w:rsidRPr="00CC59E0">
        <w:rPr>
          <w:rFonts w:ascii="Arial" w:hAnsi="Arial" w:cs="Arial"/>
          <w:b/>
          <w:bCs/>
        </w:rPr>
        <w:t>IV.</w:t>
      </w:r>
      <w:r w:rsidRPr="00CC59E0">
        <w:rPr>
          <w:rFonts w:ascii="Arial" w:hAnsi="Arial" w:cs="Arial"/>
        </w:rPr>
        <w:t xml:space="preserve"> La resolución que emita la Comisión de Honor y Justicia tomará en consideración a la falta cometida, la jerarquía y los antecedentes del integrante sujeto a procedimiento, así como las pruebas desahogadas.</w:t>
      </w:r>
    </w:p>
    <w:p w14:paraId="7AD07A43" w14:textId="5AA123DF" w:rsidR="00DC1A86" w:rsidRPr="00CC59E0" w:rsidRDefault="00DC1A86" w:rsidP="00855B67">
      <w:pPr>
        <w:pStyle w:val="Estilo"/>
        <w:rPr>
          <w:rFonts w:ascii="Arial" w:hAnsi="Arial" w:cs="Arial"/>
        </w:rPr>
      </w:pPr>
      <w:r w:rsidRPr="00CC59E0">
        <w:rPr>
          <w:rFonts w:ascii="Arial" w:hAnsi="Arial" w:cs="Arial"/>
          <w:b/>
          <w:bCs/>
        </w:rPr>
        <w:t>V.</w:t>
      </w:r>
      <w:r w:rsidRPr="00CC59E0">
        <w:rPr>
          <w:rFonts w:ascii="Arial" w:hAnsi="Arial" w:cs="Arial"/>
        </w:rPr>
        <w:t xml:space="preserve"> De todo lo actuado se levantará constancia por escrito.</w:t>
      </w:r>
    </w:p>
    <w:p w14:paraId="3A7940EF" w14:textId="72EA0464" w:rsidR="00DC1A86" w:rsidRPr="00CC59E0" w:rsidRDefault="00DC1A86" w:rsidP="00855B67">
      <w:pPr>
        <w:pStyle w:val="Estilo"/>
        <w:rPr>
          <w:rFonts w:ascii="Arial" w:hAnsi="Arial" w:cs="Arial"/>
        </w:rPr>
      </w:pPr>
      <w:r w:rsidRPr="00CC59E0">
        <w:rPr>
          <w:rFonts w:ascii="Arial" w:hAnsi="Arial" w:cs="Arial"/>
        </w:rPr>
        <w:t>Las resoluciones de la Comisión de Honor y Justicia se agregarán a los expedientes u hojas de servicio de los integrantes de las Instituciones de Seguridad Ciudadana.</w:t>
      </w:r>
    </w:p>
    <w:p w14:paraId="58BCD71B" w14:textId="77777777" w:rsidR="00DC1A86" w:rsidRPr="00CC59E0" w:rsidRDefault="00DC1A86" w:rsidP="00855B67">
      <w:pPr>
        <w:pStyle w:val="Textonotapie"/>
        <w:spacing w:after="0" w:line="240" w:lineRule="auto"/>
        <w:jc w:val="both"/>
        <w:rPr>
          <w:rFonts w:ascii="Arial" w:hAnsi="Arial" w:cs="Arial"/>
          <w:sz w:val="22"/>
          <w:szCs w:val="22"/>
        </w:rPr>
      </w:pPr>
      <w:r w:rsidRPr="00CC59E0">
        <w:rPr>
          <w:rFonts w:ascii="Arial" w:hAnsi="Arial" w:cs="Arial"/>
          <w:sz w:val="22"/>
          <w:szCs w:val="22"/>
        </w:rPr>
        <w:t>La substanciación del procedimiento administrativo disciplinario se realizará por la unidad administrativa encargada de brindar el apoyo, soporte y coadyuvancia a la Comisión de Honor y Justicia, pero en todos los casos la resolución será emitida por dicho órgano colegiado.</w:t>
      </w:r>
    </w:p>
  </w:footnote>
  <w:footnote w:id="9">
    <w:p w14:paraId="5B770DA2" w14:textId="46215EFA" w:rsidR="00B536F7" w:rsidRPr="00CC59E0" w:rsidRDefault="00B536F7"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Así lo hice desde la controversia constitucional 89/2009 resuelta el </w:t>
      </w:r>
      <w:r w:rsidR="003011BC" w:rsidRPr="00CC59E0">
        <w:rPr>
          <w:rFonts w:ascii="Arial" w:hAnsi="Arial" w:cs="Arial"/>
          <w:sz w:val="22"/>
          <w:szCs w:val="22"/>
        </w:rPr>
        <w:t>treinta</w:t>
      </w:r>
      <w:r w:rsidRPr="00CC59E0">
        <w:rPr>
          <w:rFonts w:ascii="Arial" w:hAnsi="Arial" w:cs="Arial"/>
          <w:sz w:val="22"/>
          <w:szCs w:val="22"/>
        </w:rPr>
        <w:t xml:space="preserve"> de abril de </w:t>
      </w:r>
      <w:r w:rsidR="003011BC" w:rsidRPr="00CC59E0">
        <w:rPr>
          <w:rFonts w:ascii="Arial" w:hAnsi="Arial" w:cs="Arial"/>
          <w:sz w:val="22"/>
          <w:szCs w:val="22"/>
        </w:rPr>
        <w:t>dos mil trece</w:t>
      </w:r>
      <w:r w:rsidRPr="00CC59E0">
        <w:rPr>
          <w:rFonts w:ascii="Arial" w:hAnsi="Arial" w:cs="Arial"/>
          <w:sz w:val="22"/>
          <w:szCs w:val="22"/>
        </w:rPr>
        <w:t xml:space="preserve">, la acción de inconstitucionalidad 24/2012 resuelta el </w:t>
      </w:r>
      <w:r w:rsidR="003011BC" w:rsidRPr="00CC59E0">
        <w:rPr>
          <w:rFonts w:ascii="Arial" w:hAnsi="Arial" w:cs="Arial"/>
          <w:sz w:val="22"/>
          <w:szCs w:val="22"/>
        </w:rPr>
        <w:t>catorce</w:t>
      </w:r>
      <w:r w:rsidRPr="00CC59E0">
        <w:rPr>
          <w:rFonts w:ascii="Arial" w:hAnsi="Arial" w:cs="Arial"/>
          <w:sz w:val="22"/>
          <w:szCs w:val="22"/>
        </w:rPr>
        <w:t xml:space="preserve"> de mayo de </w:t>
      </w:r>
      <w:r w:rsidR="003011BC" w:rsidRPr="00CC59E0">
        <w:rPr>
          <w:rFonts w:ascii="Arial" w:hAnsi="Arial" w:cs="Arial"/>
          <w:sz w:val="22"/>
          <w:szCs w:val="22"/>
        </w:rPr>
        <w:t>dos mil trece</w:t>
      </w:r>
      <w:r w:rsidR="00B4157B" w:rsidRPr="00CC59E0">
        <w:rPr>
          <w:rFonts w:ascii="Arial" w:hAnsi="Arial" w:cs="Arial"/>
          <w:sz w:val="22"/>
          <w:szCs w:val="22"/>
        </w:rPr>
        <w:t>, así como la</w:t>
      </w:r>
      <w:r w:rsidRPr="00CC59E0">
        <w:rPr>
          <w:rFonts w:ascii="Arial" w:hAnsi="Arial" w:cs="Arial"/>
          <w:sz w:val="22"/>
          <w:szCs w:val="22"/>
        </w:rPr>
        <w:t xml:space="preserve"> </w:t>
      </w:r>
      <w:r w:rsidR="00B4157B" w:rsidRPr="00CC59E0">
        <w:rPr>
          <w:rFonts w:ascii="Arial" w:hAnsi="Arial" w:cs="Arial"/>
          <w:sz w:val="22"/>
          <w:szCs w:val="22"/>
        </w:rPr>
        <w:t>acción de inconstitucionalidad 105/2018 y su acumulada 108/2018</w:t>
      </w:r>
      <w:r w:rsidR="00D03996">
        <w:rPr>
          <w:rFonts w:ascii="Arial" w:hAnsi="Arial" w:cs="Arial"/>
          <w:sz w:val="22"/>
          <w:szCs w:val="22"/>
        </w:rPr>
        <w:t xml:space="preserve"> resuelta el veinte de mayo de dos mil diecinueve.</w:t>
      </w:r>
      <w:r w:rsidR="00B4157B" w:rsidRPr="00CC59E0">
        <w:rPr>
          <w:rFonts w:ascii="Arial" w:hAnsi="Arial" w:cs="Arial"/>
          <w:sz w:val="22"/>
          <w:szCs w:val="22"/>
        </w:rPr>
        <w:t xml:space="preserve"> </w:t>
      </w:r>
    </w:p>
  </w:footnote>
  <w:footnote w:id="10">
    <w:p w14:paraId="20DE809F" w14:textId="36A85CB3" w:rsidR="003209FC" w:rsidRPr="00CC59E0" w:rsidRDefault="003209FC"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w:t>
      </w:r>
      <w:r w:rsidR="00BE24FD" w:rsidRPr="00CC59E0">
        <w:rPr>
          <w:rFonts w:ascii="Arial" w:hAnsi="Arial" w:cs="Arial"/>
          <w:sz w:val="22"/>
          <w:szCs w:val="22"/>
        </w:rPr>
        <w:t xml:space="preserve">Cfr. </w:t>
      </w:r>
      <w:r w:rsidRPr="00CC59E0">
        <w:rPr>
          <w:rFonts w:ascii="Arial" w:hAnsi="Arial" w:cs="Arial"/>
          <w:sz w:val="22"/>
          <w:szCs w:val="22"/>
        </w:rPr>
        <w:t xml:space="preserve">Guastini, Ricardo, “Normas y disposiciones”, </w:t>
      </w:r>
      <w:r w:rsidRPr="00CC59E0">
        <w:rPr>
          <w:rFonts w:ascii="Arial" w:hAnsi="Arial" w:cs="Arial"/>
          <w:i/>
          <w:sz w:val="22"/>
          <w:szCs w:val="22"/>
        </w:rPr>
        <w:t>Las fuentes del derecho Fundamentos teóricos</w:t>
      </w:r>
      <w:r w:rsidRPr="00CC59E0">
        <w:rPr>
          <w:rFonts w:ascii="Arial" w:hAnsi="Arial" w:cs="Arial"/>
          <w:sz w:val="22"/>
          <w:szCs w:val="22"/>
        </w:rPr>
        <w:t>, trad. César E. Moreno More y Luis Cárdenas Rodríguez, Lima, Raguel Ediciones, 2010, pp. 85 y 86.</w:t>
      </w:r>
    </w:p>
  </w:footnote>
  <w:footnote w:id="11">
    <w:p w14:paraId="39CB1C60" w14:textId="73F92035" w:rsidR="00B536F7" w:rsidRPr="00CC59E0" w:rsidRDefault="00B536F7"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Así lo expliqué en </w:t>
      </w:r>
      <w:r w:rsidR="00872C32" w:rsidRPr="00CC59E0">
        <w:rPr>
          <w:rFonts w:ascii="Arial" w:hAnsi="Arial" w:cs="Arial"/>
          <w:sz w:val="22"/>
          <w:szCs w:val="22"/>
        </w:rPr>
        <w:t>el voto particular que formulé en la acción de inconstitucionalidad 105/2018 y su acumulada 108/2018.</w:t>
      </w:r>
    </w:p>
  </w:footnote>
  <w:footnote w:id="12">
    <w:p w14:paraId="5F950F2F" w14:textId="23DE5AA2" w:rsidR="00DC1A86" w:rsidRPr="00CC59E0" w:rsidRDefault="00DC1A86"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w:t>
      </w:r>
      <w:r w:rsidR="00BE24FD" w:rsidRPr="00CC59E0">
        <w:rPr>
          <w:rFonts w:ascii="Arial" w:hAnsi="Arial" w:cs="Arial"/>
          <w:sz w:val="22"/>
          <w:szCs w:val="22"/>
        </w:rPr>
        <w:t xml:space="preserve">Este </w:t>
      </w:r>
      <w:r w:rsidRPr="00CC59E0">
        <w:rPr>
          <w:rFonts w:ascii="Arial" w:hAnsi="Arial" w:cs="Arial"/>
          <w:sz w:val="22"/>
          <w:szCs w:val="22"/>
        </w:rPr>
        <w:t xml:space="preserve">Tribunal Pleno ha sostenido en diversos precedentes que la ausencia de conceptos de invalidez en la demanda de acción de inconstitucionalidad actualiza la causal de improcedencia prevista en el artículo 19, fracción VIII, en relación con el </w:t>
      </w:r>
      <w:r w:rsidR="00D03996">
        <w:rPr>
          <w:rFonts w:ascii="Arial" w:hAnsi="Arial" w:cs="Arial"/>
          <w:sz w:val="22"/>
          <w:szCs w:val="22"/>
        </w:rPr>
        <w:t>diverso</w:t>
      </w:r>
      <w:r w:rsidRPr="00CC59E0">
        <w:rPr>
          <w:rFonts w:ascii="Arial" w:hAnsi="Arial" w:cs="Arial"/>
          <w:sz w:val="22"/>
          <w:szCs w:val="22"/>
        </w:rPr>
        <w:t xml:space="preserve"> 22, fracción VII y el 59 de la Ley Reglamentaria. </w:t>
      </w:r>
      <w:r w:rsidR="00BE24FD" w:rsidRPr="00CC59E0">
        <w:rPr>
          <w:rFonts w:ascii="Arial" w:hAnsi="Arial" w:cs="Arial"/>
          <w:sz w:val="22"/>
          <w:szCs w:val="22"/>
        </w:rPr>
        <w:t xml:space="preserve">Véase </w:t>
      </w:r>
      <w:r w:rsidRPr="00CC59E0">
        <w:rPr>
          <w:rFonts w:ascii="Arial" w:hAnsi="Arial" w:cs="Arial"/>
          <w:sz w:val="22"/>
          <w:szCs w:val="22"/>
        </w:rPr>
        <w:t>las acciones de inconstitucionalidad 49/2012 y su acumulada, 57/2016 y su acumulada, 117/2017, entre otras.</w:t>
      </w:r>
    </w:p>
  </w:footnote>
  <w:footnote w:id="13">
    <w:p w14:paraId="206FAD1B" w14:textId="1E70E23E" w:rsidR="005D53E3" w:rsidRPr="00CC59E0" w:rsidRDefault="005D53E3"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El proyecto retomaba las consideraciones de la acción de inconstitucionalidad 79/2019, en la que una mayoría de </w:t>
      </w:r>
      <w:proofErr w:type="gramStart"/>
      <w:r w:rsidRPr="00CC59E0">
        <w:rPr>
          <w:rFonts w:ascii="Arial" w:hAnsi="Arial" w:cs="Arial"/>
          <w:sz w:val="22"/>
          <w:szCs w:val="22"/>
        </w:rPr>
        <w:t>Ministras</w:t>
      </w:r>
      <w:proofErr w:type="gramEnd"/>
      <w:r w:rsidRPr="00CC59E0">
        <w:rPr>
          <w:rFonts w:ascii="Arial" w:hAnsi="Arial" w:cs="Arial"/>
          <w:sz w:val="22"/>
          <w:szCs w:val="22"/>
        </w:rPr>
        <w:t xml:space="preserve"> y Ministros determinó que si bien es cierto que el </w:t>
      </w:r>
      <w:r w:rsidR="00AB0868">
        <w:rPr>
          <w:rFonts w:ascii="Arial" w:hAnsi="Arial" w:cs="Arial"/>
          <w:sz w:val="22"/>
          <w:szCs w:val="22"/>
        </w:rPr>
        <w:t>C</w:t>
      </w:r>
      <w:r w:rsidRPr="00CC59E0">
        <w:rPr>
          <w:rFonts w:ascii="Arial" w:hAnsi="Arial" w:cs="Arial"/>
          <w:sz w:val="22"/>
          <w:szCs w:val="22"/>
        </w:rPr>
        <w:t>ongreso de la Unión ya emitió la Ley Nacional de Registro de Detenciones, también lo es que de acuerdo con el artículo Tercero Transitorio de esta última, los Estados puede seguir legislando sobre registros administrativos de detenciones hasta que no entre en vigor el Registro Nacional de Detenciones. Situación que, de acuerdo con el artículo Sexto Transitorio de la mencionada Ley Nacional, debe ocurrir a más tardar el primero de abril de dos mil veintiuno, fecha en la que deberán desaparecer los registros administrativos estatales y quedar plenamente comprendidos en el registro nacional de detenciones.</w:t>
      </w:r>
    </w:p>
  </w:footnote>
  <w:footnote w:id="14">
    <w:p w14:paraId="11F3BA8E" w14:textId="28C1F2F6" w:rsidR="00FA2F60" w:rsidRPr="00CC59E0" w:rsidRDefault="00FA2F60" w:rsidP="00CC59E0">
      <w:pPr>
        <w:spacing w:after="0" w:line="240" w:lineRule="auto"/>
        <w:jc w:val="both"/>
        <w:rPr>
          <w:rFonts w:ascii="Arial" w:hAnsi="Arial" w:cs="Arial"/>
        </w:rPr>
      </w:pPr>
      <w:r w:rsidRPr="00CC59E0">
        <w:rPr>
          <w:rStyle w:val="Refdenotaalpie"/>
          <w:rFonts w:ascii="Arial" w:hAnsi="Arial" w:cs="Arial"/>
        </w:rPr>
        <w:footnoteRef/>
      </w:r>
      <w:r w:rsidRPr="00CC59E0">
        <w:rPr>
          <w:rFonts w:ascii="Arial" w:hAnsi="Arial" w:cs="Arial"/>
        </w:rPr>
        <w:t xml:space="preserve"> En este sentido votamos las señoras </w:t>
      </w:r>
      <w:proofErr w:type="gramStart"/>
      <w:r w:rsidRPr="00CC59E0">
        <w:rPr>
          <w:rFonts w:ascii="Arial" w:hAnsi="Arial" w:cs="Arial"/>
        </w:rPr>
        <w:t>Ministras</w:t>
      </w:r>
      <w:proofErr w:type="gramEnd"/>
      <w:r w:rsidRPr="00CC59E0">
        <w:rPr>
          <w:rFonts w:ascii="Arial" w:hAnsi="Arial" w:cs="Arial"/>
        </w:rPr>
        <w:t xml:space="preserve"> y los señores Ministros González Alcántara Carrancá, Esquivel Mossa, Franco González Salas, Aguilar Morales, Piña Hernández, Laynez Potisek y Presidente Zaldívar Lelo de Larrea. La señora Ministra y los señores Ministros Gutiérrez Ortiz Mena, Pardo Rebolledo, Ríos Farjat y Pérez Dayán votaron a favor de la validez.</w:t>
      </w:r>
    </w:p>
  </w:footnote>
  <w:footnote w:id="15">
    <w:p w14:paraId="56C5C97B" w14:textId="2AD21C24" w:rsidR="00FA2F60" w:rsidRPr="00CC59E0" w:rsidRDefault="00FA2F60"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w:t>
      </w:r>
      <w:r w:rsidR="0042417C" w:rsidRPr="00CC59E0">
        <w:rPr>
          <w:rFonts w:ascii="Arial" w:hAnsi="Arial" w:cs="Arial"/>
          <w:sz w:val="22"/>
          <w:szCs w:val="22"/>
        </w:rPr>
        <w:t xml:space="preserve">Resuelta en sesión de veintitrés de abril de dos mil veinte, en este punto por </w:t>
      </w:r>
      <w:r w:rsidR="0042417C" w:rsidRPr="00CC59E0">
        <w:rPr>
          <w:rFonts w:ascii="Arial" w:hAnsi="Arial" w:cs="Arial"/>
          <w:sz w:val="22"/>
          <w:szCs w:val="22"/>
          <w:lang w:eastAsia="es-ES"/>
        </w:rPr>
        <w:t>mayoría de siete votos de los señores Ministros Gutiérrez Ortiz Mena, González Alcántara Carrancá, Pardo Rebolledo, Piña Hernández, Ríos Farjat, Laynez Potisek y Pérez Dayán. Los señores Ministros Esquivel Mossa, Franco González Salas, Aguilar Morales y Presidente Zaldívar Lelo de Larrea votaron en contra.</w:t>
      </w:r>
    </w:p>
  </w:footnote>
  <w:footnote w:id="16">
    <w:p w14:paraId="0D8B0AEE" w14:textId="77777777" w:rsidR="001059F7" w:rsidRDefault="00FA2F60" w:rsidP="00CC59E0">
      <w:pPr>
        <w:pStyle w:val="Textonotapie"/>
        <w:spacing w:after="0" w:line="240" w:lineRule="auto"/>
        <w:jc w:val="both"/>
        <w:rPr>
          <w:rFonts w:ascii="Arial" w:hAnsi="Arial" w:cs="Arial"/>
          <w:b/>
          <w:bCs/>
          <w:sz w:val="22"/>
          <w:szCs w:val="22"/>
          <w:u w:val="single"/>
        </w:rPr>
      </w:pPr>
      <w:r w:rsidRPr="00CC59E0">
        <w:rPr>
          <w:rStyle w:val="Refdenotaalpie"/>
          <w:rFonts w:ascii="Arial" w:hAnsi="Arial" w:cs="Arial"/>
          <w:sz w:val="22"/>
          <w:szCs w:val="22"/>
        </w:rPr>
        <w:footnoteRef/>
      </w:r>
      <w:r w:rsidR="001059F7">
        <w:rPr>
          <w:rFonts w:ascii="Arial" w:hAnsi="Arial" w:cs="Arial"/>
          <w:b/>
          <w:bCs/>
          <w:sz w:val="22"/>
          <w:szCs w:val="22"/>
          <w:u w:val="single"/>
        </w:rPr>
        <w:t>Constitución General</w:t>
      </w:r>
    </w:p>
    <w:p w14:paraId="3F29F8AB" w14:textId="2A2F0E06" w:rsidR="00FA2F60" w:rsidRPr="00CC59E0" w:rsidRDefault="00FA2F60" w:rsidP="00CC59E0">
      <w:pPr>
        <w:pStyle w:val="Textonotapie"/>
        <w:spacing w:after="0" w:line="240" w:lineRule="auto"/>
        <w:jc w:val="both"/>
        <w:rPr>
          <w:rFonts w:ascii="Arial" w:hAnsi="Arial" w:cs="Arial"/>
          <w:sz w:val="22"/>
          <w:szCs w:val="22"/>
        </w:rPr>
      </w:pPr>
      <w:r w:rsidRPr="00CC59E0">
        <w:rPr>
          <w:rFonts w:ascii="Arial" w:hAnsi="Arial" w:cs="Arial"/>
          <w:b/>
          <w:sz w:val="22"/>
          <w:szCs w:val="22"/>
        </w:rPr>
        <w:t>Artículo 73</w:t>
      </w:r>
      <w:r w:rsidRPr="00CC59E0">
        <w:rPr>
          <w:rFonts w:ascii="Arial" w:hAnsi="Arial" w:cs="Arial"/>
          <w:sz w:val="22"/>
          <w:szCs w:val="22"/>
        </w:rPr>
        <w:t xml:space="preserve">. El Congreso tiene facultad: </w:t>
      </w:r>
    </w:p>
    <w:p w14:paraId="48357EEE" w14:textId="77777777" w:rsidR="00FA2F60" w:rsidRPr="00CC59E0" w:rsidRDefault="00FA2F60" w:rsidP="001059F7">
      <w:pPr>
        <w:pStyle w:val="Textonotapie"/>
        <w:spacing w:after="0" w:line="240" w:lineRule="auto"/>
        <w:jc w:val="both"/>
        <w:rPr>
          <w:rFonts w:ascii="Arial" w:hAnsi="Arial" w:cs="Arial"/>
          <w:sz w:val="22"/>
          <w:szCs w:val="22"/>
        </w:rPr>
      </w:pPr>
      <w:r w:rsidRPr="00CC59E0">
        <w:rPr>
          <w:rFonts w:ascii="Arial" w:hAnsi="Arial" w:cs="Arial"/>
          <w:sz w:val="22"/>
          <w:szCs w:val="22"/>
        </w:rPr>
        <w:t xml:space="preserve">[…] </w:t>
      </w:r>
    </w:p>
    <w:p w14:paraId="47533CE3" w14:textId="77777777" w:rsidR="00FA2F60" w:rsidRPr="00CC59E0" w:rsidRDefault="00FA2F60" w:rsidP="001059F7">
      <w:pPr>
        <w:pStyle w:val="Textonotapie"/>
        <w:spacing w:after="0" w:line="240" w:lineRule="auto"/>
        <w:jc w:val="both"/>
        <w:rPr>
          <w:rFonts w:ascii="Arial" w:hAnsi="Arial" w:cs="Arial"/>
          <w:sz w:val="22"/>
          <w:szCs w:val="22"/>
        </w:rPr>
      </w:pPr>
      <w:r w:rsidRPr="00CC59E0">
        <w:rPr>
          <w:rFonts w:ascii="Arial" w:hAnsi="Arial" w:cs="Arial"/>
          <w:b/>
          <w:sz w:val="22"/>
          <w:szCs w:val="22"/>
        </w:rPr>
        <w:t>XXIII.</w:t>
      </w:r>
      <w:r w:rsidRPr="00CC59E0">
        <w:rPr>
          <w:rFonts w:ascii="Arial" w:hAnsi="Arial" w:cs="Arial"/>
          <w:sz w:val="22"/>
          <w:szCs w:val="22"/>
        </w:rPr>
        <w:t xml:space="preserve"> 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w:t>
      </w:r>
      <w:r w:rsidRPr="00CC59E0">
        <w:rPr>
          <w:rFonts w:ascii="Arial" w:hAnsi="Arial" w:cs="Arial"/>
          <w:b/>
          <w:bCs/>
          <w:sz w:val="22"/>
          <w:szCs w:val="22"/>
        </w:rPr>
        <w:t>Ley Nacional del Registro de Detenciones</w:t>
      </w:r>
      <w:r w:rsidRPr="00CC59E0">
        <w:rPr>
          <w:rFonts w:ascii="Arial" w:hAnsi="Arial" w:cs="Arial"/>
          <w:sz w:val="22"/>
          <w:szCs w:val="22"/>
        </w:rPr>
        <w:t>;</w:t>
      </w:r>
    </w:p>
  </w:footnote>
  <w:footnote w:id="17">
    <w:p w14:paraId="5F53B4CB" w14:textId="45A60DB2" w:rsidR="00FA2F60" w:rsidRPr="00CC59E0" w:rsidRDefault="00FA2F60"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w:t>
      </w:r>
      <w:r w:rsidRPr="00CC59E0">
        <w:rPr>
          <w:rFonts w:ascii="Arial" w:hAnsi="Arial" w:cs="Arial"/>
          <w:b/>
          <w:bCs/>
          <w:sz w:val="22"/>
          <w:szCs w:val="22"/>
        </w:rPr>
        <w:t xml:space="preserve">Artículo 112.- </w:t>
      </w:r>
      <w:r w:rsidRPr="00CC59E0">
        <w:rPr>
          <w:rFonts w:ascii="Arial" w:hAnsi="Arial" w:cs="Arial"/>
          <w:sz w:val="22"/>
          <w:szCs w:val="22"/>
        </w:rPr>
        <w:t xml:space="preserve">El Registro Nacional de Detenciones forma parte del Sistema Nacional de Información, por lo que podrá ser utilizado por el Centro Nacional de Información en los términos previstos por la ley de la materia y la presente Ley.  </w:t>
      </w:r>
    </w:p>
  </w:footnote>
  <w:footnote w:id="18">
    <w:p w14:paraId="294BB1E7" w14:textId="477573C2" w:rsidR="00FA2F60" w:rsidRPr="00CC59E0" w:rsidRDefault="00FA2F60"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w:t>
      </w:r>
      <w:r w:rsidRPr="00CC59E0">
        <w:rPr>
          <w:rFonts w:ascii="Arial" w:hAnsi="Arial" w:cs="Arial"/>
          <w:b/>
          <w:bCs/>
          <w:sz w:val="22"/>
          <w:szCs w:val="22"/>
        </w:rPr>
        <w:t xml:space="preserve">Tercero. </w:t>
      </w:r>
      <w:r w:rsidRPr="00CC59E0">
        <w:rPr>
          <w:rFonts w:ascii="Arial" w:hAnsi="Arial" w:cs="Arial"/>
          <w:sz w:val="22"/>
          <w:szCs w:val="22"/>
        </w:rPr>
        <w:t xml:space="preserve">La Secretaría deberá integrar el Registro Nacional de Detenciones e instalar el Sistema de Consulta, dentro de los 180 días naturales siguientes a la entrada en vigor del presente Decreto. Los datos y demás elementos del Registro Administrativo de Detenciones pasarán a formar parte del Registro Nacional de Detenciones.  </w:t>
      </w:r>
    </w:p>
  </w:footnote>
  <w:footnote w:id="19">
    <w:p w14:paraId="60C52A26" w14:textId="7F0C48AD" w:rsidR="00FB7067" w:rsidRPr="00CC59E0" w:rsidRDefault="00FB7067"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Así lo he sostenido, por ejemplo, en las acciones de inconstitucionalidad 73/2017 y 80/2018, entre otras.</w:t>
      </w:r>
    </w:p>
  </w:footnote>
  <w:footnote w:id="20">
    <w:p w14:paraId="6D3EB640" w14:textId="7532C793" w:rsidR="00DC1A86" w:rsidRPr="00CC59E0" w:rsidRDefault="00DC1A86" w:rsidP="00CC59E0">
      <w:pPr>
        <w:spacing w:after="0" w:line="240" w:lineRule="auto"/>
        <w:jc w:val="both"/>
        <w:rPr>
          <w:rFonts w:ascii="Arial" w:hAnsi="Arial" w:cs="Arial"/>
        </w:rPr>
      </w:pPr>
      <w:r w:rsidRPr="00CC59E0">
        <w:rPr>
          <w:rStyle w:val="Refdenotaalpie"/>
          <w:rFonts w:ascii="Arial" w:hAnsi="Arial" w:cs="Arial"/>
        </w:rPr>
        <w:footnoteRef/>
      </w:r>
      <w:r w:rsidRPr="00CC59E0">
        <w:rPr>
          <w:rFonts w:ascii="Arial" w:hAnsi="Arial" w:cs="Arial"/>
        </w:rPr>
        <w:t xml:space="preserve"> </w:t>
      </w:r>
      <w:r w:rsidRPr="00CC59E0">
        <w:rPr>
          <w:rFonts w:ascii="Arial" w:hAnsi="Arial" w:cs="Arial"/>
          <w:b/>
        </w:rPr>
        <w:t>Artículo 128.</w:t>
      </w:r>
      <w:r w:rsidRPr="00CC59E0">
        <w:rPr>
          <w:rFonts w:ascii="Arial" w:hAnsi="Arial" w:cs="Arial"/>
        </w:rPr>
        <w:t xml:space="preserve"> La Plataforma contendrá los siguientes registros y sistemas:</w:t>
      </w:r>
    </w:p>
    <w:p w14:paraId="19E2B5AE" w14:textId="77777777" w:rsidR="00DC1A86" w:rsidRPr="00CC59E0" w:rsidRDefault="00DC1A86" w:rsidP="001059F7">
      <w:pPr>
        <w:spacing w:after="0" w:line="240" w:lineRule="auto"/>
        <w:jc w:val="both"/>
        <w:rPr>
          <w:rFonts w:ascii="Arial" w:hAnsi="Arial" w:cs="Arial"/>
        </w:rPr>
      </w:pPr>
      <w:r w:rsidRPr="00CC59E0">
        <w:rPr>
          <w:rFonts w:ascii="Arial" w:hAnsi="Arial" w:cs="Arial"/>
          <w:b/>
        </w:rPr>
        <w:t>I.</w:t>
      </w:r>
      <w:r w:rsidRPr="00CC59E0">
        <w:rPr>
          <w:rFonts w:ascii="Arial" w:hAnsi="Arial" w:cs="Arial"/>
        </w:rPr>
        <w:t xml:space="preserve"> Registro de Personal de Seguridad Ciudadana;</w:t>
      </w:r>
    </w:p>
    <w:p w14:paraId="29609493" w14:textId="77777777" w:rsidR="00DC1A86" w:rsidRPr="00CC59E0" w:rsidRDefault="00DC1A86" w:rsidP="001059F7">
      <w:pPr>
        <w:spacing w:after="0" w:line="240" w:lineRule="auto"/>
        <w:jc w:val="both"/>
        <w:rPr>
          <w:rFonts w:ascii="Arial" w:hAnsi="Arial" w:cs="Arial"/>
        </w:rPr>
      </w:pPr>
      <w:r w:rsidRPr="00CC59E0">
        <w:rPr>
          <w:rFonts w:ascii="Arial" w:hAnsi="Arial" w:cs="Arial"/>
          <w:b/>
        </w:rPr>
        <w:t>II.</w:t>
      </w:r>
      <w:r w:rsidRPr="00CC59E0">
        <w:rPr>
          <w:rFonts w:ascii="Arial" w:hAnsi="Arial" w:cs="Arial"/>
        </w:rPr>
        <w:t xml:space="preserve"> Registro de Personal de Seguridad Privada;</w:t>
      </w:r>
    </w:p>
    <w:p w14:paraId="7930A65D" w14:textId="77777777" w:rsidR="00DC1A86" w:rsidRPr="00CC59E0" w:rsidRDefault="00DC1A86" w:rsidP="001059F7">
      <w:pPr>
        <w:spacing w:after="0" w:line="240" w:lineRule="auto"/>
        <w:jc w:val="both"/>
        <w:rPr>
          <w:rFonts w:ascii="Arial" w:hAnsi="Arial" w:cs="Arial"/>
        </w:rPr>
      </w:pPr>
      <w:r w:rsidRPr="00CC59E0">
        <w:rPr>
          <w:rFonts w:ascii="Arial" w:hAnsi="Arial" w:cs="Arial"/>
          <w:b/>
        </w:rPr>
        <w:t>III.</w:t>
      </w:r>
      <w:r w:rsidRPr="00CC59E0">
        <w:rPr>
          <w:rFonts w:ascii="Arial" w:hAnsi="Arial" w:cs="Arial"/>
        </w:rPr>
        <w:t xml:space="preserve"> Registro de Armamento y Equipo;</w:t>
      </w:r>
    </w:p>
    <w:p w14:paraId="5A6B2B41" w14:textId="77777777" w:rsidR="00DC1A86" w:rsidRPr="00CC59E0" w:rsidRDefault="00DC1A86" w:rsidP="001059F7">
      <w:pPr>
        <w:spacing w:after="0" w:line="240" w:lineRule="auto"/>
        <w:jc w:val="both"/>
        <w:rPr>
          <w:rFonts w:ascii="Arial" w:hAnsi="Arial" w:cs="Arial"/>
        </w:rPr>
      </w:pPr>
      <w:r w:rsidRPr="00CC59E0">
        <w:rPr>
          <w:rFonts w:ascii="Arial" w:hAnsi="Arial" w:cs="Arial"/>
          <w:b/>
        </w:rPr>
        <w:t>IV.</w:t>
      </w:r>
      <w:r w:rsidRPr="00CC59E0">
        <w:rPr>
          <w:rFonts w:ascii="Arial" w:hAnsi="Arial" w:cs="Arial"/>
        </w:rPr>
        <w:t xml:space="preserve"> Registro de Información Criminal;</w:t>
      </w:r>
    </w:p>
    <w:p w14:paraId="5C6744FD" w14:textId="77777777" w:rsidR="00DC1A86" w:rsidRPr="00CC59E0" w:rsidRDefault="00DC1A86" w:rsidP="001059F7">
      <w:pPr>
        <w:spacing w:after="0" w:line="240" w:lineRule="auto"/>
        <w:jc w:val="both"/>
        <w:rPr>
          <w:rFonts w:ascii="Arial" w:hAnsi="Arial" w:cs="Arial"/>
        </w:rPr>
      </w:pPr>
      <w:r w:rsidRPr="00CC59E0">
        <w:rPr>
          <w:rFonts w:ascii="Arial" w:hAnsi="Arial" w:cs="Arial"/>
          <w:b/>
        </w:rPr>
        <w:t>V.</w:t>
      </w:r>
      <w:r w:rsidRPr="00CC59E0">
        <w:rPr>
          <w:rFonts w:ascii="Arial" w:hAnsi="Arial" w:cs="Arial"/>
        </w:rPr>
        <w:t xml:space="preserve"> Registro de Información Penitenciaria;</w:t>
      </w:r>
    </w:p>
    <w:p w14:paraId="00CE78BA" w14:textId="77777777" w:rsidR="00DC1A86" w:rsidRPr="00CC59E0" w:rsidRDefault="00DC1A86" w:rsidP="001059F7">
      <w:pPr>
        <w:spacing w:after="0" w:line="240" w:lineRule="auto"/>
        <w:jc w:val="both"/>
        <w:rPr>
          <w:rFonts w:ascii="Arial" w:hAnsi="Arial" w:cs="Arial"/>
        </w:rPr>
      </w:pPr>
      <w:r w:rsidRPr="00CC59E0">
        <w:rPr>
          <w:rFonts w:ascii="Arial" w:hAnsi="Arial" w:cs="Arial"/>
          <w:b/>
        </w:rPr>
        <w:t>VI.</w:t>
      </w:r>
      <w:r w:rsidRPr="00CC59E0">
        <w:rPr>
          <w:rFonts w:ascii="Arial" w:hAnsi="Arial" w:cs="Arial"/>
        </w:rPr>
        <w:t xml:space="preserve"> Registro Administrativo de Detenciones;</w:t>
      </w:r>
    </w:p>
    <w:p w14:paraId="0BFA30BE" w14:textId="77777777" w:rsidR="00DC1A86" w:rsidRPr="00CC59E0" w:rsidRDefault="00DC1A86" w:rsidP="001059F7">
      <w:pPr>
        <w:spacing w:after="0" w:line="240" w:lineRule="auto"/>
        <w:jc w:val="both"/>
        <w:rPr>
          <w:rFonts w:ascii="Arial" w:hAnsi="Arial" w:cs="Arial"/>
        </w:rPr>
      </w:pPr>
      <w:r w:rsidRPr="00CC59E0">
        <w:rPr>
          <w:rFonts w:ascii="Arial" w:hAnsi="Arial" w:cs="Arial"/>
          <w:b/>
        </w:rPr>
        <w:t>VII.</w:t>
      </w:r>
      <w:r w:rsidRPr="00CC59E0">
        <w:rPr>
          <w:rFonts w:ascii="Arial" w:hAnsi="Arial" w:cs="Arial"/>
        </w:rPr>
        <w:t xml:space="preserve"> Registro de Estadísticas de Seguridad de la Ciudad de México;</w:t>
      </w:r>
    </w:p>
    <w:p w14:paraId="182CB335" w14:textId="77777777" w:rsidR="00DC1A86" w:rsidRPr="00CC59E0" w:rsidRDefault="00DC1A86" w:rsidP="00CC59E0">
      <w:pPr>
        <w:spacing w:after="0" w:line="240" w:lineRule="auto"/>
        <w:jc w:val="both"/>
        <w:rPr>
          <w:rFonts w:ascii="Arial" w:hAnsi="Arial" w:cs="Arial"/>
        </w:rPr>
      </w:pPr>
      <w:r w:rsidRPr="00CC59E0">
        <w:rPr>
          <w:rFonts w:ascii="Arial" w:hAnsi="Arial" w:cs="Arial"/>
          <w:b/>
        </w:rPr>
        <w:t>VIII.</w:t>
      </w:r>
      <w:r w:rsidRPr="00CC59E0">
        <w:rPr>
          <w:rFonts w:ascii="Arial" w:hAnsi="Arial" w:cs="Arial"/>
        </w:rPr>
        <w:t xml:space="preserve"> Registro de Medidas Cautelares, Providencias Precautorias, Soluciones Alternas, y Formas de Terminación Anticipada;</w:t>
      </w:r>
    </w:p>
    <w:p w14:paraId="05E3B07E" w14:textId="77777777" w:rsidR="00DC1A86" w:rsidRPr="00CC59E0" w:rsidRDefault="00DC1A86" w:rsidP="001059F7">
      <w:pPr>
        <w:spacing w:after="0" w:line="240" w:lineRule="auto"/>
        <w:jc w:val="both"/>
        <w:rPr>
          <w:rFonts w:ascii="Arial" w:hAnsi="Arial" w:cs="Arial"/>
        </w:rPr>
      </w:pPr>
      <w:r w:rsidRPr="00CC59E0">
        <w:rPr>
          <w:rFonts w:ascii="Arial" w:hAnsi="Arial" w:cs="Arial"/>
          <w:b/>
        </w:rPr>
        <w:t>IX.</w:t>
      </w:r>
      <w:r w:rsidRPr="00CC59E0">
        <w:rPr>
          <w:rFonts w:ascii="Arial" w:hAnsi="Arial" w:cs="Arial"/>
        </w:rPr>
        <w:t xml:space="preserve"> Los sistemas de gestión de carpetas investigación de la Fiscalía;</w:t>
      </w:r>
    </w:p>
    <w:p w14:paraId="0AF67E66" w14:textId="77777777" w:rsidR="00DC1A86" w:rsidRPr="00CC59E0" w:rsidRDefault="00DC1A86" w:rsidP="001059F7">
      <w:pPr>
        <w:spacing w:after="0" w:line="240" w:lineRule="auto"/>
        <w:jc w:val="both"/>
        <w:rPr>
          <w:rFonts w:ascii="Arial" w:hAnsi="Arial" w:cs="Arial"/>
        </w:rPr>
      </w:pPr>
      <w:r w:rsidRPr="00CC59E0">
        <w:rPr>
          <w:rFonts w:ascii="Arial" w:hAnsi="Arial" w:cs="Arial"/>
          <w:b/>
        </w:rPr>
        <w:t>X.</w:t>
      </w:r>
      <w:r w:rsidRPr="00CC59E0">
        <w:rPr>
          <w:rFonts w:ascii="Arial" w:hAnsi="Arial" w:cs="Arial"/>
        </w:rPr>
        <w:t xml:space="preserve"> Los sistemas locales de información de la Secretaría de Salud;</w:t>
      </w:r>
    </w:p>
    <w:p w14:paraId="2D5BB5C2" w14:textId="77777777" w:rsidR="00DC1A86" w:rsidRPr="00CC59E0" w:rsidRDefault="00DC1A86" w:rsidP="001059F7">
      <w:pPr>
        <w:spacing w:after="0" w:line="240" w:lineRule="auto"/>
        <w:jc w:val="both"/>
        <w:rPr>
          <w:rFonts w:ascii="Arial" w:hAnsi="Arial" w:cs="Arial"/>
        </w:rPr>
      </w:pPr>
      <w:r w:rsidRPr="00CC59E0">
        <w:rPr>
          <w:rFonts w:ascii="Arial" w:hAnsi="Arial" w:cs="Arial"/>
          <w:b/>
        </w:rPr>
        <w:t>XI.</w:t>
      </w:r>
      <w:r w:rsidRPr="00CC59E0">
        <w:rPr>
          <w:rFonts w:ascii="Arial" w:hAnsi="Arial" w:cs="Arial"/>
        </w:rPr>
        <w:t xml:space="preserve"> Los sistemas de información del Instituto de Ciencias Forenses de la Ciudad de México; y,</w:t>
      </w:r>
    </w:p>
    <w:p w14:paraId="32589321" w14:textId="77777777" w:rsidR="00DC1A86" w:rsidRPr="00CC59E0" w:rsidRDefault="00DC1A86" w:rsidP="001059F7">
      <w:pPr>
        <w:spacing w:after="0" w:line="240" w:lineRule="auto"/>
        <w:jc w:val="both"/>
        <w:rPr>
          <w:rFonts w:ascii="Arial" w:hAnsi="Arial" w:cs="Arial"/>
        </w:rPr>
      </w:pPr>
      <w:r w:rsidRPr="00CC59E0">
        <w:rPr>
          <w:rFonts w:ascii="Arial" w:hAnsi="Arial" w:cs="Arial"/>
          <w:b/>
        </w:rPr>
        <w:t>XII.</w:t>
      </w:r>
      <w:r w:rsidRPr="00CC59E0">
        <w:rPr>
          <w:rFonts w:ascii="Arial" w:hAnsi="Arial" w:cs="Arial"/>
        </w:rPr>
        <w:t xml:space="preserve"> El Sistema Unificado de Información de la Ciudad de México.</w:t>
      </w:r>
    </w:p>
    <w:p w14:paraId="0B112B4D" w14:textId="77777777" w:rsidR="00DC1A86" w:rsidRPr="00CC59E0" w:rsidRDefault="00DC1A86" w:rsidP="00CC59E0">
      <w:pPr>
        <w:pStyle w:val="Textonotapie"/>
        <w:spacing w:after="0" w:line="240" w:lineRule="auto"/>
        <w:jc w:val="both"/>
        <w:rPr>
          <w:rFonts w:ascii="Arial" w:hAnsi="Arial" w:cs="Arial"/>
          <w:sz w:val="22"/>
          <w:szCs w:val="22"/>
        </w:rPr>
      </w:pPr>
    </w:p>
  </w:footnote>
  <w:footnote w:id="21">
    <w:p w14:paraId="62D11BE9" w14:textId="77777777" w:rsidR="001059F7" w:rsidRDefault="00DC1A86" w:rsidP="00CC59E0">
      <w:pPr>
        <w:pStyle w:val="Textonotapie"/>
        <w:spacing w:after="0" w:line="240" w:lineRule="auto"/>
        <w:jc w:val="both"/>
        <w:rPr>
          <w:rFonts w:ascii="Arial" w:hAnsi="Arial" w:cs="Arial"/>
          <w:b/>
          <w:bCs/>
          <w:sz w:val="22"/>
          <w:szCs w:val="22"/>
          <w:u w:val="single"/>
        </w:rPr>
      </w:pPr>
      <w:r w:rsidRPr="00CC59E0">
        <w:rPr>
          <w:rStyle w:val="Refdenotaalpie"/>
          <w:rFonts w:ascii="Arial" w:hAnsi="Arial" w:cs="Arial"/>
          <w:sz w:val="22"/>
          <w:szCs w:val="22"/>
        </w:rPr>
        <w:footnoteRef/>
      </w:r>
      <w:r w:rsidRPr="00CC59E0">
        <w:rPr>
          <w:rFonts w:ascii="Arial" w:hAnsi="Arial" w:cs="Arial"/>
          <w:sz w:val="22"/>
          <w:szCs w:val="22"/>
        </w:rPr>
        <w:t xml:space="preserve"> </w:t>
      </w:r>
      <w:r w:rsidR="001059F7">
        <w:rPr>
          <w:rFonts w:ascii="Arial" w:hAnsi="Arial" w:cs="Arial"/>
          <w:b/>
          <w:bCs/>
          <w:sz w:val="22"/>
          <w:szCs w:val="22"/>
          <w:u w:val="single"/>
        </w:rPr>
        <w:t>Constitución General</w:t>
      </w:r>
    </w:p>
    <w:p w14:paraId="2CB6DDB0" w14:textId="0E580C00" w:rsidR="00DC1A86" w:rsidRPr="00CC59E0" w:rsidRDefault="00DC1A86" w:rsidP="00CC59E0">
      <w:pPr>
        <w:pStyle w:val="Textonotapie"/>
        <w:spacing w:after="0" w:line="240" w:lineRule="auto"/>
        <w:jc w:val="both"/>
        <w:rPr>
          <w:rFonts w:ascii="Arial" w:hAnsi="Arial" w:cs="Arial"/>
          <w:sz w:val="22"/>
          <w:szCs w:val="22"/>
          <w:highlight w:val="yellow"/>
        </w:rPr>
      </w:pPr>
      <w:r w:rsidRPr="00CC59E0">
        <w:rPr>
          <w:rFonts w:ascii="Arial" w:hAnsi="Arial" w:cs="Arial"/>
          <w:b/>
          <w:sz w:val="22"/>
          <w:szCs w:val="22"/>
        </w:rPr>
        <w:t>Artículo 21</w:t>
      </w:r>
      <w:r w:rsidRPr="00CC59E0">
        <w:rPr>
          <w:rFonts w:ascii="Arial" w:hAnsi="Arial" w:cs="Arial"/>
          <w:sz w:val="22"/>
          <w:szCs w:val="22"/>
        </w:rPr>
        <w:t>. […]</w:t>
      </w:r>
    </w:p>
    <w:p w14:paraId="7E636750" w14:textId="77777777" w:rsidR="00DC1A86" w:rsidRPr="00CC59E0" w:rsidRDefault="00DC1A86" w:rsidP="00CC59E0">
      <w:pPr>
        <w:pStyle w:val="Textonotapie"/>
        <w:spacing w:after="0" w:line="240" w:lineRule="auto"/>
        <w:jc w:val="both"/>
        <w:rPr>
          <w:rFonts w:ascii="Arial" w:hAnsi="Arial" w:cs="Arial"/>
          <w:sz w:val="22"/>
          <w:szCs w:val="22"/>
        </w:rPr>
      </w:pPr>
      <w:r w:rsidRPr="00CC59E0">
        <w:rPr>
          <w:rFonts w:ascii="Arial" w:hAnsi="Arial" w:cs="Arial"/>
          <w:sz w:val="22"/>
          <w:szCs w:val="22"/>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14:paraId="467F5D5D" w14:textId="77777777" w:rsidR="00DC1A86" w:rsidRPr="00CC59E0" w:rsidRDefault="00DC1A86" w:rsidP="001059F7">
      <w:pPr>
        <w:pStyle w:val="Textonotapie"/>
        <w:spacing w:after="0" w:line="240" w:lineRule="auto"/>
        <w:jc w:val="both"/>
        <w:rPr>
          <w:rFonts w:ascii="Arial" w:hAnsi="Arial" w:cs="Arial"/>
          <w:sz w:val="22"/>
          <w:szCs w:val="22"/>
        </w:rPr>
      </w:pPr>
      <w:r w:rsidRPr="00CC59E0">
        <w:rPr>
          <w:rFonts w:ascii="Arial" w:hAnsi="Arial" w:cs="Arial"/>
          <w:sz w:val="22"/>
          <w:szCs w:val="22"/>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14:paraId="318FDF1C" w14:textId="597E7C4A" w:rsidR="00DC1A86" w:rsidRPr="00CC59E0" w:rsidRDefault="00DC1A86" w:rsidP="001059F7">
      <w:pPr>
        <w:pStyle w:val="Textonotapie"/>
        <w:spacing w:after="0" w:line="240" w:lineRule="auto"/>
        <w:jc w:val="both"/>
        <w:rPr>
          <w:rFonts w:ascii="Arial" w:hAnsi="Arial" w:cs="Arial"/>
          <w:sz w:val="22"/>
          <w:szCs w:val="22"/>
        </w:rPr>
      </w:pPr>
      <w:r w:rsidRPr="00CC59E0">
        <w:rPr>
          <w:rFonts w:ascii="Arial" w:hAnsi="Arial" w:cs="Arial"/>
          <w:sz w:val="22"/>
          <w:szCs w:val="22"/>
        </w:rPr>
        <w:t>[…]</w:t>
      </w:r>
    </w:p>
  </w:footnote>
  <w:footnote w:id="22">
    <w:p w14:paraId="79078A1F" w14:textId="0B28B787" w:rsidR="00DC1A86" w:rsidRPr="00CC59E0" w:rsidRDefault="00DC1A86" w:rsidP="00CC59E0">
      <w:pPr>
        <w:spacing w:after="0" w:line="240" w:lineRule="auto"/>
        <w:jc w:val="both"/>
        <w:rPr>
          <w:rFonts w:ascii="Arial" w:hAnsi="Arial" w:cs="Arial"/>
        </w:rPr>
      </w:pPr>
      <w:r w:rsidRPr="00CC59E0">
        <w:rPr>
          <w:rStyle w:val="Refdenotaalpie"/>
          <w:rFonts w:ascii="Arial" w:hAnsi="Arial" w:cs="Arial"/>
        </w:rPr>
        <w:footnoteRef/>
      </w:r>
      <w:r w:rsidRPr="00CC59E0">
        <w:rPr>
          <w:rFonts w:ascii="Arial" w:hAnsi="Arial" w:cs="Arial"/>
        </w:rPr>
        <w:t xml:space="preserve"> En efecto, en dicho precedente se afirmó que: </w:t>
      </w:r>
      <w:r w:rsidRPr="00CC59E0">
        <w:rPr>
          <w:rFonts w:ascii="Arial" w:hAnsi="Arial" w:cs="Arial"/>
          <w:i/>
        </w:rPr>
        <w:t xml:space="preserve">“…los artículos 21 y 73, fracción XXIII, constitucionales contemplan una facultad legislativa concurrente entre la Federación, el Distrito Federal, los Estados y los Municipios, en donde todos estos deben sujetarse a la distribución competencial que establezca la ley marco o general que al efecto expida el Congreso de la Unión”. </w:t>
      </w:r>
    </w:p>
  </w:footnote>
  <w:footnote w:id="23">
    <w:p w14:paraId="314AD0C2" w14:textId="34156F84" w:rsidR="00DC1A86" w:rsidRPr="00CC59E0" w:rsidRDefault="00DC1A86"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Resuelta el diez de marzo de dos mil ocho, por mayoría de seis votos de los señores Ministros Aguirre Anguiano, Góngora Pimentel, Gudiño Pelayo, Azuela Güitrón. Silva Meza y Presidente Ortiz Mayagoitia; los señores Ministros Cossío Díaz, Luna Ramos, Franco González Salas, Valls Hernández y Sánchez Cordero de García Villegas votaron en contra.</w:t>
      </w:r>
    </w:p>
  </w:footnote>
  <w:footnote w:id="24">
    <w:p w14:paraId="1E3761F1" w14:textId="3563DAA5" w:rsidR="00DC1A86" w:rsidRPr="00CC59E0" w:rsidRDefault="00DC1A86"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Resuelta el diez de septiembre de dos mil diecinueve, en este punto por </w:t>
      </w:r>
      <w:r w:rsidRPr="00CC59E0">
        <w:rPr>
          <w:rFonts w:ascii="Arial" w:hAnsi="Arial" w:cs="Arial"/>
          <w:sz w:val="22"/>
          <w:szCs w:val="22"/>
          <w:lang w:val="es-ES_tradnl"/>
        </w:rPr>
        <w:t xml:space="preserve">por unanimidad de nueve votos de los señores </w:t>
      </w:r>
      <w:proofErr w:type="gramStart"/>
      <w:r w:rsidRPr="00CC59E0">
        <w:rPr>
          <w:rFonts w:ascii="Arial" w:hAnsi="Arial" w:cs="Arial"/>
          <w:sz w:val="22"/>
          <w:szCs w:val="22"/>
          <w:lang w:val="es-ES_tradnl"/>
        </w:rPr>
        <w:t>Ministros</w:t>
      </w:r>
      <w:proofErr w:type="gramEnd"/>
      <w:r w:rsidRPr="00CC59E0">
        <w:rPr>
          <w:rFonts w:ascii="Arial" w:hAnsi="Arial" w:cs="Arial"/>
          <w:sz w:val="22"/>
          <w:szCs w:val="22"/>
          <w:lang w:val="es-ES_tradnl"/>
        </w:rPr>
        <w:t xml:space="preserve"> Gutiérrez Ortiz Mena, González Alcántara Carrancá, Esquivel Mossa, Franco González Salas, Aguilar Morales, Piña Hernández, Medina Mora I., Laynez Potisek y Presidente Zaldívar Lelo de Larrea.</w:t>
      </w:r>
    </w:p>
  </w:footnote>
  <w:footnote w:id="25">
    <w:p w14:paraId="32CEAAA8" w14:textId="2024407A" w:rsidR="00991B1A" w:rsidRDefault="00DC1A86" w:rsidP="00CC59E0">
      <w:pPr>
        <w:spacing w:after="0" w:line="240" w:lineRule="auto"/>
        <w:suppressOverlap/>
        <w:jc w:val="both"/>
        <w:rPr>
          <w:rFonts w:ascii="Arial" w:hAnsi="Arial" w:cs="Arial"/>
        </w:rPr>
      </w:pPr>
      <w:r w:rsidRPr="00CC59E0">
        <w:rPr>
          <w:rStyle w:val="Refdenotaalpie"/>
          <w:rFonts w:ascii="Arial" w:hAnsi="Arial" w:cs="Arial"/>
        </w:rPr>
        <w:footnoteRef/>
      </w:r>
      <w:r w:rsidRPr="00CC59E0">
        <w:rPr>
          <w:rFonts w:ascii="Arial" w:hAnsi="Arial" w:cs="Arial"/>
        </w:rPr>
        <w:t xml:space="preserve"> </w:t>
      </w:r>
      <w:r w:rsidR="00991B1A" w:rsidRPr="00991B1A">
        <w:rPr>
          <w:rFonts w:ascii="Arial" w:hAnsi="Arial" w:cs="Arial"/>
          <w:b/>
          <w:bCs/>
          <w:color w:val="000000" w:themeColor="text1"/>
          <w:u w:val="single"/>
          <w:lang w:val="es-ES_tradnl"/>
        </w:rPr>
        <w:t>Ley del Sistema de Seguridad Ciudadana de la Ciudad de México</w:t>
      </w:r>
    </w:p>
    <w:p w14:paraId="3ACA5BF5" w14:textId="29CA5C51" w:rsidR="00DC1A86" w:rsidRPr="00991B1A" w:rsidRDefault="00DC1A86" w:rsidP="00CC59E0">
      <w:pPr>
        <w:spacing w:after="0" w:line="240" w:lineRule="auto"/>
        <w:suppressOverlap/>
        <w:jc w:val="both"/>
        <w:rPr>
          <w:rFonts w:ascii="Arial" w:hAnsi="Arial" w:cs="Arial"/>
          <w:bCs/>
          <w:highlight w:val="yellow"/>
        </w:rPr>
      </w:pPr>
      <w:r w:rsidRPr="00CC59E0">
        <w:rPr>
          <w:rFonts w:ascii="Arial" w:hAnsi="Arial" w:cs="Arial"/>
          <w:b/>
        </w:rPr>
        <w:t>Artículo 59.</w:t>
      </w:r>
      <w:r w:rsidRPr="00CC59E0">
        <w:rPr>
          <w:rFonts w:ascii="Arial" w:hAnsi="Arial" w:cs="Arial"/>
        </w:rPr>
        <w:t xml:space="preserve"> Con el objeto de garantizar el cumplimiento de los principios constitucionales de legalidad, objetividad, eficiencia, profesionalismo, honradez y respeto a los derechos humanos, los integrantes de las Instituciones de Seguridad Ciudadana tendrán las siguientes obligaciones:</w:t>
      </w:r>
    </w:p>
    <w:p w14:paraId="0036A9D0" w14:textId="77777777" w:rsidR="00DC1A86" w:rsidRPr="00CC59E0" w:rsidRDefault="00DC1A86" w:rsidP="00CC59E0">
      <w:pPr>
        <w:spacing w:after="0" w:line="240" w:lineRule="auto"/>
        <w:ind w:firstLine="709"/>
        <w:suppressOverlap/>
        <w:jc w:val="both"/>
        <w:rPr>
          <w:rFonts w:ascii="Arial" w:hAnsi="Arial" w:cs="Arial"/>
          <w:bCs/>
        </w:rPr>
      </w:pPr>
      <w:r w:rsidRPr="00CC59E0">
        <w:rPr>
          <w:rFonts w:ascii="Arial" w:hAnsi="Arial" w:cs="Arial"/>
        </w:rPr>
        <w:t>[…]</w:t>
      </w:r>
    </w:p>
    <w:p w14:paraId="19CCD42D" w14:textId="53445AA7" w:rsidR="00DC1A86" w:rsidRPr="00CC59E0" w:rsidRDefault="00DC1A86" w:rsidP="00CC59E0">
      <w:pPr>
        <w:spacing w:after="0" w:line="240" w:lineRule="auto"/>
        <w:suppressOverlap/>
        <w:jc w:val="both"/>
        <w:rPr>
          <w:rFonts w:ascii="Arial" w:hAnsi="Arial" w:cs="Arial"/>
          <w:bCs/>
        </w:rPr>
      </w:pPr>
      <w:r w:rsidRPr="00CC59E0">
        <w:rPr>
          <w:rFonts w:ascii="Arial" w:hAnsi="Arial" w:cs="Arial"/>
          <w:b/>
        </w:rPr>
        <w:t>XXI.</w:t>
      </w:r>
      <w:r w:rsidRPr="00CC59E0">
        <w:rPr>
          <w:rFonts w:ascii="Arial" w:hAnsi="Arial" w:cs="Arial"/>
        </w:rPr>
        <w:t xml:space="preserve"> </w:t>
      </w:r>
      <w:r w:rsidRPr="00CC59E0">
        <w:rPr>
          <w:rFonts w:ascii="Arial" w:hAnsi="Arial" w:cs="Arial"/>
          <w:u w:val="single"/>
        </w:rPr>
        <w:t>Abstenerse de realizar conductas que desacrediten su persona o la imagen de las Instituciones de Seguridad Ciudadana, dentro o fuera del servicio</w:t>
      </w:r>
      <w:r w:rsidRPr="00CC59E0">
        <w:rPr>
          <w:rFonts w:ascii="Arial" w:hAnsi="Arial" w:cs="Arial"/>
        </w:rPr>
        <w:t>;</w:t>
      </w:r>
    </w:p>
    <w:p w14:paraId="61F48149" w14:textId="77777777" w:rsidR="00DC1A86" w:rsidRPr="00CC59E0" w:rsidRDefault="00DC1A86" w:rsidP="00CC59E0">
      <w:pPr>
        <w:pStyle w:val="Textonotapie"/>
        <w:spacing w:after="0" w:line="240" w:lineRule="auto"/>
        <w:ind w:firstLine="709"/>
        <w:jc w:val="both"/>
        <w:rPr>
          <w:rFonts w:ascii="Arial" w:hAnsi="Arial" w:cs="Arial"/>
          <w:sz w:val="22"/>
          <w:szCs w:val="22"/>
        </w:rPr>
      </w:pPr>
      <w:r w:rsidRPr="00CC59E0">
        <w:rPr>
          <w:rFonts w:ascii="Arial" w:hAnsi="Arial" w:cs="Arial"/>
          <w:sz w:val="22"/>
          <w:szCs w:val="22"/>
        </w:rPr>
        <w:t>[…]</w:t>
      </w:r>
    </w:p>
  </w:footnote>
  <w:footnote w:id="26">
    <w:p w14:paraId="29441FD1" w14:textId="0056A099" w:rsidR="00DC1A86" w:rsidRPr="00CC59E0" w:rsidRDefault="00DC1A86"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Resuelto en sesión de trece de junio de dos mil once, por mayoría de cuatro votos de los señores Ministros: Jorge Mario Pardo Rebolledo, Guillermo I. Ortiz Mayagoitia, Olga Sánchez Cordero de García Villegas y Presidente Arturo Zaldívar Lelo de Larrea (Ponente), en contra del emitido por el señor Ministro José Ramón Cossío Díaz.</w:t>
      </w:r>
    </w:p>
  </w:footnote>
  <w:footnote w:id="27">
    <w:p w14:paraId="35854FE5" w14:textId="5D79916C" w:rsidR="00DC1A86" w:rsidRPr="00CC59E0" w:rsidRDefault="00DC1A86"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Corte IDH, </w:t>
      </w:r>
      <w:r w:rsidRPr="00CC59E0">
        <w:rPr>
          <w:rFonts w:ascii="Arial" w:hAnsi="Arial" w:cs="Arial"/>
          <w:i/>
          <w:iCs/>
          <w:sz w:val="22"/>
          <w:szCs w:val="22"/>
        </w:rPr>
        <w:t>Caso Rico Vs. Argentina</w:t>
      </w:r>
      <w:r w:rsidRPr="00CC59E0">
        <w:rPr>
          <w:rFonts w:ascii="Arial" w:hAnsi="Arial" w:cs="Arial"/>
          <w:sz w:val="22"/>
          <w:szCs w:val="22"/>
        </w:rPr>
        <w:t xml:space="preserve">, párr. 102, Caso </w:t>
      </w:r>
      <w:r w:rsidRPr="00CC59E0">
        <w:rPr>
          <w:rFonts w:ascii="Arial" w:hAnsi="Arial" w:cs="Arial"/>
          <w:i/>
          <w:iCs/>
          <w:sz w:val="22"/>
          <w:szCs w:val="22"/>
        </w:rPr>
        <w:t>Maldonado Ordóñez Vs. Guatemala</w:t>
      </w:r>
      <w:r w:rsidRPr="00CC59E0">
        <w:rPr>
          <w:rFonts w:ascii="Arial" w:hAnsi="Arial" w:cs="Arial"/>
          <w:sz w:val="22"/>
          <w:szCs w:val="22"/>
        </w:rPr>
        <w:t xml:space="preserve">, párr. 89, y </w:t>
      </w:r>
      <w:r w:rsidRPr="00CC59E0">
        <w:rPr>
          <w:rFonts w:ascii="Arial" w:hAnsi="Arial" w:cs="Arial"/>
          <w:i/>
          <w:iCs/>
          <w:sz w:val="22"/>
          <w:szCs w:val="22"/>
        </w:rPr>
        <w:t>Caso Urrutia Labreaux vs. Chile</w:t>
      </w:r>
      <w:r w:rsidRPr="00CC59E0">
        <w:rPr>
          <w:rFonts w:ascii="Arial" w:hAnsi="Arial" w:cs="Arial"/>
          <w:sz w:val="22"/>
          <w:szCs w:val="22"/>
        </w:rPr>
        <w:t xml:space="preserve">, parr. 129. </w:t>
      </w:r>
    </w:p>
  </w:footnote>
  <w:footnote w:id="28">
    <w:p w14:paraId="5656DC28" w14:textId="1BCCBA46" w:rsidR="00DC1A86" w:rsidRPr="00CC59E0" w:rsidRDefault="00DC1A86"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Véase por todos, Caso Rico Vs. Argentina, parr. 103.</w:t>
      </w:r>
    </w:p>
  </w:footnote>
  <w:footnote w:id="29">
    <w:p w14:paraId="52D9BC9F" w14:textId="1812C156" w:rsidR="0042417C" w:rsidRPr="00CC59E0" w:rsidRDefault="001034F8"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w:t>
      </w:r>
      <w:r w:rsidR="0042417C" w:rsidRPr="00CC59E0">
        <w:rPr>
          <w:rFonts w:ascii="Arial" w:hAnsi="Arial" w:cs="Arial"/>
          <w:sz w:val="22"/>
          <w:szCs w:val="22"/>
        </w:rPr>
        <w:t>Desacreditar</w:t>
      </w:r>
      <w:r w:rsidR="00461ECB" w:rsidRPr="00CC59E0">
        <w:rPr>
          <w:rFonts w:ascii="Arial" w:hAnsi="Arial" w:cs="Arial"/>
          <w:sz w:val="22"/>
          <w:szCs w:val="22"/>
        </w:rPr>
        <w:t xml:space="preserve"> </w:t>
      </w:r>
      <w:r w:rsidR="0042417C" w:rsidRPr="00CC59E0">
        <w:rPr>
          <w:rFonts w:ascii="Arial" w:hAnsi="Arial" w:cs="Arial"/>
          <w:sz w:val="22"/>
          <w:szCs w:val="22"/>
        </w:rPr>
        <w:t xml:space="preserve">1.tr. Disminuir o quitar la reputación de alguien, o el valor y la estimación de algo. </w:t>
      </w:r>
      <w:r w:rsidR="0042417C" w:rsidRPr="00CC59E0">
        <w:rPr>
          <w:rFonts w:ascii="Arial" w:hAnsi="Arial" w:cs="Arial"/>
          <w:sz w:val="22"/>
          <w:szCs w:val="22"/>
        </w:rPr>
        <w:tab/>
        <w:t>Rae</w:t>
      </w:r>
      <w:r w:rsidR="0042417C" w:rsidRPr="00CC59E0">
        <w:rPr>
          <w:rFonts w:ascii="Arial" w:hAnsi="Arial" w:cs="Arial"/>
          <w:color w:val="000000"/>
          <w:spacing w:val="4"/>
          <w:sz w:val="22"/>
          <w:szCs w:val="22"/>
          <w:shd w:val="clear" w:color="auto" w:fill="FFFFFF"/>
        </w:rPr>
        <w:t xml:space="preserve"> REAL ACADEMIA ESPAÑOLA: </w:t>
      </w:r>
      <w:r w:rsidR="0042417C" w:rsidRPr="00CC59E0">
        <w:rPr>
          <w:rStyle w:val="nfasis"/>
          <w:rFonts w:ascii="Arial" w:hAnsi="Arial" w:cs="Arial"/>
          <w:color w:val="000000"/>
          <w:spacing w:val="4"/>
          <w:sz w:val="22"/>
          <w:szCs w:val="22"/>
          <w:shd w:val="clear" w:color="auto" w:fill="FFFFFF"/>
        </w:rPr>
        <w:t>Diccionario de la lengua española</w:t>
      </w:r>
      <w:r w:rsidR="0042417C" w:rsidRPr="00CC59E0">
        <w:rPr>
          <w:rFonts w:ascii="Arial" w:hAnsi="Arial" w:cs="Arial"/>
          <w:color w:val="000000"/>
          <w:spacing w:val="4"/>
          <w:sz w:val="22"/>
          <w:szCs w:val="22"/>
          <w:shd w:val="clear" w:color="auto" w:fill="FFFFFF"/>
        </w:rPr>
        <w:t>, 23.ª ed., [versión 23.4 en línea]. &lt;https://dle.rae.es&gt;</w:t>
      </w:r>
    </w:p>
  </w:footnote>
  <w:footnote w:id="30">
    <w:p w14:paraId="5D48CDCF" w14:textId="228FB2AC" w:rsidR="00DC1A86" w:rsidRPr="00CC59E0" w:rsidRDefault="00DC1A86" w:rsidP="00CC59E0">
      <w:pPr>
        <w:pStyle w:val="Textonotapie"/>
        <w:spacing w:after="0" w:line="240" w:lineRule="auto"/>
        <w:jc w:val="both"/>
        <w:rPr>
          <w:rFonts w:ascii="Arial" w:hAnsi="Arial" w:cs="Arial"/>
          <w:sz w:val="22"/>
          <w:szCs w:val="22"/>
        </w:rPr>
      </w:pPr>
      <w:r w:rsidRPr="00CC59E0">
        <w:rPr>
          <w:rStyle w:val="Refdenotaalpie"/>
          <w:rFonts w:ascii="Arial" w:hAnsi="Arial" w:cs="Arial"/>
          <w:sz w:val="22"/>
          <w:szCs w:val="22"/>
        </w:rPr>
        <w:footnoteRef/>
      </w:r>
      <w:r w:rsidRPr="00CC59E0">
        <w:rPr>
          <w:rFonts w:ascii="Arial" w:hAnsi="Arial" w:cs="Arial"/>
          <w:sz w:val="22"/>
          <w:szCs w:val="22"/>
        </w:rPr>
        <w:t xml:space="preserve"> Por ejemplo, el Código de Conducta de la Secretaría de Seguridad Ciudadana de la Ciudad de México.</w:t>
      </w:r>
    </w:p>
  </w:footnote>
  <w:footnote w:id="31">
    <w:p w14:paraId="5F2C289F" w14:textId="77777777" w:rsidR="00991B1A" w:rsidRDefault="00DC1A86" w:rsidP="00CC59E0">
      <w:pPr>
        <w:pStyle w:val="Estilo"/>
        <w:rPr>
          <w:rFonts w:ascii="Arial" w:hAnsi="Arial" w:cs="Arial"/>
          <w:b/>
          <w:bCs/>
          <w:color w:val="000000" w:themeColor="text1"/>
          <w:u w:val="single"/>
          <w:lang w:val="es-ES_tradnl"/>
        </w:rPr>
      </w:pPr>
      <w:r w:rsidRPr="00CC59E0">
        <w:rPr>
          <w:rStyle w:val="Refdenotaalpie"/>
          <w:rFonts w:ascii="Arial" w:hAnsi="Arial" w:cs="Arial"/>
        </w:rPr>
        <w:footnoteRef/>
      </w:r>
      <w:r w:rsidRPr="00CC59E0">
        <w:rPr>
          <w:rFonts w:ascii="Arial" w:hAnsi="Arial" w:cs="Arial"/>
        </w:rPr>
        <w:t xml:space="preserve"> </w:t>
      </w:r>
      <w:r w:rsidR="00991B1A" w:rsidRPr="00991B1A">
        <w:rPr>
          <w:rFonts w:ascii="Arial" w:hAnsi="Arial" w:cs="Arial"/>
          <w:b/>
          <w:bCs/>
          <w:color w:val="000000" w:themeColor="text1"/>
          <w:u w:val="single"/>
          <w:lang w:val="es-ES_tradnl"/>
        </w:rPr>
        <w:t xml:space="preserve">Ley del Sistema de Seguridad Ciudadana de la Ciudad de México </w:t>
      </w:r>
    </w:p>
    <w:p w14:paraId="7179FCAF" w14:textId="59DF1B6E" w:rsidR="00DC1A86" w:rsidRPr="00CC59E0" w:rsidRDefault="00DC1A86" w:rsidP="00CC59E0">
      <w:pPr>
        <w:pStyle w:val="Estilo"/>
        <w:rPr>
          <w:rFonts w:ascii="Arial" w:hAnsi="Arial" w:cs="Arial"/>
          <w:lang w:val="es-ES_tradnl"/>
        </w:rPr>
      </w:pPr>
      <w:r w:rsidRPr="00CC59E0">
        <w:rPr>
          <w:rFonts w:ascii="Arial" w:hAnsi="Arial" w:cs="Arial"/>
          <w:b/>
          <w:lang w:val="es-ES_tradnl"/>
        </w:rPr>
        <w:t>Artículo 8.</w:t>
      </w:r>
      <w:r w:rsidRPr="00CC59E0">
        <w:rPr>
          <w:rFonts w:ascii="Arial" w:hAnsi="Arial" w:cs="Arial"/>
          <w:lang w:val="es-ES_tradnl"/>
        </w:rPr>
        <w:t xml:space="preserve"> Los derechos en materia de seguridad que el Gobierno de la Ciudad de México tiene la obligación de garantizar a sus habitantes, son los siguientes:</w:t>
      </w:r>
    </w:p>
    <w:p w14:paraId="7648D9E6" w14:textId="3EDC89B3" w:rsidR="00DC1A86" w:rsidRPr="00CC59E0" w:rsidRDefault="00DC1A86" w:rsidP="00991B1A">
      <w:pPr>
        <w:pStyle w:val="Estilo"/>
        <w:rPr>
          <w:rFonts w:ascii="Arial" w:hAnsi="Arial" w:cs="Arial"/>
          <w:b/>
          <w:lang w:val="es-ES_tradnl"/>
        </w:rPr>
      </w:pPr>
      <w:r w:rsidRPr="00CC59E0">
        <w:rPr>
          <w:rFonts w:ascii="Arial" w:hAnsi="Arial" w:cs="Arial"/>
          <w:b/>
          <w:lang w:val="es-ES_tradnl"/>
        </w:rPr>
        <w:t>I.</w:t>
      </w:r>
      <w:r w:rsidRPr="00CC59E0">
        <w:rPr>
          <w:rFonts w:ascii="Arial" w:hAnsi="Arial" w:cs="Arial"/>
          <w:lang w:val="es-ES_tradnl"/>
        </w:rPr>
        <w:t xml:space="preserve"> Convivencia pacífica y solidaria;</w:t>
      </w:r>
    </w:p>
    <w:p w14:paraId="119CACB7" w14:textId="20BB26F7" w:rsidR="00DC1A86" w:rsidRPr="00CC59E0" w:rsidRDefault="00DC1A86" w:rsidP="00991B1A">
      <w:pPr>
        <w:pStyle w:val="Estilo"/>
        <w:rPr>
          <w:rFonts w:ascii="Arial" w:hAnsi="Arial" w:cs="Arial"/>
          <w:lang w:val="es-ES_tradnl"/>
        </w:rPr>
      </w:pPr>
      <w:r w:rsidRPr="00CC59E0">
        <w:rPr>
          <w:rFonts w:ascii="Arial" w:hAnsi="Arial" w:cs="Arial"/>
          <w:b/>
          <w:lang w:val="es-ES_tradnl"/>
        </w:rPr>
        <w:t>II.</w:t>
      </w:r>
      <w:r w:rsidRPr="00CC59E0">
        <w:rPr>
          <w:rFonts w:ascii="Arial" w:hAnsi="Arial" w:cs="Arial"/>
          <w:lang w:val="es-ES_tradnl"/>
        </w:rPr>
        <w:t xml:space="preserve"> Vivir libre de amenazas generadas por el ejercicio de las violencias y los delitos;</w:t>
      </w:r>
    </w:p>
    <w:p w14:paraId="4112EF87" w14:textId="2B24A75B" w:rsidR="00DC1A86" w:rsidRPr="00CC59E0" w:rsidRDefault="00DC1A86" w:rsidP="00991B1A">
      <w:pPr>
        <w:pStyle w:val="Estilo"/>
        <w:rPr>
          <w:rFonts w:ascii="Arial" w:hAnsi="Arial" w:cs="Arial"/>
          <w:lang w:val="es-ES_tradnl"/>
        </w:rPr>
      </w:pPr>
      <w:r w:rsidRPr="00CC59E0">
        <w:rPr>
          <w:rFonts w:ascii="Arial" w:hAnsi="Arial" w:cs="Arial"/>
          <w:b/>
          <w:lang w:val="es-ES_tradnl"/>
        </w:rPr>
        <w:t>III.</w:t>
      </w:r>
      <w:r w:rsidRPr="00CC59E0">
        <w:rPr>
          <w:rFonts w:ascii="Arial" w:hAnsi="Arial" w:cs="Arial"/>
          <w:lang w:val="es-ES_tradnl"/>
        </w:rPr>
        <w:t xml:space="preserve"> Seguridad frente al delito;</w:t>
      </w:r>
    </w:p>
    <w:p w14:paraId="43C06C29" w14:textId="0501EFB4" w:rsidR="00DC1A86" w:rsidRPr="00CC59E0" w:rsidRDefault="00DC1A86" w:rsidP="00991B1A">
      <w:pPr>
        <w:pStyle w:val="Estilo"/>
        <w:rPr>
          <w:rFonts w:ascii="Arial" w:hAnsi="Arial" w:cs="Arial"/>
          <w:lang w:val="es-ES_tradnl"/>
        </w:rPr>
      </w:pPr>
      <w:r w:rsidRPr="00CC59E0">
        <w:rPr>
          <w:rFonts w:ascii="Arial" w:hAnsi="Arial" w:cs="Arial"/>
          <w:b/>
          <w:lang w:val="es-ES_tradnl"/>
        </w:rPr>
        <w:t>IV.</w:t>
      </w:r>
      <w:r w:rsidRPr="00CC59E0">
        <w:rPr>
          <w:rFonts w:ascii="Arial" w:hAnsi="Arial" w:cs="Arial"/>
          <w:lang w:val="es-ES_tradnl"/>
        </w:rPr>
        <w:t xml:space="preserve"> No violencia interpersonal o social;</w:t>
      </w:r>
      <w:r w:rsidRPr="00CC59E0">
        <w:rPr>
          <w:rFonts w:ascii="Arial" w:hAnsi="Arial" w:cs="Arial"/>
          <w:lang w:val="es-ES_tradnl"/>
        </w:rPr>
        <w:tab/>
      </w:r>
    </w:p>
    <w:p w14:paraId="17B6B9EE" w14:textId="7AC35960" w:rsidR="00DC1A86" w:rsidRPr="00CC59E0" w:rsidRDefault="00DC1A86" w:rsidP="00991B1A">
      <w:pPr>
        <w:pStyle w:val="Estilo"/>
        <w:rPr>
          <w:rFonts w:ascii="Arial" w:hAnsi="Arial" w:cs="Arial"/>
          <w:lang w:val="es-ES_tradnl"/>
        </w:rPr>
      </w:pPr>
      <w:r w:rsidRPr="00CC59E0">
        <w:rPr>
          <w:rFonts w:ascii="Arial" w:hAnsi="Arial" w:cs="Arial"/>
          <w:b/>
          <w:lang w:val="es-ES_tradnl"/>
        </w:rPr>
        <w:t>V.</w:t>
      </w:r>
      <w:r w:rsidRPr="00CC59E0">
        <w:rPr>
          <w:rFonts w:ascii="Arial" w:hAnsi="Arial" w:cs="Arial"/>
          <w:lang w:val="es-ES_tradnl"/>
        </w:rPr>
        <w:t xml:space="preserve"> Vida;</w:t>
      </w:r>
    </w:p>
    <w:p w14:paraId="371B21A9" w14:textId="6BCAE967" w:rsidR="00DC1A86" w:rsidRPr="00CC59E0" w:rsidRDefault="00DC1A86" w:rsidP="00991B1A">
      <w:pPr>
        <w:pStyle w:val="Estilo"/>
        <w:rPr>
          <w:rFonts w:ascii="Arial" w:hAnsi="Arial" w:cs="Arial"/>
          <w:lang w:val="es-ES_tradnl"/>
        </w:rPr>
      </w:pPr>
      <w:r w:rsidRPr="00CC59E0">
        <w:rPr>
          <w:rFonts w:ascii="Arial" w:hAnsi="Arial" w:cs="Arial"/>
          <w:b/>
          <w:lang w:val="es-ES_tradnl"/>
        </w:rPr>
        <w:t>VI.</w:t>
      </w:r>
      <w:r w:rsidRPr="00CC59E0">
        <w:rPr>
          <w:rFonts w:ascii="Arial" w:hAnsi="Arial" w:cs="Arial"/>
          <w:lang w:val="es-ES_tradnl"/>
        </w:rPr>
        <w:t xml:space="preserve"> Integridad física;</w:t>
      </w:r>
    </w:p>
    <w:p w14:paraId="0B944542" w14:textId="60147062" w:rsidR="00DC1A86" w:rsidRPr="00CC59E0" w:rsidRDefault="00DC1A86" w:rsidP="00991B1A">
      <w:pPr>
        <w:pStyle w:val="Estilo"/>
        <w:rPr>
          <w:rFonts w:ascii="Arial" w:hAnsi="Arial" w:cs="Arial"/>
          <w:lang w:val="es-ES_tradnl"/>
        </w:rPr>
      </w:pPr>
      <w:r w:rsidRPr="00CC59E0">
        <w:rPr>
          <w:rFonts w:ascii="Arial" w:hAnsi="Arial" w:cs="Arial"/>
          <w:b/>
          <w:lang w:val="es-ES_tradnl"/>
        </w:rPr>
        <w:t>VII.</w:t>
      </w:r>
      <w:r w:rsidRPr="00CC59E0">
        <w:rPr>
          <w:rFonts w:ascii="Arial" w:hAnsi="Arial" w:cs="Arial"/>
          <w:lang w:val="es-ES_tradnl"/>
        </w:rPr>
        <w:t xml:space="preserve"> Libertad personal;</w:t>
      </w:r>
      <w:r w:rsidRPr="00CC59E0">
        <w:rPr>
          <w:rFonts w:ascii="Arial" w:hAnsi="Arial" w:cs="Arial"/>
          <w:lang w:val="es-ES_tradnl"/>
        </w:rPr>
        <w:tab/>
      </w:r>
    </w:p>
    <w:p w14:paraId="5887FFBF" w14:textId="78A15968" w:rsidR="00DC1A86" w:rsidRPr="00CC59E0" w:rsidRDefault="00DC1A86" w:rsidP="00991B1A">
      <w:pPr>
        <w:pStyle w:val="Estilo"/>
        <w:rPr>
          <w:rFonts w:ascii="Arial" w:hAnsi="Arial" w:cs="Arial"/>
          <w:lang w:val="es-ES_tradnl"/>
        </w:rPr>
      </w:pPr>
      <w:r w:rsidRPr="00CC59E0">
        <w:rPr>
          <w:rFonts w:ascii="Arial" w:hAnsi="Arial" w:cs="Arial"/>
          <w:b/>
          <w:lang w:val="es-ES_tradnl"/>
        </w:rPr>
        <w:t>VIII.</w:t>
      </w:r>
      <w:r w:rsidRPr="00CC59E0">
        <w:rPr>
          <w:rFonts w:ascii="Arial" w:hAnsi="Arial" w:cs="Arial"/>
          <w:lang w:val="es-ES_tradnl"/>
        </w:rPr>
        <w:t xml:space="preserve"> Uso pacífico de los bienes;</w:t>
      </w:r>
    </w:p>
    <w:p w14:paraId="500C21DE" w14:textId="1F9358C0" w:rsidR="00DC1A86" w:rsidRPr="00CC59E0" w:rsidRDefault="00DC1A86" w:rsidP="00991B1A">
      <w:pPr>
        <w:pStyle w:val="Estilo"/>
        <w:rPr>
          <w:rFonts w:ascii="Arial" w:hAnsi="Arial" w:cs="Arial"/>
          <w:lang w:val="es-ES_tradnl"/>
        </w:rPr>
      </w:pPr>
      <w:r w:rsidRPr="00CC59E0">
        <w:rPr>
          <w:rFonts w:ascii="Arial" w:hAnsi="Arial" w:cs="Arial"/>
          <w:b/>
          <w:lang w:val="es-ES_tradnl"/>
        </w:rPr>
        <w:t>IX.</w:t>
      </w:r>
      <w:r w:rsidRPr="00CC59E0">
        <w:rPr>
          <w:rFonts w:ascii="Arial" w:hAnsi="Arial" w:cs="Arial"/>
          <w:lang w:val="es-ES_tradnl"/>
        </w:rPr>
        <w:t xml:space="preserve"> Garantías procesales;</w:t>
      </w:r>
    </w:p>
    <w:p w14:paraId="3E93AEF7" w14:textId="4DE60461" w:rsidR="00DC1A86" w:rsidRPr="00CC59E0" w:rsidRDefault="00DC1A86" w:rsidP="00991B1A">
      <w:pPr>
        <w:pStyle w:val="Estilo"/>
        <w:rPr>
          <w:rFonts w:ascii="Arial" w:hAnsi="Arial" w:cs="Arial"/>
          <w:lang w:val="es-ES_tradnl"/>
        </w:rPr>
      </w:pPr>
      <w:r w:rsidRPr="00CC59E0">
        <w:rPr>
          <w:rFonts w:ascii="Arial" w:hAnsi="Arial" w:cs="Arial"/>
          <w:b/>
          <w:lang w:val="es-ES_tradnl"/>
        </w:rPr>
        <w:t>X.</w:t>
      </w:r>
      <w:r w:rsidRPr="00CC59E0">
        <w:rPr>
          <w:rFonts w:ascii="Arial" w:hAnsi="Arial" w:cs="Arial"/>
          <w:lang w:val="es-ES_tradnl"/>
        </w:rPr>
        <w:t xml:space="preserve"> Protección judicial;</w:t>
      </w:r>
    </w:p>
    <w:p w14:paraId="5C94AF70" w14:textId="643DF43F" w:rsidR="00DC1A86" w:rsidRPr="00CC59E0" w:rsidRDefault="00DC1A86" w:rsidP="00991B1A">
      <w:pPr>
        <w:pStyle w:val="Estilo"/>
        <w:rPr>
          <w:rFonts w:ascii="Arial" w:hAnsi="Arial" w:cs="Arial"/>
          <w:lang w:val="es-ES_tradnl"/>
        </w:rPr>
      </w:pPr>
      <w:r w:rsidRPr="00CC59E0">
        <w:rPr>
          <w:rFonts w:ascii="Arial" w:hAnsi="Arial" w:cs="Arial"/>
          <w:b/>
          <w:lang w:val="es-ES_tradnl"/>
        </w:rPr>
        <w:t>XI.</w:t>
      </w:r>
      <w:r w:rsidRPr="00CC59E0">
        <w:rPr>
          <w:rFonts w:ascii="Arial" w:hAnsi="Arial" w:cs="Arial"/>
          <w:lang w:val="es-ES_tradnl"/>
        </w:rPr>
        <w:t xml:space="preserve"> Privacidad y a la protección de la honra y la dignidad</w:t>
      </w:r>
    </w:p>
    <w:p w14:paraId="62150B63" w14:textId="5069D13A" w:rsidR="00DC1A86" w:rsidRPr="00CC59E0" w:rsidRDefault="00DC1A86" w:rsidP="00991B1A">
      <w:pPr>
        <w:pStyle w:val="Estilo"/>
        <w:rPr>
          <w:rFonts w:ascii="Arial" w:hAnsi="Arial" w:cs="Arial"/>
          <w:lang w:val="es-ES_tradnl"/>
        </w:rPr>
      </w:pPr>
      <w:r w:rsidRPr="00CC59E0">
        <w:rPr>
          <w:rFonts w:ascii="Arial" w:hAnsi="Arial" w:cs="Arial"/>
          <w:b/>
          <w:lang w:val="es-ES_tradnl"/>
        </w:rPr>
        <w:t>XII.</w:t>
      </w:r>
      <w:r w:rsidRPr="00CC59E0">
        <w:rPr>
          <w:rFonts w:ascii="Arial" w:hAnsi="Arial" w:cs="Arial"/>
          <w:lang w:val="es-ES_tradnl"/>
        </w:rPr>
        <w:t xml:space="preserve"> Libertad de expresión;</w:t>
      </w:r>
    </w:p>
    <w:p w14:paraId="512962E3" w14:textId="6D5E2655" w:rsidR="00DC1A86" w:rsidRPr="00CC59E0" w:rsidRDefault="00DC1A86" w:rsidP="00991B1A">
      <w:pPr>
        <w:pStyle w:val="Estilo"/>
        <w:rPr>
          <w:rFonts w:ascii="Arial" w:hAnsi="Arial" w:cs="Arial"/>
          <w:lang w:val="es-ES_tradnl"/>
        </w:rPr>
      </w:pPr>
      <w:r w:rsidRPr="00CC59E0">
        <w:rPr>
          <w:rFonts w:ascii="Arial" w:hAnsi="Arial" w:cs="Arial"/>
          <w:b/>
          <w:lang w:val="es-ES_tradnl"/>
        </w:rPr>
        <w:t>XIII.</w:t>
      </w:r>
      <w:r w:rsidRPr="00CC59E0">
        <w:rPr>
          <w:rFonts w:ascii="Arial" w:hAnsi="Arial" w:cs="Arial"/>
          <w:lang w:val="es-ES_tradnl"/>
        </w:rPr>
        <w:t xml:space="preserve"> Libertad de reunión y asociación y</w:t>
      </w:r>
    </w:p>
    <w:p w14:paraId="54CE5B4D" w14:textId="70C864C2" w:rsidR="00DC1A86" w:rsidRPr="00CC59E0" w:rsidRDefault="00DC1A86" w:rsidP="00991B1A">
      <w:pPr>
        <w:pStyle w:val="Estilo"/>
        <w:rPr>
          <w:rFonts w:ascii="Arial" w:hAnsi="Arial" w:cs="Arial"/>
          <w:lang w:val="es-ES_tradnl"/>
        </w:rPr>
      </w:pPr>
      <w:r w:rsidRPr="00CC59E0">
        <w:rPr>
          <w:rFonts w:ascii="Arial" w:hAnsi="Arial" w:cs="Arial"/>
          <w:b/>
          <w:lang w:val="es-ES_tradnl"/>
        </w:rPr>
        <w:t>XIV.</w:t>
      </w:r>
      <w:r w:rsidRPr="00CC59E0">
        <w:rPr>
          <w:rFonts w:ascii="Arial" w:hAnsi="Arial" w:cs="Arial"/>
          <w:lang w:val="es-ES_tradnl"/>
        </w:rPr>
        <w:t xml:space="preserve"> Participación de los ciudadanos.</w:t>
      </w:r>
      <w:r w:rsidRPr="00CC59E0">
        <w:rPr>
          <w:rFonts w:ascii="Arial" w:hAnsi="Arial" w:cs="Arial"/>
          <w:lang w:val="es-ES_tradnl"/>
        </w:rPr>
        <w:tab/>
      </w:r>
    </w:p>
    <w:p w14:paraId="0B917537" w14:textId="77777777" w:rsidR="00DC1A86" w:rsidRPr="00CC59E0" w:rsidRDefault="00DC1A86" w:rsidP="00991B1A">
      <w:pPr>
        <w:pStyle w:val="Estilo"/>
        <w:rPr>
          <w:rFonts w:ascii="Arial" w:hAnsi="Arial" w:cs="Arial"/>
          <w:highlight w:val="yellow"/>
        </w:rPr>
      </w:pPr>
      <w:r w:rsidRPr="00CC59E0">
        <w:rPr>
          <w:rFonts w:ascii="Arial" w:hAnsi="Arial" w:cs="Arial"/>
          <w:lang w:val="es-ES_tradnl"/>
        </w:rPr>
        <w:t>Las acciones para proteger los derechos en materia de seguridad ciudadana deberán ejecutarse con enfoque diferenciado y perspectiva de género para los grupos de atención prioritaria frente a la violencia y el delito.</w:t>
      </w:r>
    </w:p>
    <w:p w14:paraId="664A6318" w14:textId="77777777" w:rsidR="00DC1A86" w:rsidRPr="00CC59E0" w:rsidRDefault="00DC1A86" w:rsidP="00CC59E0">
      <w:pPr>
        <w:pStyle w:val="Textonotapie"/>
        <w:spacing w:after="0" w:line="240" w:lineRule="auto"/>
        <w:jc w:val="both"/>
        <w:rPr>
          <w:rFonts w:ascii="Arial" w:hAnsi="Arial" w:cs="Arial"/>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7EB0" w14:textId="77777777" w:rsidR="00537B6A" w:rsidRPr="00B03E3A" w:rsidRDefault="002C73DC" w:rsidP="00B03E3A">
    <w:pPr>
      <w:pStyle w:val="Encabezado"/>
      <w:tabs>
        <w:tab w:val="clear" w:pos="4419"/>
        <w:tab w:val="clear" w:pos="8838"/>
      </w:tabs>
      <w:ind w:right="3991"/>
    </w:pPr>
    <w:r w:rsidRPr="00B03E3A">
      <w:rPr>
        <w:rFonts w:ascii="Arial" w:eastAsia="Times New Roman" w:hAnsi="Arial" w:cs="Arial"/>
        <w:b/>
        <w:color w:val="7F7F7F"/>
        <w:sz w:val="25"/>
        <w:szCs w:val="25"/>
        <w:lang w:eastAsia="es-ES"/>
      </w:rPr>
      <w:t>VOTO CONCURRENTE</w:t>
    </w:r>
    <w:r>
      <w:rPr>
        <w:rFonts w:ascii="Arial" w:eastAsia="Times New Roman" w:hAnsi="Arial" w:cs="Arial"/>
        <w:b/>
        <w:color w:val="7F7F7F"/>
        <w:sz w:val="25"/>
        <w:szCs w:val="25"/>
        <w:lang w:eastAsia="es-ES"/>
      </w:rPr>
      <w:t xml:space="preserve"> </w:t>
    </w:r>
    <w:r w:rsidRPr="00B03E3A">
      <w:rPr>
        <w:rFonts w:ascii="Arial" w:eastAsia="Times New Roman" w:hAnsi="Arial" w:cs="Arial"/>
        <w:b/>
        <w:color w:val="7F7F7F"/>
        <w:sz w:val="25"/>
        <w:szCs w:val="25"/>
        <w:lang w:eastAsia="es-ES"/>
      </w:rPr>
      <w:t>EN LA ACCIÓN DE INCONSTITUCIONALIDAD 9</w:t>
    </w:r>
    <w:r>
      <w:rPr>
        <w:rFonts w:ascii="Arial" w:eastAsia="Times New Roman" w:hAnsi="Arial" w:cs="Arial"/>
        <w:b/>
        <w:color w:val="7F7F7F"/>
        <w:sz w:val="25"/>
        <w:szCs w:val="25"/>
        <w:lang w:eastAsia="es-ES"/>
      </w:rPr>
      <w:t>5</w:t>
    </w:r>
    <w:r w:rsidRPr="00B03E3A">
      <w:rPr>
        <w:rFonts w:ascii="Arial" w:eastAsia="Times New Roman" w:hAnsi="Arial" w:cs="Arial"/>
        <w:b/>
        <w:color w:val="7F7F7F"/>
        <w:sz w:val="25"/>
        <w:szCs w:val="25"/>
        <w:lang w:eastAsia="es-ES"/>
      </w:rPr>
      <w:t>/2019 Y SU ACUMULADA 9</w:t>
    </w:r>
    <w:r>
      <w:rPr>
        <w:rFonts w:ascii="Arial" w:eastAsia="Times New Roman" w:hAnsi="Arial" w:cs="Arial"/>
        <w:b/>
        <w:color w:val="7F7F7F"/>
        <w:sz w:val="25"/>
        <w:szCs w:val="25"/>
        <w:lang w:eastAsia="es-ES"/>
      </w:rPr>
      <w:t>8</w:t>
    </w:r>
    <w:r w:rsidRPr="00B03E3A">
      <w:rPr>
        <w:rFonts w:ascii="Arial" w:eastAsia="Times New Roman" w:hAnsi="Arial" w:cs="Arial"/>
        <w:b/>
        <w:color w:val="7F7F7F"/>
        <w:sz w:val="25"/>
        <w:szCs w:val="25"/>
        <w:lang w:eastAsia="es-ES"/>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A652" w14:textId="77777777" w:rsidR="00537B6A" w:rsidRPr="00D84B9D" w:rsidRDefault="002C73DC" w:rsidP="00EA2910">
    <w:pPr>
      <w:pStyle w:val="Encabezado"/>
      <w:tabs>
        <w:tab w:val="clear" w:pos="8838"/>
        <w:tab w:val="right" w:pos="8931"/>
      </w:tabs>
      <w:ind w:left="3402" w:hanging="4111"/>
      <w:jc w:val="right"/>
      <w:rPr>
        <w:rFonts w:ascii="Arial" w:eastAsia="Times New Roman" w:hAnsi="Arial" w:cs="Arial"/>
        <w:b/>
        <w:color w:val="7F7F7F"/>
        <w:sz w:val="25"/>
        <w:szCs w:val="25"/>
        <w:lang w:eastAsia="es-ES"/>
      </w:rPr>
    </w:pPr>
    <w:r>
      <w:rPr>
        <w:noProof/>
        <w:lang w:eastAsia="es-MX"/>
      </w:rPr>
      <mc:AlternateContent>
        <mc:Choice Requires="wps">
          <w:drawing>
            <wp:anchor distT="0" distB="0" distL="114300" distR="114300" simplePos="0" relativeHeight="251660288" behindDoc="1" locked="0" layoutInCell="1" allowOverlap="1" wp14:anchorId="2E9CC32D" wp14:editId="4EF85F4D">
              <wp:simplePos x="0" y="0"/>
              <wp:positionH relativeFrom="column">
                <wp:posOffset>-169166</wp:posOffset>
              </wp:positionH>
              <wp:positionV relativeFrom="paragraph">
                <wp:posOffset>8179</wp:posOffset>
              </wp:positionV>
              <wp:extent cx="1885315" cy="1715135"/>
              <wp:effectExtent l="0" t="0" r="635" b="0"/>
              <wp:wrapTight wrapText="bothSides">
                <wp:wrapPolygon edited="0">
                  <wp:start x="0" y="0"/>
                  <wp:lineTo x="0" y="21352"/>
                  <wp:lineTo x="21389" y="21352"/>
                  <wp:lineTo x="21389" y="0"/>
                  <wp:lineTo x="0" y="0"/>
                </wp:wrapPolygon>
              </wp:wrapTight>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FC7E3" id="Rectángulo 1" o:spid="_x0000_s1026" style="position:absolute;margin-left:-13.3pt;margin-top:.65pt;width:148.45pt;height:1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" stroked="f">
              <w10:wrap type="tight"/>
            </v:rect>
          </w:pict>
        </mc:Fallback>
      </mc:AlternateContent>
    </w:r>
    <w:r w:rsidRPr="009C41AC">
      <w:rPr>
        <w:rFonts w:ascii="Arial" w:eastAsia="Times New Roman" w:hAnsi="Arial" w:cs="Arial"/>
        <w:b/>
        <w:color w:val="7F7F7F"/>
        <w:sz w:val="25"/>
        <w:szCs w:val="25"/>
        <w:lang w:eastAsia="es-ES"/>
      </w:rPr>
      <w:tab/>
    </w:r>
    <w:r>
      <w:rPr>
        <w:rFonts w:ascii="Arial" w:eastAsia="Times New Roman" w:hAnsi="Arial" w:cs="Arial"/>
        <w:b/>
        <w:color w:val="7F7F7F"/>
        <w:sz w:val="25"/>
        <w:szCs w:val="25"/>
        <w:lang w:eastAsia="es-ES"/>
      </w:rPr>
      <w:t>V</w:t>
    </w:r>
    <w:r w:rsidRPr="009C41AC">
      <w:rPr>
        <w:rFonts w:ascii="Arial" w:eastAsia="Times New Roman" w:hAnsi="Arial" w:cs="Arial"/>
        <w:b/>
        <w:color w:val="7F7F7F"/>
        <w:sz w:val="25"/>
        <w:szCs w:val="25"/>
        <w:lang w:eastAsia="es-ES"/>
      </w:rPr>
      <w:tab/>
    </w:r>
    <w:r>
      <w:rPr>
        <w:rFonts w:ascii="Arial" w:eastAsia="Times New Roman" w:hAnsi="Arial" w:cs="Arial"/>
        <w:b/>
        <w:color w:val="7F7F7F"/>
        <w:sz w:val="25"/>
        <w:szCs w:val="25"/>
        <w:lang w:eastAsia="es-ES"/>
      </w:rPr>
      <w:t xml:space="preserve">OTO CONCURRENTE EN LA ACCIÓN DE INCONSTITUCIONALIDAD </w:t>
    </w:r>
    <w:r w:rsidRPr="005B0448">
      <w:rPr>
        <w:rFonts w:ascii="Arial" w:eastAsia="Times New Roman" w:hAnsi="Arial" w:cs="Arial"/>
        <w:b/>
        <w:color w:val="7F7F7F"/>
        <w:sz w:val="25"/>
        <w:szCs w:val="25"/>
        <w:lang w:eastAsia="es-ES"/>
      </w:rPr>
      <w:t>9</w:t>
    </w:r>
    <w:r>
      <w:rPr>
        <w:rFonts w:ascii="Arial" w:eastAsia="Times New Roman" w:hAnsi="Arial" w:cs="Arial"/>
        <w:b/>
        <w:color w:val="7F7F7F"/>
        <w:sz w:val="25"/>
        <w:szCs w:val="25"/>
        <w:lang w:eastAsia="es-ES"/>
      </w:rPr>
      <w:t>5</w:t>
    </w:r>
    <w:r w:rsidRPr="005B0448">
      <w:rPr>
        <w:rFonts w:ascii="Arial" w:eastAsia="Times New Roman" w:hAnsi="Arial" w:cs="Arial"/>
        <w:b/>
        <w:color w:val="7F7F7F"/>
        <w:sz w:val="25"/>
        <w:szCs w:val="25"/>
        <w:lang w:eastAsia="es-ES"/>
      </w:rPr>
      <w:t>/2019 Y SU ACUMULADA 9</w:t>
    </w:r>
    <w:r>
      <w:rPr>
        <w:rFonts w:ascii="Arial" w:eastAsia="Times New Roman" w:hAnsi="Arial" w:cs="Arial"/>
        <w:b/>
        <w:color w:val="7F7F7F"/>
        <w:sz w:val="25"/>
        <w:szCs w:val="25"/>
        <w:lang w:eastAsia="es-ES"/>
      </w:rPr>
      <w:t>8</w:t>
    </w:r>
    <w:r w:rsidRPr="005B0448">
      <w:rPr>
        <w:rFonts w:ascii="Arial" w:eastAsia="Times New Roman" w:hAnsi="Arial" w:cs="Arial"/>
        <w:b/>
        <w:color w:val="7F7F7F"/>
        <w:sz w:val="25"/>
        <w:szCs w:val="25"/>
        <w:lang w:eastAsia="es-ES"/>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0C25" w14:textId="77777777" w:rsidR="00537B6A" w:rsidRDefault="002C73DC">
    <w:pPr>
      <w:pStyle w:val="Encabezado"/>
    </w:pPr>
    <w:r>
      <w:rPr>
        <w:noProof/>
        <w:lang w:eastAsia="es-MX"/>
      </w:rPr>
      <mc:AlternateContent>
        <mc:Choice Requires="wps">
          <w:drawing>
            <wp:anchor distT="0" distB="0" distL="114300" distR="114300" simplePos="0" relativeHeight="251659264" behindDoc="1" locked="0" layoutInCell="1" allowOverlap="1" wp14:anchorId="296CF187" wp14:editId="537A98BD">
              <wp:simplePos x="0" y="0"/>
              <wp:positionH relativeFrom="column">
                <wp:posOffset>-353382</wp:posOffset>
              </wp:positionH>
              <wp:positionV relativeFrom="paragraph">
                <wp:posOffset>-246087</wp:posOffset>
              </wp:positionV>
              <wp:extent cx="1885315" cy="1715135"/>
              <wp:effectExtent l="0" t="0" r="635" b="0"/>
              <wp:wrapTight wrapText="bothSides">
                <wp:wrapPolygon edited="0">
                  <wp:start x="0" y="0"/>
                  <wp:lineTo x="0" y="21352"/>
                  <wp:lineTo x="21389" y="21352"/>
                  <wp:lineTo x="21389" y="0"/>
                  <wp:lineTo x="0" y="0"/>
                </wp:wrapPolygon>
              </wp:wrapTight>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88912" id="Rectángulo 2" o:spid="_x0000_s1026" style="position:absolute;margin-left:-27.85pt;margin-top:-19.4pt;width:148.45pt;height:1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" stroked="f">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4F59"/>
    <w:multiLevelType w:val="hybridMultilevel"/>
    <w:tmpl w:val="34029860"/>
    <w:lvl w:ilvl="0" w:tplc="20467F00">
      <w:start w:val="1"/>
      <w:numFmt w:val="upperRoman"/>
      <w:lvlText w:val="%1."/>
      <w:lvlJc w:val="left"/>
      <w:pPr>
        <w:ind w:left="1080" w:hanging="72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D0025A"/>
    <w:multiLevelType w:val="hybridMultilevel"/>
    <w:tmpl w:val="C256DB9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7BD5249"/>
    <w:multiLevelType w:val="hybridMultilevel"/>
    <w:tmpl w:val="B38A23B8"/>
    <w:lvl w:ilvl="0" w:tplc="B912747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86"/>
    <w:rsid w:val="0000584B"/>
    <w:rsid w:val="00010D3E"/>
    <w:rsid w:val="00012581"/>
    <w:rsid w:val="00091699"/>
    <w:rsid w:val="000E48E7"/>
    <w:rsid w:val="001034F8"/>
    <w:rsid w:val="001059F7"/>
    <w:rsid w:val="0012689B"/>
    <w:rsid w:val="00154A78"/>
    <w:rsid w:val="001B5A1F"/>
    <w:rsid w:val="001B74A8"/>
    <w:rsid w:val="001F5AA3"/>
    <w:rsid w:val="00214375"/>
    <w:rsid w:val="00214C79"/>
    <w:rsid w:val="0024037C"/>
    <w:rsid w:val="00252038"/>
    <w:rsid w:val="002C73DC"/>
    <w:rsid w:val="003011BC"/>
    <w:rsid w:val="003209FC"/>
    <w:rsid w:val="003378E9"/>
    <w:rsid w:val="00371E13"/>
    <w:rsid w:val="00384BA0"/>
    <w:rsid w:val="003B6339"/>
    <w:rsid w:val="0042417C"/>
    <w:rsid w:val="00461ECB"/>
    <w:rsid w:val="00466347"/>
    <w:rsid w:val="004A64FF"/>
    <w:rsid w:val="004C4E71"/>
    <w:rsid w:val="00533E6D"/>
    <w:rsid w:val="00556E9F"/>
    <w:rsid w:val="005A53B8"/>
    <w:rsid w:val="005D53E3"/>
    <w:rsid w:val="00606566"/>
    <w:rsid w:val="00653B90"/>
    <w:rsid w:val="006E4FD8"/>
    <w:rsid w:val="006E660B"/>
    <w:rsid w:val="007279D3"/>
    <w:rsid w:val="00756B1C"/>
    <w:rsid w:val="00770C26"/>
    <w:rsid w:val="007726EE"/>
    <w:rsid w:val="00794CBF"/>
    <w:rsid w:val="007A4EBA"/>
    <w:rsid w:val="007B3686"/>
    <w:rsid w:val="00805068"/>
    <w:rsid w:val="0082289C"/>
    <w:rsid w:val="00824001"/>
    <w:rsid w:val="00855B67"/>
    <w:rsid w:val="008610C0"/>
    <w:rsid w:val="00872C32"/>
    <w:rsid w:val="008756C3"/>
    <w:rsid w:val="00886FD9"/>
    <w:rsid w:val="008A270D"/>
    <w:rsid w:val="008B584B"/>
    <w:rsid w:val="008C1D7C"/>
    <w:rsid w:val="008D7D01"/>
    <w:rsid w:val="009340D6"/>
    <w:rsid w:val="00935C93"/>
    <w:rsid w:val="00974DBE"/>
    <w:rsid w:val="00991B1A"/>
    <w:rsid w:val="009B1CD6"/>
    <w:rsid w:val="009E00FA"/>
    <w:rsid w:val="009F0EAA"/>
    <w:rsid w:val="00A222E2"/>
    <w:rsid w:val="00A57D02"/>
    <w:rsid w:val="00AB0868"/>
    <w:rsid w:val="00AD1A7F"/>
    <w:rsid w:val="00AE340F"/>
    <w:rsid w:val="00B2019E"/>
    <w:rsid w:val="00B4157B"/>
    <w:rsid w:val="00B536F7"/>
    <w:rsid w:val="00B60AB9"/>
    <w:rsid w:val="00B829C4"/>
    <w:rsid w:val="00BB35C7"/>
    <w:rsid w:val="00BE24FD"/>
    <w:rsid w:val="00BF1DA9"/>
    <w:rsid w:val="00C044FD"/>
    <w:rsid w:val="00C160FB"/>
    <w:rsid w:val="00C17767"/>
    <w:rsid w:val="00C349AC"/>
    <w:rsid w:val="00C36FD5"/>
    <w:rsid w:val="00C45580"/>
    <w:rsid w:val="00C56798"/>
    <w:rsid w:val="00C57C1D"/>
    <w:rsid w:val="00C60ACB"/>
    <w:rsid w:val="00C67ACA"/>
    <w:rsid w:val="00C86001"/>
    <w:rsid w:val="00CC59E0"/>
    <w:rsid w:val="00CE1615"/>
    <w:rsid w:val="00CF5D4E"/>
    <w:rsid w:val="00D03996"/>
    <w:rsid w:val="00D216DD"/>
    <w:rsid w:val="00D26DC2"/>
    <w:rsid w:val="00D37C75"/>
    <w:rsid w:val="00D622D4"/>
    <w:rsid w:val="00D7277D"/>
    <w:rsid w:val="00DC1A86"/>
    <w:rsid w:val="00DE5D61"/>
    <w:rsid w:val="00E16AC3"/>
    <w:rsid w:val="00E74CBF"/>
    <w:rsid w:val="00EB4632"/>
    <w:rsid w:val="00EC1B61"/>
    <w:rsid w:val="00F4149B"/>
    <w:rsid w:val="00F559DD"/>
    <w:rsid w:val="00FA2F60"/>
    <w:rsid w:val="00FB7067"/>
    <w:rsid w:val="00FF01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305E"/>
  <w15:chartTrackingRefBased/>
  <w15:docId w15:val="{64E60D7C-151D-430E-832D-BF7261CC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A86"/>
    <w:rPr>
      <w:rFonts w:ascii="Calibri" w:eastAsia="Calibri" w:hAnsi="Calibri" w:cs="Times New Roman"/>
    </w:rPr>
  </w:style>
  <w:style w:type="paragraph" w:styleId="Ttulo1">
    <w:name w:val="heading 1"/>
    <w:basedOn w:val="Normal"/>
    <w:next w:val="Normal"/>
    <w:link w:val="Ttulo1Car"/>
    <w:uiPriority w:val="9"/>
    <w:qFormat/>
    <w:rsid w:val="00DC1A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1A86"/>
    <w:rPr>
      <w:rFonts w:asciiTheme="majorHAnsi" w:eastAsiaTheme="majorEastAsia" w:hAnsiTheme="majorHAnsi" w:cstheme="majorBidi"/>
      <w:color w:val="2F5496" w:themeColor="accent1" w:themeShade="BF"/>
      <w:sz w:val="32"/>
      <w:szCs w:val="32"/>
    </w:rPr>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notentext,Footnote Text Char Char"/>
    <w:basedOn w:val="Normal"/>
    <w:link w:val="TextonotapieCar"/>
    <w:unhideWhenUsed/>
    <w:qFormat/>
    <w:rsid w:val="00DC1A86"/>
    <w:pPr>
      <w:spacing w:after="200" w:line="276" w:lineRule="auto"/>
    </w:pPr>
    <w:rPr>
      <w:sz w:val="20"/>
      <w:szCs w:val="20"/>
    </w:r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basedOn w:val="Fuentedeprrafopredeter"/>
    <w:link w:val="Textonotapie"/>
    <w:qFormat/>
    <w:rsid w:val="00DC1A86"/>
    <w:rPr>
      <w:rFonts w:ascii="Calibri" w:eastAsia="Calibri" w:hAnsi="Calibri" w:cs="Times New Roman"/>
      <w:sz w:val="20"/>
      <w:szCs w:val="20"/>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link w:val="4GChar"/>
    <w:uiPriority w:val="99"/>
    <w:unhideWhenUsed/>
    <w:qFormat/>
    <w:rsid w:val="00DC1A86"/>
    <w:rPr>
      <w:vertAlign w:val="superscript"/>
    </w:rPr>
  </w:style>
  <w:style w:type="paragraph" w:styleId="Encabezado">
    <w:name w:val="header"/>
    <w:basedOn w:val="Normal"/>
    <w:link w:val="EncabezadoCar"/>
    <w:uiPriority w:val="99"/>
    <w:unhideWhenUsed/>
    <w:rsid w:val="00DC1A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1A86"/>
    <w:rPr>
      <w:rFonts w:ascii="Calibri" w:eastAsia="Calibri" w:hAnsi="Calibri" w:cs="Times New Roman"/>
    </w:rPr>
  </w:style>
  <w:style w:type="paragraph" w:styleId="Piedepgina">
    <w:name w:val="footer"/>
    <w:basedOn w:val="Normal"/>
    <w:link w:val="PiedepginaCar"/>
    <w:uiPriority w:val="99"/>
    <w:unhideWhenUsed/>
    <w:rsid w:val="00DC1A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1A86"/>
    <w:rPr>
      <w:rFonts w:ascii="Calibri" w:eastAsia="Calibri" w:hAnsi="Calibri" w:cs="Times New Roma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C1A86"/>
    <w:pPr>
      <w:spacing w:after="0" w:line="240" w:lineRule="auto"/>
      <w:jc w:val="both"/>
    </w:pPr>
    <w:rPr>
      <w:rFonts w:asciiTheme="minorHAnsi" w:eastAsiaTheme="minorHAnsi" w:hAnsiTheme="minorHAnsi" w:cstheme="minorBidi"/>
      <w:vertAlign w:val="superscript"/>
    </w:rPr>
  </w:style>
  <w:style w:type="paragraph" w:styleId="Prrafodelista">
    <w:name w:val="List Paragraph"/>
    <w:aliases w:val="Footnote,Cita texto,Lista vistosa - Énfasis 11,List Paragraph1,Párrafo de lista1,Colorful List - Accent 11,Cuadrícula clara - Énfasis 31,TEXTO GENERAL SENTENCIAS"/>
    <w:basedOn w:val="Normal"/>
    <w:link w:val="PrrafodelistaCar"/>
    <w:uiPriority w:val="34"/>
    <w:qFormat/>
    <w:rsid w:val="00DC1A86"/>
    <w:pPr>
      <w:ind w:left="720"/>
      <w:contextualSpacing/>
    </w:pPr>
  </w:style>
  <w:style w:type="character" w:customStyle="1" w:styleId="PrrafodelistaCar">
    <w:name w:val="Párrafo de lista Car"/>
    <w:aliases w:val="Footnote Car,Cita texto Car,Lista vistosa - Énfasis 11 Car,List Paragraph1 Car,Párrafo de lista1 Car,Colorful List - Accent 11 Car,Cuadrícula clara - Énfasis 31 Car,TEXTO GENERAL SENTENCIAS Car"/>
    <w:link w:val="Prrafodelista"/>
    <w:uiPriority w:val="34"/>
    <w:locked/>
    <w:rsid w:val="00DC1A86"/>
    <w:rPr>
      <w:rFonts w:ascii="Calibri" w:eastAsia="Calibri" w:hAnsi="Calibri" w:cs="Times New Roman"/>
    </w:rPr>
  </w:style>
  <w:style w:type="paragraph" w:customStyle="1" w:styleId="corte4fondo">
    <w:name w:val="corte4 fondo"/>
    <w:basedOn w:val="Normal"/>
    <w:link w:val="corte4fondoCar2"/>
    <w:qFormat/>
    <w:rsid w:val="00DC1A86"/>
    <w:pPr>
      <w:spacing w:after="0" w:line="360" w:lineRule="auto"/>
      <w:ind w:firstLine="709"/>
      <w:jc w:val="both"/>
    </w:pPr>
    <w:rPr>
      <w:rFonts w:ascii="Arial" w:eastAsia="Times New Roman" w:hAnsi="Arial"/>
      <w:sz w:val="30"/>
      <w:szCs w:val="20"/>
      <w:lang w:eastAsia="es-MX"/>
    </w:rPr>
  </w:style>
  <w:style w:type="character" w:customStyle="1" w:styleId="corte4fondoCar2">
    <w:name w:val="corte4 fondo Car2"/>
    <w:link w:val="corte4fondo"/>
    <w:rsid w:val="00DC1A86"/>
    <w:rPr>
      <w:rFonts w:ascii="Arial" w:eastAsia="Times New Roman" w:hAnsi="Arial" w:cs="Times New Roman"/>
      <w:sz w:val="30"/>
      <w:szCs w:val="20"/>
      <w:lang w:eastAsia="es-MX"/>
    </w:rPr>
  </w:style>
  <w:style w:type="character" w:customStyle="1" w:styleId="EstiloCar">
    <w:name w:val="Estilo Car"/>
    <w:link w:val="Estilo"/>
    <w:locked/>
    <w:rsid w:val="00DC1A86"/>
  </w:style>
  <w:style w:type="paragraph" w:customStyle="1" w:styleId="Estilo">
    <w:name w:val="Estilo"/>
    <w:basedOn w:val="Normal"/>
    <w:link w:val="EstiloCar"/>
    <w:qFormat/>
    <w:rsid w:val="00DC1A86"/>
    <w:pPr>
      <w:spacing w:after="0" w:line="240" w:lineRule="auto"/>
      <w:jc w:val="both"/>
    </w:pPr>
    <w:rPr>
      <w:rFonts w:asciiTheme="minorHAnsi" w:eastAsiaTheme="minorHAnsi" w:hAnsiTheme="minorHAnsi" w:cstheme="minorBidi"/>
    </w:rPr>
  </w:style>
  <w:style w:type="character" w:customStyle="1" w:styleId="corte4fondoCarCar">
    <w:name w:val="corte4 fondo Car Car"/>
    <w:link w:val="corte4fondoCar"/>
    <w:rsid w:val="003209FC"/>
    <w:rPr>
      <w:rFonts w:ascii="Arial" w:hAnsi="Arial"/>
      <w:sz w:val="30"/>
      <w:lang w:val="es-ES_tradnl"/>
    </w:rPr>
  </w:style>
  <w:style w:type="paragraph" w:customStyle="1" w:styleId="corte4fondoCar">
    <w:name w:val="corte4 fondo Car"/>
    <w:basedOn w:val="Normal"/>
    <w:link w:val="corte4fondoCarCar"/>
    <w:rsid w:val="003209FC"/>
    <w:pPr>
      <w:spacing w:after="0" w:line="360" w:lineRule="auto"/>
      <w:ind w:firstLine="709"/>
      <w:jc w:val="both"/>
    </w:pPr>
    <w:rPr>
      <w:rFonts w:ascii="Arial" w:eastAsiaTheme="minorHAnsi" w:hAnsi="Arial" w:cstheme="minorBidi"/>
      <w:sz w:val="30"/>
      <w:lang w:val="es-ES_tradnl"/>
    </w:rPr>
  </w:style>
  <w:style w:type="character" w:styleId="Refdecomentario">
    <w:name w:val="annotation reference"/>
    <w:basedOn w:val="Fuentedeprrafopredeter"/>
    <w:uiPriority w:val="99"/>
    <w:semiHidden/>
    <w:unhideWhenUsed/>
    <w:rsid w:val="00E16AC3"/>
    <w:rPr>
      <w:sz w:val="16"/>
      <w:szCs w:val="16"/>
    </w:rPr>
  </w:style>
  <w:style w:type="paragraph" w:styleId="Textocomentario">
    <w:name w:val="annotation text"/>
    <w:basedOn w:val="Normal"/>
    <w:link w:val="TextocomentarioCar"/>
    <w:uiPriority w:val="99"/>
    <w:semiHidden/>
    <w:unhideWhenUsed/>
    <w:rsid w:val="00E16A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6AC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16AC3"/>
    <w:rPr>
      <w:b/>
      <w:bCs/>
    </w:rPr>
  </w:style>
  <w:style w:type="character" w:customStyle="1" w:styleId="AsuntodelcomentarioCar">
    <w:name w:val="Asunto del comentario Car"/>
    <w:basedOn w:val="TextocomentarioCar"/>
    <w:link w:val="Asuntodelcomentario"/>
    <w:uiPriority w:val="99"/>
    <w:semiHidden/>
    <w:rsid w:val="00E16AC3"/>
    <w:rPr>
      <w:rFonts w:ascii="Calibri" w:eastAsia="Calibri" w:hAnsi="Calibri" w:cs="Times New Roman"/>
      <w:b/>
      <w:bCs/>
      <w:sz w:val="20"/>
      <w:szCs w:val="20"/>
    </w:rPr>
  </w:style>
  <w:style w:type="character" w:styleId="nfasis">
    <w:name w:val="Emphasis"/>
    <w:basedOn w:val="Fuentedeprrafopredeter"/>
    <w:uiPriority w:val="20"/>
    <w:qFormat/>
    <w:rsid w:val="004241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A33016447D64AE468F67410E71CD9D74" ma:contentTypeVersion="1" ma:contentTypeDescription="Crear nuevo documento." ma:contentTypeScope="" ma:versionID="45033a96ba7efd5d6ff030813957cdda">
  <xsd:schema xmlns:xsd="http://www.w3.org/2001/XMLSchema" xmlns:xs="http://www.w3.org/2001/XMLSchema" xmlns:p="http://schemas.microsoft.com/office/2006/metadata/properties" xmlns:ns2="72063372-7777-4a65-85ec-aeb5f5d4da7a" targetNamespace="http://schemas.microsoft.com/office/2006/metadata/properties" ma:root="true" ma:fieldsID="801f12874b2efc6c4d6770d836453078" ns2:_="">
    <xsd:import namespace="72063372-7777-4a65-85ec-aeb5f5d4da7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3372-7777-4a65-85ec-aeb5f5d4da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72063372-7777-4a65-85ec-aeb5f5d4da7a">CURCFUTFZJUM-1384416465-20591</_dlc_DocId>
    <_dlc_DocIdUrl xmlns="72063372-7777-4a65-85ec-aeb5f5d4da7a">
      <Url>https://saci.scjn.pjf.gob.mx/_layouts/15/DocIdRedir.aspx?ID=CURCFUTFZJUM-1384416465-20591</Url>
      <Description>CURCFUTFZJUM-1384416465-20591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C85AB-CF2F-48CB-B6E7-03F9B1E0B07B}">
  <ds:schemaRefs>
    <ds:schemaRef ds:uri="http://schemas.microsoft.com/sharepoint/events"/>
  </ds:schemaRefs>
</ds:datastoreItem>
</file>

<file path=customXml/itemProps2.xml><?xml version="1.0" encoding="utf-8"?>
<ds:datastoreItem xmlns:ds="http://schemas.openxmlformats.org/officeDocument/2006/customXml" ds:itemID="{0FB52E3C-52EE-4614-966B-073471B5D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3372-7777-4a65-85ec-aeb5f5d4d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D16A1-3010-404A-AF91-BF8ED2FD082D}">
  <ds:schemaRefs>
    <ds:schemaRef ds:uri="http://schemas.openxmlformats.org/officeDocument/2006/bibliography"/>
  </ds:schemaRefs>
</ds:datastoreItem>
</file>

<file path=customXml/itemProps4.xml><?xml version="1.0" encoding="utf-8"?>
<ds:datastoreItem xmlns:ds="http://schemas.openxmlformats.org/officeDocument/2006/customXml" ds:itemID="{90EC17E1-85C3-41E5-8257-0C85F3369BCF}">
  <ds:schemaRefs>
    <ds:schemaRef ds:uri="http://schemas.microsoft.com/office/2006/metadata/properties"/>
    <ds:schemaRef ds:uri="http://schemas.microsoft.com/office/infopath/2007/PartnerControls"/>
    <ds:schemaRef ds:uri="72063372-7777-4a65-85ec-aeb5f5d4da7a"/>
  </ds:schemaRefs>
</ds:datastoreItem>
</file>

<file path=customXml/itemProps5.xml><?xml version="1.0" encoding="utf-8"?>
<ds:datastoreItem xmlns:ds="http://schemas.openxmlformats.org/officeDocument/2006/customXml" ds:itemID="{79FAF527-F997-490A-BE5C-EB1DFBCBF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30</Pages>
  <Words>6693</Words>
  <Characters>36812</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Gustavo Ponce Nuñez</dc:creator>
  <cp:keywords/>
  <dc:description/>
  <cp:lastModifiedBy>MIGUEL ANGEL ANDRADE SOLANA</cp:lastModifiedBy>
  <cp:revision>14</cp:revision>
  <dcterms:created xsi:type="dcterms:W3CDTF">2021-09-06T16:31:00Z</dcterms:created>
  <dcterms:modified xsi:type="dcterms:W3CDTF">2021-09-07T02:20:00Z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0x010100A33016447D64AE468F67410E71CD9D74</vt:lpwstr>
  </property>
  <property fmtid="{D5CDD505-2E9C-101B-9397-08002B2CF9AE}" pid="3" name="_dlc_DocIdItemGuid">
    <vt:lpwstr>9a02c134-218e-47d0-bc51-920feb93ac97</vt:lpwstr>
  </property>
</Properties>
</file>