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1595" w14:textId="6956C3EC" w:rsidR="00F448D6" w:rsidRPr="000A7964" w:rsidRDefault="00F448D6" w:rsidP="00967391">
      <w:pPr>
        <w:pStyle w:val="Ttulo1"/>
        <w:spacing w:before="1200" w:after="240"/>
        <w:ind w:left="3969"/>
      </w:pPr>
      <w:r w:rsidRPr="000A7964">
        <w:t xml:space="preserve">AMPARO EN REVISIÓN </w:t>
      </w:r>
      <w:r w:rsidR="00A85AC5" w:rsidRPr="000A7964">
        <w:t>370</w:t>
      </w:r>
      <w:r w:rsidRPr="000A7964">
        <w:t>/202</w:t>
      </w:r>
      <w:r w:rsidR="00967391" w:rsidRPr="000A7964">
        <w:t>5</w:t>
      </w:r>
    </w:p>
    <w:p w14:paraId="0B1FDDA8" w14:textId="11647C5B" w:rsidR="00F448D6" w:rsidRPr="006E1A11" w:rsidRDefault="00F448D6" w:rsidP="006E1A11">
      <w:pPr>
        <w:pStyle w:val="Ttulo1"/>
        <w:spacing w:before="240" w:after="600"/>
        <w:ind w:left="3969"/>
        <w:rPr>
          <w:lang w:val="es-ES_tradnl"/>
        </w:rPr>
      </w:pPr>
      <w:r w:rsidRPr="006E1A11">
        <w:rPr>
          <w:lang w:val="es-ES_tradnl"/>
        </w:rPr>
        <w:t>QUEJOS</w:t>
      </w:r>
      <w:r w:rsidR="009316B2" w:rsidRPr="006E1A11">
        <w:rPr>
          <w:lang w:val="es-ES_tradnl"/>
        </w:rPr>
        <w:t>O</w:t>
      </w:r>
      <w:r w:rsidR="006E1A11">
        <w:rPr>
          <w:lang w:val="es-ES_tradnl"/>
        </w:rPr>
        <w:t xml:space="preserve"> Y RECURRENTE</w:t>
      </w:r>
      <w:r w:rsidRPr="006E1A11">
        <w:rPr>
          <w:lang w:val="es-ES_tradnl"/>
        </w:rPr>
        <w:t xml:space="preserve">: </w:t>
      </w:r>
      <w:r w:rsidR="00890AA6">
        <w:rPr>
          <w:color w:val="C00000"/>
          <w:lang w:val="es-ES_tradnl"/>
        </w:rPr>
        <w:t>PERSONA 1</w:t>
      </w:r>
    </w:p>
    <w:p w14:paraId="36B44FF1" w14:textId="77777777" w:rsidR="00887C1D" w:rsidRPr="00C44FD9" w:rsidRDefault="00887C1D" w:rsidP="00D92B36">
      <w:pPr>
        <w:rPr>
          <w:b/>
          <w:sz w:val="26"/>
          <w:szCs w:val="26"/>
        </w:rPr>
      </w:pPr>
      <w:r w:rsidRPr="00C44FD9">
        <w:rPr>
          <w:b/>
          <w:sz w:val="26"/>
          <w:szCs w:val="26"/>
        </w:rPr>
        <w:t xml:space="preserve">PONENTE: MINISTRO </w:t>
      </w:r>
      <w:r>
        <w:rPr>
          <w:b/>
          <w:sz w:val="26"/>
          <w:szCs w:val="26"/>
        </w:rPr>
        <w:t>IRVING ESPINOSA BETANZO</w:t>
      </w:r>
    </w:p>
    <w:p w14:paraId="3E6B9782" w14:textId="725C5E19" w:rsidR="00887C1D" w:rsidRPr="00C44FD9" w:rsidRDefault="00887C1D" w:rsidP="00887C1D">
      <w:pPr>
        <w:spacing w:before="360" w:after="360"/>
        <w:jc w:val="center"/>
        <w:rPr>
          <w:b/>
          <w:strike/>
          <w:sz w:val="26"/>
          <w:szCs w:val="26"/>
        </w:rPr>
      </w:pPr>
      <w:r w:rsidRPr="00C44FD9">
        <w:rPr>
          <w:b/>
          <w:sz w:val="26"/>
          <w:szCs w:val="26"/>
        </w:rPr>
        <w:t>ÍNDICE TEMÁTICO</w:t>
      </w:r>
    </w:p>
    <w:tbl>
      <w:tblPr>
        <w:tblStyle w:val="Tablaconcuadrcula"/>
        <w:tblW w:w="9068" w:type="dxa"/>
        <w:tblLook w:val="04A0" w:firstRow="1" w:lastRow="0" w:firstColumn="1" w:lastColumn="0" w:noHBand="0" w:noVBand="1"/>
      </w:tblPr>
      <w:tblGrid>
        <w:gridCol w:w="1114"/>
        <w:gridCol w:w="2380"/>
        <w:gridCol w:w="4442"/>
        <w:gridCol w:w="1132"/>
      </w:tblGrid>
      <w:tr w:rsidR="00F448D6" w:rsidRPr="00633699" w14:paraId="67051EC4" w14:textId="77777777">
        <w:tc>
          <w:tcPr>
            <w:tcW w:w="3494" w:type="dxa"/>
            <w:gridSpan w:val="2"/>
            <w:vAlign w:val="center"/>
          </w:tcPr>
          <w:p w14:paraId="18A7EA43" w14:textId="77777777" w:rsidR="00F448D6" w:rsidRPr="00633699" w:rsidRDefault="00F448D6">
            <w:pPr>
              <w:spacing w:before="120" w:after="120"/>
              <w:jc w:val="center"/>
              <w:rPr>
                <w:sz w:val="22"/>
                <w:szCs w:val="22"/>
              </w:rPr>
            </w:pPr>
            <w:r w:rsidRPr="00633699">
              <w:rPr>
                <w:b/>
                <w:bCs/>
                <w:sz w:val="22"/>
                <w:szCs w:val="22"/>
              </w:rPr>
              <w:t>Apartado</w:t>
            </w:r>
          </w:p>
        </w:tc>
        <w:tc>
          <w:tcPr>
            <w:tcW w:w="4442" w:type="dxa"/>
            <w:vAlign w:val="center"/>
          </w:tcPr>
          <w:p w14:paraId="7CD2DCBC" w14:textId="77777777" w:rsidR="00F448D6" w:rsidRPr="00633699" w:rsidRDefault="00F448D6">
            <w:pPr>
              <w:spacing w:before="120" w:after="120"/>
              <w:jc w:val="center"/>
              <w:rPr>
                <w:sz w:val="22"/>
                <w:szCs w:val="22"/>
              </w:rPr>
            </w:pPr>
            <w:r w:rsidRPr="00633699">
              <w:rPr>
                <w:b/>
                <w:bCs/>
                <w:sz w:val="22"/>
                <w:szCs w:val="22"/>
              </w:rPr>
              <w:t>Criterio</w:t>
            </w:r>
          </w:p>
        </w:tc>
        <w:tc>
          <w:tcPr>
            <w:tcW w:w="1132" w:type="dxa"/>
            <w:vAlign w:val="center"/>
          </w:tcPr>
          <w:p w14:paraId="406B14AE" w14:textId="77777777" w:rsidR="00F448D6" w:rsidRPr="00633699" w:rsidRDefault="00F448D6">
            <w:pPr>
              <w:spacing w:before="120" w:after="120"/>
              <w:jc w:val="center"/>
              <w:rPr>
                <w:sz w:val="22"/>
                <w:szCs w:val="22"/>
              </w:rPr>
            </w:pPr>
            <w:r w:rsidRPr="00633699">
              <w:rPr>
                <w:b/>
                <w:sz w:val="22"/>
                <w:szCs w:val="22"/>
              </w:rPr>
              <w:t>Páginas</w:t>
            </w:r>
          </w:p>
        </w:tc>
      </w:tr>
      <w:tr w:rsidR="00F448D6" w:rsidRPr="00633699" w14:paraId="2F8E24DF" w14:textId="77777777">
        <w:tc>
          <w:tcPr>
            <w:tcW w:w="1114" w:type="dxa"/>
            <w:vAlign w:val="center"/>
          </w:tcPr>
          <w:p w14:paraId="4A7A30F3" w14:textId="77777777" w:rsidR="00F448D6" w:rsidRPr="00633699" w:rsidRDefault="00F448D6">
            <w:pPr>
              <w:spacing w:before="120" w:after="120"/>
              <w:jc w:val="center"/>
              <w:rPr>
                <w:b/>
                <w:bCs/>
                <w:sz w:val="22"/>
                <w:szCs w:val="22"/>
              </w:rPr>
            </w:pPr>
            <w:r w:rsidRPr="00633699">
              <w:rPr>
                <w:b/>
                <w:bCs/>
                <w:sz w:val="22"/>
                <w:szCs w:val="22"/>
              </w:rPr>
              <w:t>I</w:t>
            </w:r>
          </w:p>
        </w:tc>
        <w:tc>
          <w:tcPr>
            <w:tcW w:w="2380" w:type="dxa"/>
            <w:vAlign w:val="center"/>
          </w:tcPr>
          <w:p w14:paraId="4CB4BBC2" w14:textId="77777777" w:rsidR="00F448D6" w:rsidRPr="00633699" w:rsidRDefault="00F448D6">
            <w:pPr>
              <w:spacing w:before="120" w:after="120"/>
              <w:jc w:val="center"/>
              <w:rPr>
                <w:b/>
                <w:bCs/>
                <w:sz w:val="22"/>
                <w:szCs w:val="22"/>
              </w:rPr>
            </w:pPr>
            <w:r w:rsidRPr="00633699">
              <w:rPr>
                <w:b/>
                <w:bCs/>
                <w:sz w:val="22"/>
                <w:szCs w:val="22"/>
              </w:rPr>
              <w:t>ANTECEDENTES DEL CASO</w:t>
            </w:r>
          </w:p>
        </w:tc>
        <w:tc>
          <w:tcPr>
            <w:tcW w:w="4442" w:type="dxa"/>
            <w:vAlign w:val="center"/>
          </w:tcPr>
          <w:p w14:paraId="4C93E761" w14:textId="77777777" w:rsidR="00F448D6" w:rsidRPr="00633699" w:rsidRDefault="00F448D6">
            <w:pPr>
              <w:spacing w:before="120" w:after="120"/>
              <w:rPr>
                <w:sz w:val="22"/>
                <w:szCs w:val="22"/>
              </w:rPr>
            </w:pPr>
            <w:r w:rsidRPr="00633699">
              <w:rPr>
                <w:sz w:val="22"/>
                <w:szCs w:val="22"/>
              </w:rPr>
              <w:t>Se narran los antecedentes del caso.</w:t>
            </w:r>
          </w:p>
        </w:tc>
        <w:tc>
          <w:tcPr>
            <w:tcW w:w="1132" w:type="dxa"/>
            <w:vAlign w:val="center"/>
          </w:tcPr>
          <w:p w14:paraId="61204F46" w14:textId="437576BD" w:rsidR="00F448D6" w:rsidRPr="00633699" w:rsidRDefault="00D742CC">
            <w:pPr>
              <w:spacing w:before="120" w:after="120"/>
              <w:jc w:val="center"/>
              <w:rPr>
                <w:b/>
                <w:bCs/>
                <w:sz w:val="22"/>
                <w:szCs w:val="22"/>
              </w:rPr>
            </w:pPr>
            <w:r w:rsidRPr="00633699">
              <w:rPr>
                <w:b/>
                <w:bCs/>
                <w:sz w:val="22"/>
                <w:szCs w:val="22"/>
              </w:rPr>
              <w:t>1-</w:t>
            </w:r>
            <w:r w:rsidR="001A2973">
              <w:rPr>
                <w:b/>
                <w:bCs/>
                <w:sz w:val="22"/>
                <w:szCs w:val="22"/>
              </w:rPr>
              <w:t>2</w:t>
            </w:r>
          </w:p>
        </w:tc>
      </w:tr>
      <w:tr w:rsidR="00F448D6" w:rsidRPr="00633699" w14:paraId="191DCA8C" w14:textId="77777777">
        <w:tc>
          <w:tcPr>
            <w:tcW w:w="1114" w:type="dxa"/>
            <w:vAlign w:val="center"/>
          </w:tcPr>
          <w:p w14:paraId="7B293CD3" w14:textId="77777777" w:rsidR="00F448D6" w:rsidRPr="00633699" w:rsidRDefault="00F448D6">
            <w:pPr>
              <w:spacing w:before="120" w:after="120"/>
              <w:jc w:val="center"/>
              <w:rPr>
                <w:b/>
                <w:bCs/>
                <w:sz w:val="22"/>
                <w:szCs w:val="22"/>
              </w:rPr>
            </w:pPr>
            <w:r w:rsidRPr="00633699">
              <w:rPr>
                <w:b/>
                <w:bCs/>
                <w:sz w:val="22"/>
                <w:szCs w:val="22"/>
              </w:rPr>
              <w:t>II</w:t>
            </w:r>
          </w:p>
        </w:tc>
        <w:tc>
          <w:tcPr>
            <w:tcW w:w="2380" w:type="dxa"/>
            <w:vAlign w:val="center"/>
          </w:tcPr>
          <w:p w14:paraId="780F653B" w14:textId="77777777" w:rsidR="00F448D6" w:rsidRPr="00633699" w:rsidRDefault="00F448D6">
            <w:pPr>
              <w:spacing w:before="120" w:after="120"/>
              <w:jc w:val="center"/>
              <w:rPr>
                <w:b/>
                <w:bCs/>
                <w:sz w:val="22"/>
                <w:szCs w:val="22"/>
              </w:rPr>
            </w:pPr>
            <w:r w:rsidRPr="00633699">
              <w:rPr>
                <w:b/>
                <w:bCs/>
                <w:sz w:val="22"/>
                <w:szCs w:val="22"/>
              </w:rPr>
              <w:t>TRÁMITE DEL JUICIO DE AMPARO</w:t>
            </w:r>
          </w:p>
        </w:tc>
        <w:tc>
          <w:tcPr>
            <w:tcW w:w="4442" w:type="dxa"/>
            <w:vAlign w:val="center"/>
          </w:tcPr>
          <w:p w14:paraId="01AB8EEF" w14:textId="77777777" w:rsidR="00F448D6" w:rsidRPr="00633699" w:rsidRDefault="00F448D6">
            <w:pPr>
              <w:spacing w:before="120" w:after="120"/>
              <w:rPr>
                <w:sz w:val="22"/>
                <w:szCs w:val="22"/>
              </w:rPr>
            </w:pPr>
            <w:r w:rsidRPr="00633699">
              <w:rPr>
                <w:sz w:val="22"/>
                <w:szCs w:val="22"/>
              </w:rPr>
              <w:t xml:space="preserve">Se narran los antecedentes procesales del caso desde el juicio de amparo directo hasta el amparo en revisión. </w:t>
            </w:r>
          </w:p>
        </w:tc>
        <w:tc>
          <w:tcPr>
            <w:tcW w:w="1132" w:type="dxa"/>
            <w:vAlign w:val="center"/>
          </w:tcPr>
          <w:p w14:paraId="2D971C1A" w14:textId="4DD80EF9" w:rsidR="00F448D6" w:rsidRPr="00633699" w:rsidRDefault="001A2973">
            <w:pPr>
              <w:spacing w:before="120" w:after="120"/>
              <w:jc w:val="center"/>
              <w:rPr>
                <w:b/>
                <w:bCs/>
                <w:sz w:val="22"/>
                <w:szCs w:val="22"/>
              </w:rPr>
            </w:pPr>
            <w:r>
              <w:rPr>
                <w:b/>
                <w:bCs/>
                <w:sz w:val="22"/>
                <w:szCs w:val="22"/>
              </w:rPr>
              <w:t>2</w:t>
            </w:r>
            <w:r w:rsidR="00ED7AB2" w:rsidRPr="00633699">
              <w:rPr>
                <w:b/>
                <w:bCs/>
                <w:sz w:val="22"/>
                <w:szCs w:val="22"/>
              </w:rPr>
              <w:t>-</w:t>
            </w:r>
            <w:r w:rsidR="00D742CC" w:rsidRPr="00633699">
              <w:rPr>
                <w:b/>
                <w:bCs/>
                <w:sz w:val="22"/>
                <w:szCs w:val="22"/>
              </w:rPr>
              <w:t>4</w:t>
            </w:r>
          </w:p>
        </w:tc>
      </w:tr>
      <w:tr w:rsidR="00F448D6" w:rsidRPr="00633699" w14:paraId="67C873C0" w14:textId="77777777" w:rsidTr="00194705">
        <w:trPr>
          <w:trHeight w:val="60"/>
        </w:trPr>
        <w:tc>
          <w:tcPr>
            <w:tcW w:w="1114" w:type="dxa"/>
            <w:vAlign w:val="center"/>
          </w:tcPr>
          <w:p w14:paraId="26F010B6" w14:textId="77777777" w:rsidR="00F448D6" w:rsidRPr="00633699" w:rsidRDefault="00F448D6">
            <w:pPr>
              <w:spacing w:before="120" w:after="120"/>
              <w:jc w:val="center"/>
              <w:rPr>
                <w:b/>
                <w:bCs/>
                <w:sz w:val="22"/>
                <w:szCs w:val="22"/>
              </w:rPr>
            </w:pPr>
            <w:r w:rsidRPr="00633699">
              <w:rPr>
                <w:b/>
                <w:bCs/>
                <w:sz w:val="22"/>
                <w:szCs w:val="22"/>
              </w:rPr>
              <w:t>III</w:t>
            </w:r>
          </w:p>
        </w:tc>
        <w:tc>
          <w:tcPr>
            <w:tcW w:w="2380" w:type="dxa"/>
            <w:vAlign w:val="center"/>
          </w:tcPr>
          <w:p w14:paraId="62BDE444" w14:textId="77777777" w:rsidR="00F448D6" w:rsidRPr="00633699" w:rsidRDefault="00F448D6">
            <w:pPr>
              <w:spacing w:before="120" w:after="120"/>
              <w:jc w:val="center"/>
              <w:rPr>
                <w:b/>
                <w:bCs/>
                <w:sz w:val="22"/>
                <w:szCs w:val="22"/>
              </w:rPr>
            </w:pPr>
            <w:r w:rsidRPr="00633699">
              <w:rPr>
                <w:b/>
                <w:bCs/>
                <w:sz w:val="22"/>
                <w:szCs w:val="22"/>
              </w:rPr>
              <w:t xml:space="preserve">COMPETENCIA </w:t>
            </w:r>
          </w:p>
        </w:tc>
        <w:tc>
          <w:tcPr>
            <w:tcW w:w="4442" w:type="dxa"/>
            <w:vAlign w:val="center"/>
          </w:tcPr>
          <w:p w14:paraId="29EAEFDA" w14:textId="6108EABB" w:rsidR="00F448D6" w:rsidRPr="00633699" w:rsidRDefault="000A3F18">
            <w:pPr>
              <w:spacing w:before="120" w:after="120"/>
              <w:rPr>
                <w:sz w:val="22"/>
                <w:szCs w:val="22"/>
              </w:rPr>
            </w:pPr>
            <w:r>
              <w:rPr>
                <w:sz w:val="22"/>
                <w:szCs w:val="22"/>
              </w:rPr>
              <w:t>El Tribunal Pleno</w:t>
            </w:r>
            <w:r w:rsidR="00F448D6" w:rsidRPr="00633699">
              <w:rPr>
                <w:sz w:val="22"/>
                <w:szCs w:val="22"/>
              </w:rPr>
              <w:t xml:space="preserve"> de esta Suprema Corte de Justicia de la Nación es competente para resolver el presente recurso de revisión. </w:t>
            </w:r>
          </w:p>
        </w:tc>
        <w:tc>
          <w:tcPr>
            <w:tcW w:w="1132" w:type="dxa"/>
            <w:vAlign w:val="center"/>
          </w:tcPr>
          <w:p w14:paraId="35004E4B" w14:textId="11E194E7" w:rsidR="00F448D6" w:rsidRPr="00633699" w:rsidRDefault="00D369F9">
            <w:pPr>
              <w:spacing w:before="120" w:after="120"/>
              <w:jc w:val="center"/>
              <w:rPr>
                <w:b/>
                <w:bCs/>
                <w:sz w:val="22"/>
                <w:szCs w:val="22"/>
              </w:rPr>
            </w:pPr>
            <w:r w:rsidRPr="00633699">
              <w:rPr>
                <w:b/>
                <w:bCs/>
                <w:sz w:val="22"/>
                <w:szCs w:val="22"/>
              </w:rPr>
              <w:t>4</w:t>
            </w:r>
          </w:p>
        </w:tc>
      </w:tr>
      <w:tr w:rsidR="00F448D6" w:rsidRPr="00633699" w14:paraId="08893CEB" w14:textId="77777777">
        <w:tc>
          <w:tcPr>
            <w:tcW w:w="1114" w:type="dxa"/>
            <w:vAlign w:val="center"/>
          </w:tcPr>
          <w:p w14:paraId="100D8B28" w14:textId="77777777" w:rsidR="00F448D6" w:rsidRPr="00194705" w:rsidRDefault="00F448D6">
            <w:pPr>
              <w:spacing w:before="120" w:after="120"/>
              <w:jc w:val="center"/>
              <w:rPr>
                <w:b/>
                <w:bCs/>
                <w:sz w:val="22"/>
                <w:szCs w:val="22"/>
              </w:rPr>
            </w:pPr>
            <w:r w:rsidRPr="00194705">
              <w:rPr>
                <w:b/>
                <w:bCs/>
                <w:sz w:val="22"/>
                <w:szCs w:val="22"/>
              </w:rPr>
              <w:t>IV</w:t>
            </w:r>
          </w:p>
        </w:tc>
        <w:tc>
          <w:tcPr>
            <w:tcW w:w="2380" w:type="dxa"/>
            <w:vAlign w:val="center"/>
          </w:tcPr>
          <w:p w14:paraId="72A0416A" w14:textId="77777777" w:rsidR="00F448D6" w:rsidRPr="00194705" w:rsidRDefault="00F448D6">
            <w:pPr>
              <w:spacing w:before="120" w:after="120"/>
              <w:jc w:val="center"/>
              <w:rPr>
                <w:b/>
                <w:bCs/>
                <w:sz w:val="22"/>
                <w:szCs w:val="22"/>
              </w:rPr>
            </w:pPr>
            <w:r w:rsidRPr="00194705">
              <w:rPr>
                <w:b/>
                <w:bCs/>
                <w:sz w:val="22"/>
                <w:szCs w:val="22"/>
              </w:rPr>
              <w:t>OPORTUNIDAD</w:t>
            </w:r>
          </w:p>
        </w:tc>
        <w:tc>
          <w:tcPr>
            <w:tcW w:w="4442" w:type="dxa"/>
            <w:vAlign w:val="center"/>
          </w:tcPr>
          <w:p w14:paraId="08FA6F14" w14:textId="77777777" w:rsidR="00F448D6" w:rsidRPr="00194705" w:rsidRDefault="00F448D6">
            <w:pPr>
              <w:spacing w:before="120" w:after="120"/>
              <w:rPr>
                <w:sz w:val="22"/>
                <w:szCs w:val="22"/>
              </w:rPr>
            </w:pPr>
            <w:r w:rsidRPr="00194705">
              <w:rPr>
                <w:sz w:val="22"/>
                <w:szCs w:val="22"/>
              </w:rPr>
              <w:t>El recurso se interpuso dentro del plazo correspondiente.</w:t>
            </w:r>
          </w:p>
        </w:tc>
        <w:tc>
          <w:tcPr>
            <w:tcW w:w="1132" w:type="dxa"/>
            <w:vAlign w:val="center"/>
          </w:tcPr>
          <w:p w14:paraId="0A841794" w14:textId="051B6C08" w:rsidR="00F448D6" w:rsidRPr="00194705" w:rsidRDefault="001A2973">
            <w:pPr>
              <w:spacing w:before="120" w:after="120"/>
              <w:jc w:val="center"/>
              <w:rPr>
                <w:b/>
                <w:bCs/>
                <w:sz w:val="22"/>
                <w:szCs w:val="22"/>
              </w:rPr>
            </w:pPr>
            <w:r w:rsidRPr="00194705">
              <w:rPr>
                <w:b/>
                <w:bCs/>
                <w:sz w:val="22"/>
                <w:szCs w:val="22"/>
              </w:rPr>
              <w:t>4-</w:t>
            </w:r>
            <w:r w:rsidR="00D369F9" w:rsidRPr="00194705">
              <w:rPr>
                <w:b/>
                <w:bCs/>
                <w:sz w:val="22"/>
                <w:szCs w:val="22"/>
              </w:rPr>
              <w:t>5</w:t>
            </w:r>
          </w:p>
        </w:tc>
      </w:tr>
      <w:tr w:rsidR="00F448D6" w:rsidRPr="00633699" w14:paraId="48629C90" w14:textId="77777777">
        <w:tc>
          <w:tcPr>
            <w:tcW w:w="1114" w:type="dxa"/>
            <w:vAlign w:val="center"/>
          </w:tcPr>
          <w:p w14:paraId="13F2C709" w14:textId="77777777" w:rsidR="00F448D6" w:rsidRPr="00194705" w:rsidRDefault="00F448D6">
            <w:pPr>
              <w:spacing w:before="120" w:after="120"/>
              <w:jc w:val="center"/>
              <w:rPr>
                <w:b/>
                <w:bCs/>
                <w:sz w:val="22"/>
                <w:szCs w:val="22"/>
              </w:rPr>
            </w:pPr>
            <w:r w:rsidRPr="00194705">
              <w:rPr>
                <w:b/>
                <w:bCs/>
                <w:sz w:val="22"/>
                <w:szCs w:val="22"/>
              </w:rPr>
              <w:t>V</w:t>
            </w:r>
          </w:p>
        </w:tc>
        <w:tc>
          <w:tcPr>
            <w:tcW w:w="2380" w:type="dxa"/>
            <w:vAlign w:val="center"/>
          </w:tcPr>
          <w:p w14:paraId="63CA5891" w14:textId="77777777" w:rsidR="00F448D6" w:rsidRPr="00194705" w:rsidRDefault="00F448D6">
            <w:pPr>
              <w:spacing w:before="120" w:after="120"/>
              <w:jc w:val="center"/>
              <w:rPr>
                <w:b/>
                <w:bCs/>
                <w:sz w:val="22"/>
                <w:szCs w:val="22"/>
              </w:rPr>
            </w:pPr>
            <w:r w:rsidRPr="00194705">
              <w:rPr>
                <w:b/>
                <w:bCs/>
                <w:sz w:val="22"/>
                <w:szCs w:val="22"/>
              </w:rPr>
              <w:t>LEGITIMACIÓN</w:t>
            </w:r>
          </w:p>
        </w:tc>
        <w:tc>
          <w:tcPr>
            <w:tcW w:w="4442" w:type="dxa"/>
            <w:vAlign w:val="center"/>
          </w:tcPr>
          <w:p w14:paraId="64B4AAA2" w14:textId="77777777" w:rsidR="00F448D6" w:rsidRPr="00194705" w:rsidRDefault="00F448D6">
            <w:pPr>
              <w:spacing w:before="120" w:after="120"/>
              <w:rPr>
                <w:sz w:val="22"/>
                <w:szCs w:val="22"/>
              </w:rPr>
            </w:pPr>
            <w:r w:rsidRPr="00194705">
              <w:rPr>
                <w:sz w:val="22"/>
                <w:szCs w:val="22"/>
              </w:rPr>
              <w:t xml:space="preserve">El recurrente está legitimado para interponer el presente recurso. </w:t>
            </w:r>
          </w:p>
        </w:tc>
        <w:tc>
          <w:tcPr>
            <w:tcW w:w="1132" w:type="dxa"/>
            <w:vAlign w:val="center"/>
          </w:tcPr>
          <w:p w14:paraId="020301A4" w14:textId="49EA9780" w:rsidR="00F448D6" w:rsidRPr="00194705" w:rsidRDefault="00D369F9">
            <w:pPr>
              <w:spacing w:before="120" w:after="120"/>
              <w:jc w:val="center"/>
              <w:rPr>
                <w:b/>
                <w:bCs/>
                <w:sz w:val="22"/>
                <w:szCs w:val="22"/>
              </w:rPr>
            </w:pPr>
            <w:r w:rsidRPr="00194705">
              <w:rPr>
                <w:b/>
                <w:bCs/>
                <w:sz w:val="22"/>
                <w:szCs w:val="22"/>
              </w:rPr>
              <w:t>5</w:t>
            </w:r>
          </w:p>
        </w:tc>
      </w:tr>
      <w:tr w:rsidR="00770461" w:rsidRPr="00633699" w14:paraId="62553994" w14:textId="77777777">
        <w:tc>
          <w:tcPr>
            <w:tcW w:w="1114" w:type="dxa"/>
            <w:vAlign w:val="center"/>
          </w:tcPr>
          <w:p w14:paraId="5B551E2D" w14:textId="518D107B" w:rsidR="00770461" w:rsidRPr="00194705" w:rsidRDefault="00770461">
            <w:pPr>
              <w:spacing w:before="120" w:after="120"/>
              <w:jc w:val="center"/>
              <w:rPr>
                <w:b/>
                <w:bCs/>
                <w:sz w:val="22"/>
                <w:szCs w:val="22"/>
              </w:rPr>
            </w:pPr>
            <w:r>
              <w:rPr>
                <w:b/>
                <w:bCs/>
                <w:sz w:val="22"/>
                <w:szCs w:val="22"/>
              </w:rPr>
              <w:t>VI</w:t>
            </w:r>
          </w:p>
        </w:tc>
        <w:tc>
          <w:tcPr>
            <w:tcW w:w="2380" w:type="dxa"/>
            <w:vAlign w:val="center"/>
          </w:tcPr>
          <w:p w14:paraId="6B7380E2" w14:textId="1134B296" w:rsidR="00770461" w:rsidRPr="00194705" w:rsidRDefault="000A3F18">
            <w:pPr>
              <w:spacing w:before="120" w:after="120"/>
              <w:jc w:val="center"/>
              <w:rPr>
                <w:b/>
                <w:bCs/>
                <w:sz w:val="22"/>
                <w:szCs w:val="22"/>
              </w:rPr>
            </w:pPr>
            <w:r>
              <w:rPr>
                <w:b/>
                <w:bCs/>
                <w:sz w:val="22"/>
                <w:szCs w:val="22"/>
              </w:rPr>
              <w:t>PROCEDENCIA</w:t>
            </w:r>
          </w:p>
        </w:tc>
        <w:tc>
          <w:tcPr>
            <w:tcW w:w="4442" w:type="dxa"/>
            <w:vAlign w:val="center"/>
          </w:tcPr>
          <w:p w14:paraId="49244474" w14:textId="19FF7878" w:rsidR="00770461" w:rsidRPr="00194705" w:rsidRDefault="003C640D">
            <w:pPr>
              <w:spacing w:before="120" w:after="120"/>
              <w:rPr>
                <w:sz w:val="22"/>
                <w:szCs w:val="22"/>
              </w:rPr>
            </w:pPr>
            <w:r w:rsidRPr="003C640D">
              <w:rPr>
                <w:sz w:val="22"/>
                <w:szCs w:val="22"/>
              </w:rPr>
              <w:t xml:space="preserve">El Tribunal Pleno </w:t>
            </w:r>
            <w:r>
              <w:rPr>
                <w:sz w:val="22"/>
                <w:szCs w:val="22"/>
              </w:rPr>
              <w:t>concluye</w:t>
            </w:r>
            <w:r w:rsidRPr="003C640D">
              <w:rPr>
                <w:sz w:val="22"/>
                <w:szCs w:val="22"/>
              </w:rPr>
              <w:t xml:space="preserve"> que el asunto resulta procedente, ya que la revisión se interpuso contra la sentencia dictada por el Juzgado Tercero de Distrito de Amparo en Materia Penal en el Estado de Jalisco, dentro de la audiencia constitucional del juicio de amparo indirecto </w:t>
            </w:r>
            <w:r w:rsidR="00AA30BB" w:rsidRPr="00AA30BB">
              <w:rPr>
                <w:color w:val="EE0000"/>
                <w:sz w:val="22"/>
                <w:szCs w:val="22"/>
              </w:rPr>
              <w:t>expediente 1</w:t>
            </w:r>
            <w:r w:rsidRPr="003C640D">
              <w:rPr>
                <w:sz w:val="22"/>
                <w:szCs w:val="22"/>
              </w:rPr>
              <w:t xml:space="preserve">. </w:t>
            </w:r>
          </w:p>
        </w:tc>
        <w:tc>
          <w:tcPr>
            <w:tcW w:w="1132" w:type="dxa"/>
            <w:vAlign w:val="center"/>
          </w:tcPr>
          <w:p w14:paraId="0F62F4C7" w14:textId="6093217B" w:rsidR="00770461" w:rsidRPr="00194705" w:rsidRDefault="00147968">
            <w:pPr>
              <w:spacing w:before="120" w:after="120"/>
              <w:jc w:val="center"/>
              <w:rPr>
                <w:b/>
                <w:bCs/>
                <w:sz w:val="22"/>
                <w:szCs w:val="22"/>
              </w:rPr>
            </w:pPr>
            <w:r>
              <w:rPr>
                <w:b/>
                <w:bCs/>
                <w:sz w:val="22"/>
                <w:szCs w:val="22"/>
              </w:rPr>
              <w:t>5</w:t>
            </w:r>
            <w:r w:rsidR="006C57EB">
              <w:rPr>
                <w:b/>
                <w:bCs/>
                <w:sz w:val="22"/>
                <w:szCs w:val="22"/>
              </w:rPr>
              <w:t>-6</w:t>
            </w:r>
          </w:p>
        </w:tc>
      </w:tr>
      <w:tr w:rsidR="00F448D6" w:rsidRPr="00633699" w14:paraId="0D3E2993" w14:textId="77777777">
        <w:tc>
          <w:tcPr>
            <w:tcW w:w="1114" w:type="dxa"/>
            <w:vAlign w:val="center"/>
          </w:tcPr>
          <w:p w14:paraId="0A1D0BB2" w14:textId="535B5687" w:rsidR="00F448D6" w:rsidRPr="00194705" w:rsidRDefault="00F448D6">
            <w:pPr>
              <w:spacing w:before="120" w:after="120"/>
              <w:jc w:val="center"/>
              <w:rPr>
                <w:b/>
                <w:bCs/>
                <w:sz w:val="22"/>
                <w:szCs w:val="22"/>
              </w:rPr>
            </w:pPr>
            <w:r w:rsidRPr="00194705">
              <w:rPr>
                <w:b/>
                <w:bCs/>
                <w:sz w:val="22"/>
                <w:szCs w:val="22"/>
              </w:rPr>
              <w:t>VI</w:t>
            </w:r>
            <w:r w:rsidR="00BB55C3">
              <w:rPr>
                <w:b/>
                <w:bCs/>
                <w:sz w:val="22"/>
                <w:szCs w:val="22"/>
              </w:rPr>
              <w:t>I</w:t>
            </w:r>
          </w:p>
        </w:tc>
        <w:tc>
          <w:tcPr>
            <w:tcW w:w="2380" w:type="dxa"/>
            <w:vAlign w:val="center"/>
          </w:tcPr>
          <w:p w14:paraId="17566BCE" w14:textId="1BDCA4F8" w:rsidR="00F448D6" w:rsidRPr="00DF6A80" w:rsidRDefault="00101B38">
            <w:pPr>
              <w:spacing w:before="120" w:after="120"/>
              <w:jc w:val="center"/>
              <w:rPr>
                <w:b/>
                <w:bCs/>
                <w:sz w:val="22"/>
                <w:szCs w:val="22"/>
              </w:rPr>
            </w:pPr>
            <w:r w:rsidRPr="00DF6A80">
              <w:rPr>
                <w:b/>
                <w:bCs/>
                <w:sz w:val="22"/>
                <w:szCs w:val="22"/>
              </w:rPr>
              <w:t>ELEMENTOS NECESARIOS PARA RESOLVER</w:t>
            </w:r>
          </w:p>
        </w:tc>
        <w:tc>
          <w:tcPr>
            <w:tcW w:w="4442" w:type="dxa"/>
            <w:vAlign w:val="center"/>
          </w:tcPr>
          <w:p w14:paraId="697283E4" w14:textId="095F0E97" w:rsidR="00F448D6" w:rsidRPr="00147968" w:rsidRDefault="00293EBC">
            <w:pPr>
              <w:spacing w:before="120" w:after="120"/>
              <w:rPr>
                <w:sz w:val="22"/>
                <w:szCs w:val="22"/>
              </w:rPr>
            </w:pPr>
            <w:r w:rsidRPr="00147968">
              <w:rPr>
                <w:sz w:val="22"/>
                <w:szCs w:val="22"/>
              </w:rPr>
              <w:t xml:space="preserve">Se retoman </w:t>
            </w:r>
            <w:r w:rsidR="00147968" w:rsidRPr="00147968">
              <w:rPr>
                <w:sz w:val="22"/>
                <w:szCs w:val="22"/>
              </w:rPr>
              <w:t>los argumentos formulados por el quejoso en la demanda de amparo indirecto, las razones que llevaron al juzgado de distrito a decretar el sobreseimiento del juicio y los agravios que el quejoso hizo valer en el recurso de revisión.</w:t>
            </w:r>
          </w:p>
        </w:tc>
        <w:tc>
          <w:tcPr>
            <w:tcW w:w="1132" w:type="dxa"/>
            <w:vAlign w:val="center"/>
          </w:tcPr>
          <w:p w14:paraId="693ABBA9" w14:textId="3DF8017C" w:rsidR="00F448D6" w:rsidRPr="00194705" w:rsidRDefault="006B06F7">
            <w:pPr>
              <w:spacing w:before="120" w:after="120"/>
              <w:jc w:val="center"/>
              <w:rPr>
                <w:b/>
                <w:bCs/>
                <w:sz w:val="22"/>
                <w:szCs w:val="22"/>
              </w:rPr>
            </w:pPr>
            <w:r>
              <w:rPr>
                <w:b/>
                <w:bCs/>
                <w:sz w:val="22"/>
                <w:szCs w:val="22"/>
              </w:rPr>
              <w:t>6</w:t>
            </w:r>
            <w:r w:rsidR="00F448D6" w:rsidRPr="00194705">
              <w:rPr>
                <w:b/>
                <w:bCs/>
                <w:sz w:val="22"/>
                <w:szCs w:val="22"/>
              </w:rPr>
              <w:t>-</w:t>
            </w:r>
            <w:r w:rsidR="00147968">
              <w:rPr>
                <w:b/>
                <w:bCs/>
                <w:sz w:val="22"/>
                <w:szCs w:val="22"/>
              </w:rPr>
              <w:t>1</w:t>
            </w:r>
            <w:r>
              <w:rPr>
                <w:b/>
                <w:bCs/>
                <w:sz w:val="22"/>
                <w:szCs w:val="22"/>
              </w:rPr>
              <w:t>4</w:t>
            </w:r>
          </w:p>
        </w:tc>
      </w:tr>
      <w:tr w:rsidR="00702416" w:rsidRPr="00633699" w14:paraId="6EEF990F" w14:textId="77777777">
        <w:tc>
          <w:tcPr>
            <w:tcW w:w="1114" w:type="dxa"/>
            <w:vAlign w:val="center"/>
          </w:tcPr>
          <w:p w14:paraId="01F11A5D" w14:textId="5A1DB901" w:rsidR="00702416" w:rsidRPr="00194705" w:rsidRDefault="00702416">
            <w:pPr>
              <w:spacing w:before="120" w:after="120"/>
              <w:jc w:val="center"/>
              <w:rPr>
                <w:b/>
                <w:bCs/>
                <w:sz w:val="22"/>
                <w:szCs w:val="22"/>
              </w:rPr>
            </w:pPr>
            <w:r>
              <w:rPr>
                <w:b/>
                <w:bCs/>
                <w:sz w:val="22"/>
                <w:szCs w:val="22"/>
              </w:rPr>
              <w:t>VIII</w:t>
            </w:r>
          </w:p>
        </w:tc>
        <w:tc>
          <w:tcPr>
            <w:tcW w:w="2380" w:type="dxa"/>
            <w:vAlign w:val="center"/>
          </w:tcPr>
          <w:p w14:paraId="198D1C3B" w14:textId="0CB4F3E5" w:rsidR="00702416" w:rsidRPr="00DF6A80" w:rsidRDefault="00702416">
            <w:pPr>
              <w:spacing w:before="120" w:after="120"/>
              <w:jc w:val="center"/>
              <w:rPr>
                <w:b/>
                <w:bCs/>
                <w:sz w:val="22"/>
                <w:szCs w:val="22"/>
              </w:rPr>
            </w:pPr>
            <w:r>
              <w:rPr>
                <w:b/>
                <w:bCs/>
                <w:sz w:val="22"/>
                <w:szCs w:val="22"/>
              </w:rPr>
              <w:t>ESTUDIO DE FONDO</w:t>
            </w:r>
          </w:p>
        </w:tc>
        <w:tc>
          <w:tcPr>
            <w:tcW w:w="4442" w:type="dxa"/>
            <w:vAlign w:val="center"/>
          </w:tcPr>
          <w:p w14:paraId="371C953D" w14:textId="77777777" w:rsidR="008F23DE" w:rsidRPr="008F23DE" w:rsidRDefault="008F23DE" w:rsidP="008F23DE">
            <w:pPr>
              <w:spacing w:before="120" w:after="120"/>
              <w:rPr>
                <w:sz w:val="22"/>
                <w:szCs w:val="22"/>
              </w:rPr>
            </w:pPr>
            <w:r w:rsidRPr="008F23DE">
              <w:rPr>
                <w:sz w:val="22"/>
                <w:szCs w:val="22"/>
              </w:rPr>
              <w:t xml:space="preserve">¿Es constitucional el artículo 121 del Código Nacional de Procedimientos Penales, que faculta al juez a prevenir el cambio de defensor por “incapacidad </w:t>
            </w:r>
            <w:r w:rsidRPr="008F23DE">
              <w:rPr>
                <w:sz w:val="22"/>
                <w:szCs w:val="22"/>
              </w:rPr>
              <w:lastRenderedPageBreak/>
              <w:t>técnica manifiesta y sistemática”, y bajo qué estándar debe aplicarse?</w:t>
            </w:r>
          </w:p>
          <w:p w14:paraId="5E96049F" w14:textId="77777777" w:rsidR="008F23DE" w:rsidRPr="008F23DE" w:rsidRDefault="008F23DE" w:rsidP="008F23DE">
            <w:pPr>
              <w:spacing w:before="120" w:after="120"/>
              <w:rPr>
                <w:sz w:val="22"/>
                <w:szCs w:val="22"/>
              </w:rPr>
            </w:pPr>
            <w:r w:rsidRPr="008F23DE">
              <w:rPr>
                <w:sz w:val="22"/>
                <w:szCs w:val="22"/>
              </w:rPr>
              <w:t>El Tribunal Pleno delimita la controversia al control abstracto de dicha disposición frente al derecho a una defensa adecuada y al principio de imparcialidad judicial. Retoma la doctrina que esta Suprema Corte ha desarrollado sobre la defensa adecuada en sus vertientes formal y material. Con base en ese parámetro, considera que el artículo 121 persigue un fin legítimo: garantizar la efectividad de la defensa y la igualdad procesal. No obstante, advierte que su aplicación puede afectar el honor y la autonomía profesional del abogado, por lo que exige una motivación reforzada y un ejercicio prudente de la facultad judicial.</w:t>
            </w:r>
          </w:p>
          <w:p w14:paraId="3C3C4232" w14:textId="19042F8B" w:rsidR="008F23DE" w:rsidRPr="008F23DE" w:rsidRDefault="008F23DE" w:rsidP="008F23DE">
            <w:pPr>
              <w:spacing w:before="120" w:after="120"/>
              <w:rPr>
                <w:sz w:val="22"/>
                <w:szCs w:val="22"/>
              </w:rPr>
            </w:pPr>
            <w:r w:rsidRPr="008F23DE">
              <w:rPr>
                <w:sz w:val="22"/>
                <w:szCs w:val="22"/>
              </w:rPr>
              <w:t xml:space="preserve">En consecuencia, fija el estándar aplicable: la prevención para el cambio de defensor solo procede cuando existan indicios objetivos, relevantes y reiterados de incapacidad técnica —como el desconocimiento de técnicas de litigación, la omisión injustificada de recursos o el abandono de la defensa—, y debe operar bajo una presunción de deferencia hacia la estrategia profesional del defensor. Asimismo, el juez debe escuchar al imputado, respetar su elección, motivar de manera suficiente su decisión y otorgar un plazo razonable para reorganizar la defensa, con especial cautela cuando la solicitud provenga del </w:t>
            </w:r>
            <w:r w:rsidR="00B21C2B">
              <w:rPr>
                <w:sz w:val="22"/>
                <w:szCs w:val="22"/>
              </w:rPr>
              <w:t>ministerio público</w:t>
            </w:r>
            <w:r w:rsidRPr="008F23DE">
              <w:rPr>
                <w:sz w:val="22"/>
                <w:szCs w:val="22"/>
              </w:rPr>
              <w:t>.</w:t>
            </w:r>
          </w:p>
          <w:p w14:paraId="5580D0FC" w14:textId="0FD70C17" w:rsidR="00702416" w:rsidRPr="00147968" w:rsidRDefault="008F23DE" w:rsidP="008F23DE">
            <w:pPr>
              <w:spacing w:before="120" w:after="120"/>
              <w:rPr>
                <w:sz w:val="22"/>
                <w:szCs w:val="22"/>
              </w:rPr>
            </w:pPr>
            <w:r w:rsidRPr="008F23DE">
              <w:rPr>
                <w:sz w:val="22"/>
                <w:szCs w:val="22"/>
              </w:rPr>
              <w:t xml:space="preserve">El Tribunal Pleno </w:t>
            </w:r>
            <w:r w:rsidR="003C016A">
              <w:rPr>
                <w:sz w:val="22"/>
                <w:szCs w:val="22"/>
              </w:rPr>
              <w:t>determina</w:t>
            </w:r>
            <w:r w:rsidRPr="008F23DE">
              <w:rPr>
                <w:sz w:val="22"/>
                <w:szCs w:val="22"/>
              </w:rPr>
              <w:t xml:space="preserve"> que el artículo 121 es constitucional siempre que se aplique conforme a los principios de debido proceso, imparcialidad e igualdad de armas. En cambio, toda revocación que no acredite una negligencia ostensible ni cuente con motivación suficiente resulta </w:t>
            </w:r>
            <w:r w:rsidR="00B255D1">
              <w:rPr>
                <w:sz w:val="22"/>
                <w:szCs w:val="22"/>
              </w:rPr>
              <w:t>inconstitucional</w:t>
            </w:r>
            <w:r w:rsidR="00493020" w:rsidRPr="00493020">
              <w:rPr>
                <w:sz w:val="22"/>
                <w:szCs w:val="22"/>
              </w:rPr>
              <w:t>.</w:t>
            </w:r>
          </w:p>
        </w:tc>
        <w:tc>
          <w:tcPr>
            <w:tcW w:w="1132" w:type="dxa"/>
            <w:vAlign w:val="center"/>
          </w:tcPr>
          <w:p w14:paraId="49DE4450" w14:textId="71C78FDC" w:rsidR="00702416" w:rsidRDefault="00467FC2">
            <w:pPr>
              <w:spacing w:before="120" w:after="120"/>
              <w:jc w:val="center"/>
              <w:rPr>
                <w:b/>
                <w:bCs/>
                <w:sz w:val="22"/>
                <w:szCs w:val="22"/>
              </w:rPr>
            </w:pPr>
            <w:r>
              <w:rPr>
                <w:b/>
                <w:bCs/>
                <w:sz w:val="22"/>
                <w:szCs w:val="22"/>
              </w:rPr>
              <w:lastRenderedPageBreak/>
              <w:t>14-41</w:t>
            </w:r>
          </w:p>
        </w:tc>
      </w:tr>
      <w:tr w:rsidR="00194705" w:rsidRPr="00633699" w14:paraId="007ABC5D" w14:textId="77777777">
        <w:tc>
          <w:tcPr>
            <w:tcW w:w="1114" w:type="dxa"/>
            <w:vAlign w:val="center"/>
          </w:tcPr>
          <w:p w14:paraId="24CDA473" w14:textId="209FA52C" w:rsidR="00194705" w:rsidRPr="00BB55C3" w:rsidRDefault="000D328C">
            <w:pPr>
              <w:spacing w:before="120" w:after="120"/>
              <w:jc w:val="center"/>
              <w:rPr>
                <w:b/>
                <w:bCs/>
                <w:sz w:val="22"/>
                <w:szCs w:val="22"/>
              </w:rPr>
            </w:pPr>
            <w:r>
              <w:rPr>
                <w:b/>
                <w:bCs/>
                <w:sz w:val="22"/>
                <w:szCs w:val="22"/>
              </w:rPr>
              <w:t>IX</w:t>
            </w:r>
          </w:p>
        </w:tc>
        <w:tc>
          <w:tcPr>
            <w:tcW w:w="2380" w:type="dxa"/>
            <w:vAlign w:val="center"/>
          </w:tcPr>
          <w:p w14:paraId="002AA487" w14:textId="148B0F30" w:rsidR="00194705" w:rsidRPr="00BB55C3" w:rsidRDefault="00194705">
            <w:pPr>
              <w:spacing w:before="120" w:after="120"/>
              <w:jc w:val="center"/>
              <w:rPr>
                <w:b/>
                <w:bCs/>
                <w:sz w:val="22"/>
                <w:szCs w:val="22"/>
              </w:rPr>
            </w:pPr>
            <w:r w:rsidRPr="00BB55C3">
              <w:rPr>
                <w:b/>
                <w:bCs/>
                <w:sz w:val="22"/>
                <w:szCs w:val="22"/>
              </w:rPr>
              <w:t>DECISIÓN</w:t>
            </w:r>
          </w:p>
        </w:tc>
        <w:tc>
          <w:tcPr>
            <w:tcW w:w="4442" w:type="dxa"/>
            <w:vAlign w:val="center"/>
          </w:tcPr>
          <w:p w14:paraId="45B0A467" w14:textId="138030C1" w:rsidR="00F9596E" w:rsidRDefault="00F9596E" w:rsidP="00F9596E">
            <w:pPr>
              <w:spacing w:before="120" w:after="120"/>
              <w:rPr>
                <w:bCs/>
                <w:sz w:val="22"/>
                <w:szCs w:val="22"/>
              </w:rPr>
            </w:pPr>
            <w:r w:rsidRPr="00F9596E">
              <w:rPr>
                <w:bCs/>
                <w:sz w:val="22"/>
                <w:szCs w:val="22"/>
              </w:rPr>
              <w:t xml:space="preserve">El Tribunal Pleno </w:t>
            </w:r>
            <w:r w:rsidR="003C016A">
              <w:rPr>
                <w:bCs/>
                <w:sz w:val="22"/>
                <w:szCs w:val="22"/>
              </w:rPr>
              <w:t>concluye</w:t>
            </w:r>
            <w:r w:rsidRPr="00F9596E">
              <w:rPr>
                <w:bCs/>
                <w:sz w:val="22"/>
                <w:szCs w:val="22"/>
              </w:rPr>
              <w:t xml:space="preserve"> que el artículo 121 del Código Nacional de Procedimientos Penales es constitucional. </w:t>
            </w:r>
          </w:p>
          <w:p w14:paraId="7EF66CDC" w14:textId="1DECAFE4" w:rsidR="00194705" w:rsidRPr="000D147C" w:rsidRDefault="00F9596E">
            <w:pPr>
              <w:spacing w:before="120" w:after="120"/>
              <w:rPr>
                <w:bCs/>
                <w:sz w:val="22"/>
                <w:szCs w:val="22"/>
              </w:rPr>
            </w:pPr>
            <w:r w:rsidRPr="00F9596E">
              <w:rPr>
                <w:bCs/>
                <w:sz w:val="22"/>
                <w:szCs w:val="22"/>
              </w:rPr>
              <w:t xml:space="preserve">No obstante, al considerar que su aplicación concreta podría generar </w:t>
            </w:r>
            <w:r w:rsidRPr="00F9596E">
              <w:rPr>
                <w:bCs/>
                <w:sz w:val="22"/>
                <w:szCs w:val="22"/>
              </w:rPr>
              <w:lastRenderedPageBreak/>
              <w:t>afectaciones contrarias a la Constitución</w:t>
            </w:r>
            <w:r w:rsidR="003B4E68">
              <w:rPr>
                <w:bCs/>
                <w:sz w:val="22"/>
                <w:szCs w:val="22"/>
              </w:rPr>
              <w:t xml:space="preserve"> Federal</w:t>
            </w:r>
            <w:r w:rsidRPr="00F9596E">
              <w:rPr>
                <w:bCs/>
                <w:sz w:val="22"/>
                <w:szCs w:val="22"/>
              </w:rPr>
              <w:t>, se devuelve al tribunal colegiado competente la jurisdicción para que analice los agravios del recurrente en materia de legalidad relacionados con el acto de aplicación impugnado, y resuelva con plena libertad jurisdiccional conforme a la interpretación y los criterios establecidos en esta sentencia.</w:t>
            </w:r>
          </w:p>
        </w:tc>
        <w:tc>
          <w:tcPr>
            <w:tcW w:w="1132" w:type="dxa"/>
            <w:vAlign w:val="center"/>
          </w:tcPr>
          <w:p w14:paraId="4EBB3F5D" w14:textId="3F6D987F" w:rsidR="00194705" w:rsidRPr="00375377" w:rsidRDefault="00467FC2">
            <w:pPr>
              <w:spacing w:before="120" w:after="120"/>
              <w:jc w:val="center"/>
              <w:rPr>
                <w:b/>
                <w:bCs/>
                <w:sz w:val="22"/>
                <w:szCs w:val="22"/>
                <w:highlight w:val="yellow"/>
              </w:rPr>
            </w:pPr>
            <w:r w:rsidRPr="00467FC2">
              <w:rPr>
                <w:b/>
                <w:bCs/>
                <w:sz w:val="22"/>
                <w:szCs w:val="22"/>
              </w:rPr>
              <w:lastRenderedPageBreak/>
              <w:t>4</w:t>
            </w:r>
            <w:r w:rsidR="009364A4">
              <w:rPr>
                <w:b/>
                <w:bCs/>
                <w:sz w:val="22"/>
                <w:szCs w:val="22"/>
              </w:rPr>
              <w:t>2</w:t>
            </w:r>
          </w:p>
        </w:tc>
      </w:tr>
      <w:tr w:rsidR="00194705" w:rsidRPr="00633699" w14:paraId="096A13BD" w14:textId="77777777">
        <w:tc>
          <w:tcPr>
            <w:tcW w:w="1114" w:type="dxa"/>
            <w:vAlign w:val="center"/>
          </w:tcPr>
          <w:p w14:paraId="7F98ECA3" w14:textId="41270F5A" w:rsidR="00194705" w:rsidRPr="00375377" w:rsidRDefault="00194705">
            <w:pPr>
              <w:spacing w:before="120" w:after="120"/>
              <w:jc w:val="center"/>
              <w:rPr>
                <w:b/>
                <w:bCs/>
                <w:sz w:val="22"/>
                <w:szCs w:val="22"/>
                <w:highlight w:val="yellow"/>
              </w:rPr>
            </w:pPr>
          </w:p>
        </w:tc>
        <w:tc>
          <w:tcPr>
            <w:tcW w:w="2380" w:type="dxa"/>
            <w:vAlign w:val="center"/>
          </w:tcPr>
          <w:p w14:paraId="28BB138B" w14:textId="098AF196" w:rsidR="00194705" w:rsidRPr="00BB55C3" w:rsidRDefault="00194705">
            <w:pPr>
              <w:spacing w:before="120" w:after="120"/>
              <w:jc w:val="center"/>
              <w:rPr>
                <w:b/>
                <w:bCs/>
                <w:sz w:val="22"/>
                <w:szCs w:val="22"/>
                <w:highlight w:val="yellow"/>
              </w:rPr>
            </w:pPr>
            <w:r w:rsidRPr="00BB55C3">
              <w:rPr>
                <w:b/>
                <w:bCs/>
                <w:sz w:val="22"/>
                <w:szCs w:val="22"/>
              </w:rPr>
              <w:t>PUNTOS RESOLUTIVOS</w:t>
            </w:r>
          </w:p>
        </w:tc>
        <w:tc>
          <w:tcPr>
            <w:tcW w:w="4442" w:type="dxa"/>
            <w:vAlign w:val="center"/>
          </w:tcPr>
          <w:p w14:paraId="0C716636" w14:textId="77777777" w:rsidR="00E3012B" w:rsidRPr="00E3012B" w:rsidRDefault="00E3012B" w:rsidP="00E3012B">
            <w:pPr>
              <w:spacing w:before="120" w:after="120"/>
              <w:rPr>
                <w:b/>
                <w:bCs/>
                <w:sz w:val="22"/>
                <w:szCs w:val="22"/>
              </w:rPr>
            </w:pPr>
            <w:r w:rsidRPr="00E3012B">
              <w:rPr>
                <w:b/>
                <w:bCs/>
                <w:sz w:val="22"/>
                <w:szCs w:val="22"/>
              </w:rPr>
              <w:t xml:space="preserve">PRIMERO. </w:t>
            </w:r>
            <w:r w:rsidRPr="00E3012B">
              <w:rPr>
                <w:sz w:val="22"/>
                <w:szCs w:val="22"/>
              </w:rPr>
              <w:t>En la materia competencia de este Tribunal Pleno, se revoca la sentencia recurrida.</w:t>
            </w:r>
          </w:p>
          <w:p w14:paraId="756AE06F" w14:textId="77777777" w:rsidR="00E3012B" w:rsidRPr="00E3012B" w:rsidRDefault="00E3012B" w:rsidP="00E3012B">
            <w:pPr>
              <w:spacing w:before="120" w:after="120"/>
              <w:rPr>
                <w:b/>
                <w:bCs/>
                <w:sz w:val="22"/>
                <w:szCs w:val="22"/>
              </w:rPr>
            </w:pPr>
            <w:r w:rsidRPr="00E3012B">
              <w:rPr>
                <w:b/>
                <w:bCs/>
                <w:sz w:val="22"/>
                <w:szCs w:val="22"/>
              </w:rPr>
              <w:t xml:space="preserve">SEGUNDO. </w:t>
            </w:r>
            <w:r w:rsidRPr="00E3012B">
              <w:rPr>
                <w:sz w:val="22"/>
                <w:szCs w:val="22"/>
              </w:rPr>
              <w:t>La Justicia de la Unión no ampara ni protege al quejoso en contra del artículo 121 del Código Nacional de Procedimientos Penales.</w:t>
            </w:r>
          </w:p>
          <w:p w14:paraId="359DD4C4" w14:textId="13E43ECD" w:rsidR="00194705" w:rsidRPr="00375377" w:rsidRDefault="00E3012B" w:rsidP="00E3012B">
            <w:pPr>
              <w:spacing w:before="120" w:after="120"/>
              <w:rPr>
                <w:sz w:val="22"/>
                <w:szCs w:val="22"/>
                <w:highlight w:val="yellow"/>
              </w:rPr>
            </w:pPr>
            <w:r w:rsidRPr="00E3012B">
              <w:rPr>
                <w:b/>
                <w:bCs/>
                <w:sz w:val="22"/>
                <w:szCs w:val="22"/>
              </w:rPr>
              <w:t xml:space="preserve">TERCERO. </w:t>
            </w:r>
            <w:r w:rsidRPr="00E3012B">
              <w:rPr>
                <w:sz w:val="22"/>
                <w:szCs w:val="22"/>
              </w:rPr>
              <w:t>Se reserva jurisdicción al Cuarto Tribunal Colegiado en Materia Penal del Tercer Circuito, para que conozca de lo que es materia de su competencia en términos del último considerando de esta sentencia.</w:t>
            </w:r>
          </w:p>
        </w:tc>
        <w:tc>
          <w:tcPr>
            <w:tcW w:w="1132" w:type="dxa"/>
            <w:vAlign w:val="center"/>
          </w:tcPr>
          <w:p w14:paraId="02F8448A" w14:textId="59EBF8F5" w:rsidR="00194705" w:rsidRPr="00375377" w:rsidDel="002D7C02" w:rsidRDefault="00702DF2">
            <w:pPr>
              <w:spacing w:before="120" w:after="120"/>
              <w:jc w:val="center"/>
              <w:rPr>
                <w:b/>
                <w:bCs/>
                <w:sz w:val="22"/>
                <w:szCs w:val="22"/>
                <w:highlight w:val="yellow"/>
              </w:rPr>
            </w:pPr>
            <w:r w:rsidRPr="00702DF2">
              <w:rPr>
                <w:b/>
                <w:bCs/>
                <w:sz w:val="22"/>
                <w:szCs w:val="22"/>
              </w:rPr>
              <w:t>4</w:t>
            </w:r>
            <w:r w:rsidR="001E39B8">
              <w:rPr>
                <w:b/>
                <w:bCs/>
                <w:sz w:val="22"/>
                <w:szCs w:val="22"/>
              </w:rPr>
              <w:t>2</w:t>
            </w:r>
          </w:p>
        </w:tc>
      </w:tr>
    </w:tbl>
    <w:p w14:paraId="6FEE54EE" w14:textId="77777777" w:rsidR="002C53FF" w:rsidRPr="00633699" w:rsidRDefault="002C53FF" w:rsidP="0030759A">
      <w:pPr>
        <w:sectPr w:rsidR="002C53FF" w:rsidRPr="00633699" w:rsidSect="00527485">
          <w:headerReference w:type="even" r:id="rId11"/>
          <w:headerReference w:type="default" r:id="rId12"/>
          <w:footerReference w:type="even" r:id="rId13"/>
          <w:footerReference w:type="default" r:id="rId14"/>
          <w:pgSz w:w="12240" w:h="18720" w:code="14"/>
          <w:pgMar w:top="1417" w:right="1701" w:bottom="1417" w:left="1701" w:header="1134" w:footer="1724" w:gutter="0"/>
          <w:pgNumType w:fmt="upperRoman" w:start="1"/>
          <w:cols w:space="708"/>
          <w:titlePg/>
          <w:docGrid w:linePitch="360"/>
        </w:sectPr>
      </w:pPr>
    </w:p>
    <w:p w14:paraId="75B46189" w14:textId="77777777" w:rsidR="006E1A11" w:rsidRPr="000A7964" w:rsidRDefault="006E1A11" w:rsidP="006E1A11">
      <w:pPr>
        <w:pStyle w:val="Ttulo1"/>
        <w:spacing w:before="1200" w:after="240"/>
        <w:ind w:left="3969"/>
      </w:pPr>
      <w:r w:rsidRPr="000A7964">
        <w:lastRenderedPageBreak/>
        <w:t>AMPARO EN REVISIÓN 370/2025</w:t>
      </w:r>
    </w:p>
    <w:p w14:paraId="240EC4AD" w14:textId="0A446215" w:rsidR="006E1A11" w:rsidRPr="006E1A11" w:rsidRDefault="006E1A11" w:rsidP="006E1A11">
      <w:pPr>
        <w:pStyle w:val="Ttulo1"/>
        <w:spacing w:before="240" w:after="600"/>
        <w:ind w:left="3969"/>
        <w:rPr>
          <w:lang w:val="es-ES_tradnl"/>
        </w:rPr>
      </w:pPr>
      <w:r w:rsidRPr="006E1A11">
        <w:rPr>
          <w:lang w:val="es-ES_tradnl"/>
        </w:rPr>
        <w:t>QUEJOSO</w:t>
      </w:r>
      <w:r>
        <w:rPr>
          <w:lang w:val="es-ES_tradnl"/>
        </w:rPr>
        <w:t xml:space="preserve"> Y RECURRENTE</w:t>
      </w:r>
      <w:r w:rsidRPr="006E1A11">
        <w:rPr>
          <w:lang w:val="es-ES_tradnl"/>
        </w:rPr>
        <w:t xml:space="preserve">: </w:t>
      </w:r>
      <w:r w:rsidR="00AA30BB">
        <w:rPr>
          <w:color w:val="C00000"/>
          <w:lang w:val="es-ES_tradnl"/>
        </w:rPr>
        <w:t>PERSONA 1</w:t>
      </w:r>
    </w:p>
    <w:p w14:paraId="26CB8BF6" w14:textId="77777777" w:rsidR="002E4839" w:rsidRPr="00823C55" w:rsidRDefault="002E4839" w:rsidP="002E4839">
      <w:pPr>
        <w:pStyle w:val="Sinespaciado"/>
        <w:spacing w:before="600"/>
      </w:pPr>
      <w:r w:rsidRPr="00823C55">
        <w:t>VISTO BUENO</w:t>
      </w:r>
    </w:p>
    <w:p w14:paraId="69C52186" w14:textId="77777777" w:rsidR="002E4839" w:rsidRPr="00823C55" w:rsidRDefault="002E4839" w:rsidP="002E4839">
      <w:pPr>
        <w:spacing w:before="0"/>
        <w:rPr>
          <w:b/>
          <w:sz w:val="26"/>
          <w:szCs w:val="26"/>
        </w:rPr>
      </w:pPr>
      <w:r w:rsidRPr="00823C55">
        <w:rPr>
          <w:b/>
          <w:sz w:val="26"/>
          <w:szCs w:val="26"/>
        </w:rPr>
        <w:t xml:space="preserve">PONENTE: MINISTRO </w:t>
      </w:r>
      <w:r>
        <w:rPr>
          <w:b/>
          <w:sz w:val="26"/>
          <w:szCs w:val="26"/>
        </w:rPr>
        <w:t>IRVING ESPINOSA BETANZO</w:t>
      </w:r>
    </w:p>
    <w:p w14:paraId="4AA4049F" w14:textId="77777777" w:rsidR="002E4839" w:rsidRPr="00823C55" w:rsidRDefault="002E4839" w:rsidP="002E4839">
      <w:pPr>
        <w:pStyle w:val="Sinespaciado"/>
      </w:pPr>
      <w:r w:rsidRPr="00823C55">
        <w:t>COTEJÓ</w:t>
      </w:r>
    </w:p>
    <w:p w14:paraId="115213AB" w14:textId="77777777" w:rsidR="002E4839" w:rsidRDefault="002E4839" w:rsidP="002E4839">
      <w:pPr>
        <w:spacing w:before="0" w:after="0"/>
        <w:rPr>
          <w:b/>
          <w:sz w:val="26"/>
          <w:szCs w:val="26"/>
        </w:rPr>
      </w:pPr>
      <w:r w:rsidRPr="00823C55">
        <w:rPr>
          <w:b/>
          <w:sz w:val="26"/>
          <w:szCs w:val="26"/>
        </w:rPr>
        <w:t xml:space="preserve">SECRETARIA: </w:t>
      </w:r>
      <w:r>
        <w:rPr>
          <w:b/>
          <w:sz w:val="26"/>
          <w:szCs w:val="26"/>
        </w:rPr>
        <w:t>LUCIA I. MOTA CASILLAS</w:t>
      </w:r>
    </w:p>
    <w:p w14:paraId="14C93AAD" w14:textId="77777777" w:rsidR="002E4839" w:rsidRPr="00823C55" w:rsidRDefault="002E4839" w:rsidP="002E4839">
      <w:pPr>
        <w:spacing w:before="0" w:after="0"/>
        <w:rPr>
          <w:b/>
          <w:sz w:val="26"/>
          <w:szCs w:val="26"/>
        </w:rPr>
      </w:pPr>
      <w:r>
        <w:rPr>
          <w:b/>
          <w:sz w:val="26"/>
          <w:szCs w:val="26"/>
        </w:rPr>
        <w:t>COLABORÓ: DIEGO CRESPI GONZÁLEZ</w:t>
      </w:r>
    </w:p>
    <w:p w14:paraId="06DCB121" w14:textId="3A0496D3" w:rsidR="002E4839" w:rsidRPr="000C7727" w:rsidRDefault="002E4839" w:rsidP="002E4839">
      <w:pPr>
        <w:pStyle w:val="Prrafo"/>
      </w:pPr>
      <w:r w:rsidRPr="000C7727">
        <w:t xml:space="preserve">Ciudad de México. </w:t>
      </w:r>
      <w:r>
        <w:t xml:space="preserve">El Tribunal Pleno </w:t>
      </w:r>
      <w:r w:rsidRPr="000C7727">
        <w:t xml:space="preserve">de la Suprema Corte de Justicia de la Nación, en sesión correspondiente </w:t>
      </w:r>
      <w:r>
        <w:t xml:space="preserve">al </w:t>
      </w:r>
      <w:r w:rsidR="0027367D" w:rsidRPr="00EA40F6">
        <w:rPr>
          <w:b/>
          <w:bCs/>
        </w:rPr>
        <w:t>27 de enero de 2026</w:t>
      </w:r>
      <w:r w:rsidR="0027367D">
        <w:t>,</w:t>
      </w:r>
      <w:r w:rsidRPr="000C7727">
        <w:t xml:space="preserve"> emite la siguiente:</w:t>
      </w:r>
    </w:p>
    <w:p w14:paraId="5B83EDE4" w14:textId="77777777" w:rsidR="002E4839" w:rsidRPr="000C7727" w:rsidRDefault="002E4839" w:rsidP="002E4839">
      <w:pPr>
        <w:pStyle w:val="Ttulo2"/>
        <w:spacing w:line="360" w:lineRule="auto"/>
      </w:pPr>
      <w:r w:rsidRPr="000C7727">
        <w:t>SENTENCIA</w:t>
      </w:r>
    </w:p>
    <w:p w14:paraId="38A85487" w14:textId="65BD5692" w:rsidR="002D0B0B" w:rsidRDefault="0027518D" w:rsidP="002068EC">
      <w:pPr>
        <w:pStyle w:val="Prrafo"/>
      </w:pPr>
      <w:r w:rsidRPr="00633699">
        <w:rPr>
          <w:lang w:val="es-ES"/>
        </w:rPr>
        <w:t>Mediante</w:t>
      </w:r>
      <w:r w:rsidRPr="00633699">
        <w:rPr>
          <w:b/>
          <w:lang w:val="es-ES"/>
        </w:rPr>
        <w:t xml:space="preserve"> </w:t>
      </w:r>
      <w:r w:rsidRPr="00633699">
        <w:rPr>
          <w:lang w:val="es-ES"/>
        </w:rPr>
        <w:t xml:space="preserve">la cual se resuelve el amparo en revisión </w:t>
      </w:r>
      <w:r w:rsidR="00495330" w:rsidRPr="00EA40F6">
        <w:rPr>
          <w:b/>
          <w:bCs/>
          <w:lang w:val="es-ES"/>
        </w:rPr>
        <w:t>370</w:t>
      </w:r>
      <w:r w:rsidRPr="00EA40F6">
        <w:rPr>
          <w:b/>
          <w:bCs/>
          <w:lang w:val="es-ES"/>
        </w:rPr>
        <w:t>/202</w:t>
      </w:r>
      <w:r w:rsidR="00DB792F" w:rsidRPr="00EA40F6">
        <w:rPr>
          <w:b/>
          <w:bCs/>
          <w:lang w:val="es-ES"/>
        </w:rPr>
        <w:t>5</w:t>
      </w:r>
      <w:r w:rsidRPr="00633699">
        <w:rPr>
          <w:lang w:val="es-ES"/>
        </w:rPr>
        <w:t xml:space="preserve"> interpuesto por </w:t>
      </w:r>
      <w:r w:rsidR="00AA30BB">
        <w:rPr>
          <w:color w:val="C00000"/>
          <w:lang w:val="es-ES"/>
        </w:rPr>
        <w:t>Persona 1</w:t>
      </w:r>
      <w:r w:rsidRPr="00633699">
        <w:rPr>
          <w:color w:val="C00000"/>
          <w:lang w:val="es-ES"/>
        </w:rPr>
        <w:t xml:space="preserve"> </w:t>
      </w:r>
      <w:r w:rsidRPr="00633699">
        <w:rPr>
          <w:lang w:val="es-ES"/>
        </w:rPr>
        <w:t xml:space="preserve">contra la resolución de </w:t>
      </w:r>
      <w:r w:rsidR="001033C3">
        <w:rPr>
          <w:lang w:val="es-ES"/>
        </w:rPr>
        <w:t>22</w:t>
      </w:r>
      <w:r w:rsidRPr="00633699">
        <w:rPr>
          <w:lang w:val="es-ES"/>
        </w:rPr>
        <w:t xml:space="preserve"> de</w:t>
      </w:r>
      <w:r w:rsidR="009A5B90">
        <w:rPr>
          <w:lang w:val="es-ES"/>
        </w:rPr>
        <w:t xml:space="preserve"> abril</w:t>
      </w:r>
      <w:r w:rsidRPr="00633699">
        <w:rPr>
          <w:lang w:val="es-ES"/>
        </w:rPr>
        <w:t xml:space="preserve"> de 2024, dictada por el </w:t>
      </w:r>
      <w:r w:rsidR="002068EC">
        <w:t>Juzgado Tercero de Distrito de Amparo en Materia Penal en el Estado de Jalisco,</w:t>
      </w:r>
      <w:r w:rsidRPr="00633699">
        <w:t xml:space="preserve"> </w:t>
      </w:r>
      <w:r w:rsidRPr="00633699">
        <w:rPr>
          <w:lang w:val="es-ES"/>
        </w:rPr>
        <w:t xml:space="preserve">en el juicio de amparo </w:t>
      </w:r>
      <w:r w:rsidR="00643D07">
        <w:rPr>
          <w:lang w:val="es-ES"/>
        </w:rPr>
        <w:t>in</w:t>
      </w:r>
      <w:r w:rsidRPr="00633699">
        <w:rPr>
          <w:lang w:val="es-ES"/>
        </w:rPr>
        <w:t xml:space="preserve">directo </w:t>
      </w:r>
      <w:r w:rsidR="00AA30BB" w:rsidRPr="00AA30BB">
        <w:rPr>
          <w:color w:val="EE0000"/>
          <w:lang w:val="es-ES"/>
        </w:rPr>
        <w:t>expediente 1</w:t>
      </w:r>
      <w:r w:rsidRPr="00633699">
        <w:rPr>
          <w:lang w:val="es-ES"/>
        </w:rPr>
        <w:t>.</w:t>
      </w:r>
    </w:p>
    <w:p w14:paraId="1A37246A" w14:textId="49A693F3" w:rsidR="0027518D" w:rsidRPr="00F25DDE" w:rsidRDefault="00F25DDE" w:rsidP="00BC7021">
      <w:pPr>
        <w:pStyle w:val="Prrafo"/>
      </w:pPr>
      <w:r w:rsidRPr="00F25DDE">
        <w:t>El problema jurídico que este Pleno de la Suprema Corte de Justicia de la Nación debe resolver consiste en determinar si el artículo 121 del Código Nacional de Procedimientos Penales vulnera derechos fundamentales, como lo sostiene el quejoso. En particular, se plantea si dicha disposición transgrede el derecho a la defensa adecuada al facultar al juez para intervenir de oficio en la designación del defensor de una persona sujeta a proceso penal, o si afecta derechos humanos del propio defensor particular, al permitir que su remoción oficiosa incida negativamente en su reputación y, con ello, en el ejercicio de su profesión.</w:t>
      </w:r>
    </w:p>
    <w:p w14:paraId="1F989AA7" w14:textId="4AD3010C" w:rsidR="00654F0B" w:rsidRPr="0046452B" w:rsidRDefault="00654F0B" w:rsidP="008B01D8">
      <w:pPr>
        <w:pStyle w:val="Ttulo3"/>
        <w:numPr>
          <w:ilvl w:val="0"/>
          <w:numId w:val="19"/>
        </w:numPr>
      </w:pPr>
      <w:r w:rsidRPr="00DC14F2">
        <w:t>ANTECEDENTES DEL CASO</w:t>
      </w:r>
    </w:p>
    <w:p w14:paraId="79481223" w14:textId="3BDB7A7C" w:rsidR="0086503F" w:rsidRPr="00934953" w:rsidRDefault="0027518D" w:rsidP="0027518D">
      <w:pPr>
        <w:pStyle w:val="Prrafo"/>
        <w:numPr>
          <w:ilvl w:val="0"/>
          <w:numId w:val="2"/>
        </w:numPr>
        <w:ind w:left="0" w:hanging="567"/>
      </w:pPr>
      <w:r w:rsidRPr="00633699">
        <w:rPr>
          <w:lang w:val="es-ES"/>
        </w:rPr>
        <w:t xml:space="preserve">De la </w:t>
      </w:r>
      <w:r w:rsidR="00E62A8F">
        <w:rPr>
          <w:lang w:val="es-ES"/>
        </w:rPr>
        <w:t>causa penal</w:t>
      </w:r>
      <w:r w:rsidRPr="00633699">
        <w:rPr>
          <w:rStyle w:val="Refdenotaalpie"/>
          <w:lang w:val="es-ES"/>
        </w:rPr>
        <w:footnoteReference w:id="2"/>
      </w:r>
      <w:r w:rsidRPr="00633699">
        <w:rPr>
          <w:lang w:val="es-ES"/>
        </w:rPr>
        <w:t xml:space="preserve"> </w:t>
      </w:r>
      <w:r w:rsidRPr="00633699">
        <w:t xml:space="preserve">se desprende </w:t>
      </w:r>
      <w:r w:rsidR="00934953">
        <w:t xml:space="preserve">que </w:t>
      </w:r>
      <w:r w:rsidR="00934953" w:rsidRPr="00934953">
        <w:t xml:space="preserve">el 22 de octubre de 2023 se celebró la audiencia inicial con detenido, dentro del proceso penal instruido en contra </w:t>
      </w:r>
      <w:r w:rsidR="00934953" w:rsidRPr="00934953">
        <w:lastRenderedPageBreak/>
        <w:t xml:space="preserve">del señor </w:t>
      </w:r>
      <w:r w:rsidR="005A3FDA" w:rsidRPr="005A3FDA">
        <w:rPr>
          <w:color w:val="EE0000"/>
        </w:rPr>
        <w:t>Persona 2</w:t>
      </w:r>
      <w:r w:rsidR="00934953" w:rsidRPr="00934953">
        <w:t>, por su probable participación en el delito de posesión ilícita de hidrocarburos, previsto en el artículo 9, fracción II, y sancionado en el inciso d) del mismo numeral de la Ley Federal para Prevenir y Sancionar los Delitos Cometidos en Materia de Hidrocarburos.</w:t>
      </w:r>
      <w:r w:rsidR="00BE0AA9" w:rsidRPr="00934953">
        <w:t xml:space="preserve"> </w:t>
      </w:r>
    </w:p>
    <w:p w14:paraId="4C3C464B" w14:textId="37596077" w:rsidR="00BE0AA9" w:rsidRDefault="00F55105" w:rsidP="0027518D">
      <w:pPr>
        <w:pStyle w:val="Prrafo"/>
        <w:numPr>
          <w:ilvl w:val="0"/>
          <w:numId w:val="2"/>
        </w:numPr>
        <w:ind w:left="0" w:hanging="567"/>
      </w:pPr>
      <w:r w:rsidRPr="00F55105">
        <w:t xml:space="preserve">En el desarrollo de dicha audiencia, el </w:t>
      </w:r>
      <w:r>
        <w:t>señor</w:t>
      </w:r>
      <w:r w:rsidRPr="00F55105">
        <w:t xml:space="preserve"> </w:t>
      </w:r>
      <w:r w:rsidR="00F84DA6">
        <w:rPr>
          <w:color w:val="C00000"/>
        </w:rPr>
        <w:t>persona 2</w:t>
      </w:r>
      <w:r w:rsidRPr="00F55105">
        <w:rPr>
          <w:color w:val="C00000"/>
        </w:rPr>
        <w:t xml:space="preserve"> </w:t>
      </w:r>
      <w:r w:rsidRPr="00F55105">
        <w:t xml:space="preserve">designó como sus defensores particulares a los licenciados </w:t>
      </w:r>
      <w:r w:rsidR="00F84DA6">
        <w:rPr>
          <w:color w:val="C00000"/>
        </w:rPr>
        <w:t>persona 1</w:t>
      </w:r>
      <w:r w:rsidRPr="00F55105">
        <w:rPr>
          <w:color w:val="C00000"/>
        </w:rPr>
        <w:t xml:space="preserve"> </w:t>
      </w:r>
      <w:r w:rsidRPr="00F55105">
        <w:t xml:space="preserve">y </w:t>
      </w:r>
      <w:r w:rsidR="00AF0B64">
        <w:rPr>
          <w:color w:val="C00000"/>
        </w:rPr>
        <w:t>persona 3</w:t>
      </w:r>
      <w:r w:rsidRPr="00F55105">
        <w:t>, quienes aceptaron y protestaron el cargo, una vez acreditada su calidad profesional como abogados.</w:t>
      </w:r>
    </w:p>
    <w:p w14:paraId="188EF9FE" w14:textId="22DE3478" w:rsidR="00CA4B56" w:rsidRDefault="00D724C4" w:rsidP="0027518D">
      <w:pPr>
        <w:pStyle w:val="Prrafo"/>
        <w:numPr>
          <w:ilvl w:val="0"/>
          <w:numId w:val="2"/>
        </w:numPr>
        <w:ind w:left="0" w:hanging="567"/>
      </w:pPr>
      <w:r>
        <w:rPr>
          <w:b/>
          <w:bCs/>
        </w:rPr>
        <w:t>Trámite de la carpeta administrativa</w:t>
      </w:r>
      <w:r w:rsidR="00205164" w:rsidRPr="00205164">
        <w:rPr>
          <w:b/>
          <w:bCs/>
        </w:rPr>
        <w:t>.</w:t>
      </w:r>
      <w:r w:rsidR="00205164">
        <w:t xml:space="preserve"> </w:t>
      </w:r>
      <w:r w:rsidR="00FC2EF8">
        <w:t>E</w:t>
      </w:r>
      <w:r w:rsidR="00FC2EF8" w:rsidRPr="00FC2EF8">
        <w:t>l 25 de octubre de 202</w:t>
      </w:r>
      <w:r w:rsidR="001235D5">
        <w:t>3</w:t>
      </w:r>
      <w:r w:rsidR="00FC2EF8" w:rsidRPr="00FC2EF8">
        <w:t xml:space="preserve">, se llevó a cabo la continuación de la audiencia inicial. Durante esta diligencia, el juez de control advirtió deficiencias en la actuación de la defensa particular y, con fundamento en el artículo 121 del Código Nacional de Procedimientos Penales, previno al imputado para que manifestara si deseaba mantener a sus defensores o revocarlos y solicitar la asignación de un defensor público federal. En ejercicio de su derecho, el señor </w:t>
      </w:r>
      <w:r w:rsidR="003E4905">
        <w:rPr>
          <w:color w:val="C00000"/>
        </w:rPr>
        <w:t>persona 2</w:t>
      </w:r>
      <w:r w:rsidR="00FC2EF8" w:rsidRPr="00FC2EF8">
        <w:rPr>
          <w:color w:val="C00000"/>
        </w:rPr>
        <w:t xml:space="preserve"> </w:t>
      </w:r>
      <w:r w:rsidR="00FC2EF8" w:rsidRPr="00FC2EF8">
        <w:t>decidió revocar a sus defensores particulares, por lo que el juez decretó la suspensión de la audiencia y señaló nueva fecha para su reanudación</w:t>
      </w:r>
      <w:r w:rsidR="00FC2EF8">
        <w:t>.</w:t>
      </w:r>
    </w:p>
    <w:p w14:paraId="5B9F0BD5" w14:textId="4BA04F98" w:rsidR="005B63A8" w:rsidRPr="00633699" w:rsidRDefault="00D86B25" w:rsidP="008B01D8">
      <w:pPr>
        <w:pStyle w:val="Ttulo3"/>
        <w:numPr>
          <w:ilvl w:val="0"/>
          <w:numId w:val="19"/>
        </w:numPr>
        <w:rPr>
          <w:lang w:val="es-ES"/>
        </w:rPr>
      </w:pPr>
      <w:r>
        <w:t>TRÁMITE DEL JUICIO DE AMPARO</w:t>
      </w:r>
    </w:p>
    <w:p w14:paraId="25D985DE" w14:textId="62416BBB" w:rsidR="0003102F" w:rsidRPr="008201D1" w:rsidRDefault="003C4D69" w:rsidP="0003102F">
      <w:pPr>
        <w:pStyle w:val="Prrafo"/>
        <w:numPr>
          <w:ilvl w:val="0"/>
          <w:numId w:val="2"/>
        </w:numPr>
        <w:ind w:left="0" w:hanging="567"/>
      </w:pPr>
      <w:r w:rsidRPr="008201D1">
        <w:rPr>
          <w:b/>
          <w:lang w:val="es-ES"/>
        </w:rPr>
        <w:t>Juicio de amparo indirecto.</w:t>
      </w:r>
      <w:r w:rsidRPr="008201D1">
        <w:rPr>
          <w:lang w:val="es-ES"/>
        </w:rPr>
        <w:t xml:space="preserve"> </w:t>
      </w:r>
      <w:r w:rsidR="0003102F" w:rsidRPr="008201D1">
        <w:t xml:space="preserve">Mediante escrito presentado el </w:t>
      </w:r>
      <w:r w:rsidR="001921B5">
        <w:t>24</w:t>
      </w:r>
      <w:r w:rsidR="0003102F" w:rsidRPr="008201D1">
        <w:t xml:space="preserve"> de </w:t>
      </w:r>
      <w:r w:rsidR="001921B5">
        <w:t>noviembre</w:t>
      </w:r>
      <w:r w:rsidR="0003102F" w:rsidRPr="008201D1">
        <w:t xml:space="preserve"> de 202</w:t>
      </w:r>
      <w:r w:rsidR="001921B5">
        <w:t>3</w:t>
      </w:r>
      <w:r w:rsidR="0003102F" w:rsidRPr="008201D1">
        <w:t xml:space="preserve">, </w:t>
      </w:r>
      <w:r w:rsidR="001921B5">
        <w:t xml:space="preserve">el señor </w:t>
      </w:r>
      <w:r w:rsidR="00961DAD">
        <w:rPr>
          <w:color w:val="C00000"/>
        </w:rPr>
        <w:t>persona 1</w:t>
      </w:r>
      <w:r w:rsidR="0003102F" w:rsidRPr="001921B5">
        <w:rPr>
          <w:color w:val="C00000"/>
        </w:rPr>
        <w:t xml:space="preserve"> </w:t>
      </w:r>
      <w:r w:rsidR="0003102F" w:rsidRPr="008201D1">
        <w:t xml:space="preserve">promovió un juicio de amparo indirecto </w:t>
      </w:r>
      <w:r w:rsidR="00A551D7" w:rsidRPr="00A551D7">
        <w:t>en el que reclamó la inconstitucionalidad del artículo 121 del Código Nacional de Procedimientos Penales. De igual forma, señaló como acto reclamado la aplicación de dicha disposición durante la continuación de la audiencia inicial celebrada el 25 de octubre de 2023, en la cual se revocó la defensa particular del imputado.</w:t>
      </w:r>
    </w:p>
    <w:p w14:paraId="3B6BF4C1" w14:textId="773A6B9C" w:rsidR="00FD5783" w:rsidRPr="00FD5783" w:rsidRDefault="00FD5783" w:rsidP="00FD5783">
      <w:pPr>
        <w:pStyle w:val="Prrafo"/>
        <w:numPr>
          <w:ilvl w:val="0"/>
          <w:numId w:val="2"/>
        </w:numPr>
        <w:ind w:left="0" w:hanging="567"/>
      </w:pPr>
      <w:r w:rsidRPr="00FD5783">
        <w:t xml:space="preserve">Por razón de turno, el conocimiento del asunto correspondió al Juzgado Tercero de Distrito de Amparo en Materia Penal en el Estado de Jalisco, cuyo titular, mediante auto de 28 de noviembre de 2023, lo registró bajo el número </w:t>
      </w:r>
      <w:r w:rsidR="00AA30BB" w:rsidRPr="00AA30BB">
        <w:rPr>
          <w:color w:val="EE0000"/>
        </w:rPr>
        <w:t>expediente 1</w:t>
      </w:r>
      <w:r w:rsidRPr="00FD5783">
        <w:rPr>
          <w:color w:val="C00000"/>
        </w:rPr>
        <w:t xml:space="preserve"> </w:t>
      </w:r>
      <w:r w:rsidRPr="00FD5783">
        <w:t xml:space="preserve">y, en ese mismo acuerdo, </w:t>
      </w:r>
      <w:r w:rsidR="00FE3314">
        <w:t>desechó de plano la demanda</w:t>
      </w:r>
      <w:r w:rsidRPr="00FD5783">
        <w:t xml:space="preserve">, al </w:t>
      </w:r>
      <w:r w:rsidRPr="00FD5783">
        <w:lastRenderedPageBreak/>
        <w:t>considerar que la parte quejosa carecía de interés jurídico para promover el amparo.</w:t>
      </w:r>
    </w:p>
    <w:p w14:paraId="17356E0D" w14:textId="1F61AEB6" w:rsidR="007236E8" w:rsidRPr="00FD5783" w:rsidRDefault="00E7263A" w:rsidP="00343F64">
      <w:pPr>
        <w:pStyle w:val="Prrafo"/>
        <w:numPr>
          <w:ilvl w:val="0"/>
          <w:numId w:val="2"/>
        </w:numPr>
        <w:ind w:left="0" w:hanging="567"/>
        <w:rPr>
          <w:bCs/>
        </w:rPr>
      </w:pPr>
      <w:r w:rsidRPr="00FD5783">
        <w:rPr>
          <w:b/>
        </w:rPr>
        <w:t>Recurso de queja.</w:t>
      </w:r>
      <w:r w:rsidRPr="00FD5783">
        <w:rPr>
          <w:bCs/>
        </w:rPr>
        <w:t xml:space="preserve"> </w:t>
      </w:r>
      <w:r w:rsidR="007236E8" w:rsidRPr="00FD5783">
        <w:rPr>
          <w:bCs/>
        </w:rPr>
        <w:t xml:space="preserve">Inconforme con dicha determinación, </w:t>
      </w:r>
      <w:r w:rsidR="0029434F" w:rsidRPr="00FD5783">
        <w:rPr>
          <w:bCs/>
        </w:rPr>
        <w:t xml:space="preserve">el señor </w:t>
      </w:r>
      <w:r w:rsidR="00FC2AFF">
        <w:rPr>
          <w:bCs/>
          <w:color w:val="C00000"/>
        </w:rPr>
        <w:t>persona 1</w:t>
      </w:r>
      <w:r w:rsidR="007236E8" w:rsidRPr="00FD5783">
        <w:rPr>
          <w:bCs/>
        </w:rPr>
        <w:t xml:space="preserve"> interpuso recurso de queja, el cual fue turnado al </w:t>
      </w:r>
      <w:r w:rsidR="003A534D" w:rsidRPr="00FD5783">
        <w:rPr>
          <w:bCs/>
        </w:rPr>
        <w:t>Cuarto</w:t>
      </w:r>
      <w:r w:rsidR="007236E8" w:rsidRPr="00FD5783">
        <w:rPr>
          <w:bCs/>
        </w:rPr>
        <w:t xml:space="preserve"> Tribunal Colegiado </w:t>
      </w:r>
      <w:r w:rsidR="003A534D" w:rsidRPr="00FD5783">
        <w:rPr>
          <w:bCs/>
        </w:rPr>
        <w:t>en Materia Penal del Tercer C</w:t>
      </w:r>
      <w:r w:rsidR="0080614E" w:rsidRPr="00FD5783">
        <w:rPr>
          <w:bCs/>
        </w:rPr>
        <w:t>ircuito</w:t>
      </w:r>
      <w:r w:rsidR="007236E8" w:rsidRPr="00FD5783">
        <w:rPr>
          <w:bCs/>
        </w:rPr>
        <w:t xml:space="preserve">, y registrado bajo el número </w:t>
      </w:r>
      <w:r w:rsidR="00EB0548">
        <w:rPr>
          <w:bCs/>
          <w:color w:val="C00000"/>
        </w:rPr>
        <w:t>expediente 3</w:t>
      </w:r>
      <w:r w:rsidR="007236E8" w:rsidRPr="00FD5783">
        <w:rPr>
          <w:bCs/>
        </w:rPr>
        <w:t>.</w:t>
      </w:r>
    </w:p>
    <w:p w14:paraId="0FE24F6C" w14:textId="46D58B0D" w:rsidR="007C0059" w:rsidRPr="00CE60AF" w:rsidRDefault="00CE60AF" w:rsidP="00CE60AF">
      <w:pPr>
        <w:pStyle w:val="Prrafo"/>
        <w:numPr>
          <w:ilvl w:val="0"/>
          <w:numId w:val="2"/>
        </w:numPr>
        <w:ind w:left="0" w:hanging="567"/>
        <w:rPr>
          <w:bCs/>
        </w:rPr>
      </w:pPr>
      <w:r w:rsidRPr="00CE60AF">
        <w:rPr>
          <w:bCs/>
        </w:rPr>
        <w:t>El 22 de febrero de 2024, el tribunal colegiado que conoció del asunto declaró fundado el recurso, al estimar que el acto de aplicación sí afectó la esfera jurídica del quejoso, pues su remoción como defensor particular derivó directamente de la prevención emitida por el tribunal de enjuiciamiento.</w:t>
      </w:r>
    </w:p>
    <w:p w14:paraId="3CCA84E1" w14:textId="6491FAD9" w:rsidR="00303083" w:rsidRPr="00303083" w:rsidRDefault="00303083" w:rsidP="00303083">
      <w:pPr>
        <w:pStyle w:val="Prrafo"/>
        <w:numPr>
          <w:ilvl w:val="0"/>
          <w:numId w:val="2"/>
        </w:numPr>
        <w:ind w:left="0" w:hanging="567"/>
      </w:pPr>
      <w:r w:rsidRPr="00303083">
        <w:t>En cumplimiento de la ejecutoria, el 4 de marzo de 2024 el juez de distrito admitió a trámite la demanda de amparo, señaló fecha y hora para la audiencia constitucional, requirió a las autoridades responsables la rendición de su informe justificado y dio intervención al agente del</w:t>
      </w:r>
      <w:r w:rsidR="00361CD5">
        <w:t xml:space="preserve"> m</w:t>
      </w:r>
      <w:r w:rsidRPr="00303083">
        <w:t xml:space="preserve">inisterio </w:t>
      </w:r>
      <w:r w:rsidR="00361CD5">
        <w:t>p</w:t>
      </w:r>
      <w:r w:rsidRPr="00303083">
        <w:t xml:space="preserve">úblico </w:t>
      </w:r>
      <w:r w:rsidR="00AC431F">
        <w:t>de su adscripción</w:t>
      </w:r>
      <w:r w:rsidRPr="00303083">
        <w:t>.</w:t>
      </w:r>
    </w:p>
    <w:p w14:paraId="0ACD52AB" w14:textId="50793FD5" w:rsidR="0027518D" w:rsidRPr="00805959" w:rsidRDefault="001F41BF" w:rsidP="00805959">
      <w:pPr>
        <w:pStyle w:val="Prrafo"/>
        <w:numPr>
          <w:ilvl w:val="0"/>
          <w:numId w:val="2"/>
        </w:numPr>
        <w:ind w:left="0" w:hanging="567"/>
      </w:pPr>
      <w:r w:rsidRPr="00303083">
        <w:rPr>
          <w:b/>
          <w:bCs/>
          <w:lang w:val="es-ES"/>
        </w:rPr>
        <w:t>Resolución</w:t>
      </w:r>
      <w:r w:rsidR="00094D56" w:rsidRPr="00303083">
        <w:rPr>
          <w:b/>
          <w:bCs/>
          <w:lang w:val="es-ES"/>
        </w:rPr>
        <w:t xml:space="preserve"> d</w:t>
      </w:r>
      <w:r w:rsidR="0051196F" w:rsidRPr="00303083">
        <w:rPr>
          <w:b/>
          <w:bCs/>
          <w:lang w:val="es-ES"/>
        </w:rPr>
        <w:t>el juez de distrito</w:t>
      </w:r>
      <w:r w:rsidR="00094D56" w:rsidRPr="00303083">
        <w:rPr>
          <w:b/>
          <w:bCs/>
          <w:lang w:val="es-ES"/>
        </w:rPr>
        <w:t>.</w:t>
      </w:r>
      <w:r w:rsidR="00094D56" w:rsidRPr="00303083">
        <w:rPr>
          <w:lang w:val="es-ES"/>
        </w:rPr>
        <w:t xml:space="preserve"> </w:t>
      </w:r>
      <w:r w:rsidR="00805959" w:rsidRPr="00805959">
        <w:t xml:space="preserve">El 22 de abril de 2024, el juez de distrito dictó sentencia y decretó el sobreseimiento </w:t>
      </w:r>
      <w:r w:rsidR="0027604F">
        <w:t xml:space="preserve">en el </w:t>
      </w:r>
      <w:r w:rsidR="00805959" w:rsidRPr="00805959">
        <w:t>juicio de amparo</w:t>
      </w:r>
      <w:r w:rsidR="00FE48EB">
        <w:t xml:space="preserve"> indirecto</w:t>
      </w:r>
      <w:r w:rsidR="00805959" w:rsidRPr="00805959">
        <w:t>, al estimar que la parte quejosa carecía de interés jurídico para promoverlo.</w:t>
      </w:r>
    </w:p>
    <w:p w14:paraId="4982F31D" w14:textId="78B4B646" w:rsidR="00C17F10" w:rsidRPr="00E85786" w:rsidRDefault="0027518D" w:rsidP="005E439E">
      <w:pPr>
        <w:pStyle w:val="Prrafo"/>
        <w:numPr>
          <w:ilvl w:val="0"/>
          <w:numId w:val="2"/>
        </w:numPr>
        <w:spacing w:before="360"/>
        <w:ind w:left="0" w:hanging="567"/>
      </w:pPr>
      <w:r w:rsidRPr="00E85786">
        <w:rPr>
          <w:b/>
          <w:lang w:val="es-ES"/>
        </w:rPr>
        <w:t>Recurso de revisión.</w:t>
      </w:r>
      <w:r w:rsidRPr="00E85786">
        <w:rPr>
          <w:lang w:val="es-ES"/>
        </w:rPr>
        <w:t xml:space="preserve"> </w:t>
      </w:r>
      <w:r w:rsidR="00E85786" w:rsidRPr="00E85786">
        <w:t xml:space="preserve">Inconforme con la resolución, </w:t>
      </w:r>
      <w:r w:rsidR="004D31D6">
        <w:t xml:space="preserve">el señor </w:t>
      </w:r>
      <w:r w:rsidR="004173D8">
        <w:rPr>
          <w:color w:val="C00000"/>
        </w:rPr>
        <w:t>persona 1</w:t>
      </w:r>
      <w:r w:rsidR="00E85786" w:rsidRPr="004D31D6">
        <w:rPr>
          <w:color w:val="C00000"/>
        </w:rPr>
        <w:t xml:space="preserve"> </w:t>
      </w:r>
      <w:r w:rsidR="00E85786" w:rsidRPr="00E85786">
        <w:t xml:space="preserve">interpuso recurso de revisión. Por razón de turno, el conocimiento del recurso correspondió al </w:t>
      </w:r>
      <w:r w:rsidR="000366EE">
        <w:t>Cuarto Tribunal Colegiado en Materia Penal del Tercer Circuito</w:t>
      </w:r>
      <w:r w:rsidR="00E85786" w:rsidRPr="00E85786">
        <w:t xml:space="preserve">, el cual, mediante auto de presidencia de </w:t>
      </w:r>
      <w:r w:rsidR="0048037A">
        <w:t>20</w:t>
      </w:r>
      <w:r w:rsidR="00E85786" w:rsidRPr="00E85786">
        <w:t xml:space="preserve"> de </w:t>
      </w:r>
      <w:r w:rsidR="00303083">
        <w:t>mayo</w:t>
      </w:r>
      <w:r w:rsidR="00E85786" w:rsidRPr="00E85786">
        <w:t xml:space="preserve"> de </w:t>
      </w:r>
      <w:r w:rsidR="00303083">
        <w:t>2024</w:t>
      </w:r>
      <w:r w:rsidR="00E85786" w:rsidRPr="00E85786">
        <w:t xml:space="preserve">, lo admitió y lo registró bajo el número </w:t>
      </w:r>
      <w:r w:rsidR="00CF3EE2">
        <w:rPr>
          <w:color w:val="C00000"/>
        </w:rPr>
        <w:t>expediente 4</w:t>
      </w:r>
      <w:r w:rsidR="00E85786" w:rsidRPr="00E85786">
        <w:t>.</w:t>
      </w:r>
    </w:p>
    <w:p w14:paraId="30BBE103" w14:textId="6CE69DBD" w:rsidR="00C17F10" w:rsidRDefault="00364DE3" w:rsidP="0027518D">
      <w:pPr>
        <w:pStyle w:val="Prrafo"/>
        <w:numPr>
          <w:ilvl w:val="0"/>
          <w:numId w:val="2"/>
        </w:numPr>
        <w:ind w:left="0" w:hanging="567"/>
        <w:rPr>
          <w:lang w:val="es-ES"/>
        </w:rPr>
      </w:pPr>
      <w:r>
        <w:rPr>
          <w:lang w:val="es-ES"/>
        </w:rPr>
        <w:t xml:space="preserve">El </w:t>
      </w:r>
      <w:r w:rsidR="00A16EC4">
        <w:rPr>
          <w:lang w:val="es-ES"/>
        </w:rPr>
        <w:t>17</w:t>
      </w:r>
      <w:r>
        <w:rPr>
          <w:lang w:val="es-ES"/>
        </w:rPr>
        <w:t xml:space="preserve"> de </w:t>
      </w:r>
      <w:r w:rsidR="00A16EC4">
        <w:rPr>
          <w:lang w:val="es-ES"/>
        </w:rPr>
        <w:t>julio</w:t>
      </w:r>
      <w:r w:rsidR="00EC4B34">
        <w:rPr>
          <w:lang w:val="es-ES"/>
        </w:rPr>
        <w:t xml:space="preserve"> de 2025, el tribunal colegiado del conocimiento dictó sentencia que concluyó con los siguientes puntos resolutivos:</w:t>
      </w:r>
    </w:p>
    <w:p w14:paraId="2D15DDFD" w14:textId="6C7D346B" w:rsidR="003D31BF" w:rsidRPr="006B1E09" w:rsidRDefault="003D31BF" w:rsidP="003D31BF">
      <w:pPr>
        <w:pStyle w:val="Cita"/>
        <w:rPr>
          <w:bCs/>
          <w:lang w:val="es-ES"/>
        </w:rPr>
      </w:pPr>
      <w:r w:rsidRPr="006B1E09">
        <w:rPr>
          <w:b/>
          <w:lang w:val="es-ES"/>
        </w:rPr>
        <w:t>PRIMERO</w:t>
      </w:r>
      <w:r w:rsidR="00DF34EC" w:rsidRPr="006B1E09">
        <w:rPr>
          <w:b/>
          <w:lang w:val="es-ES"/>
        </w:rPr>
        <w:t>.</w:t>
      </w:r>
      <w:r w:rsidR="00DF34EC" w:rsidRPr="006B1E09">
        <w:rPr>
          <w:bCs/>
          <w:lang w:val="es-ES"/>
        </w:rPr>
        <w:t xml:space="preserve"> Se </w:t>
      </w:r>
      <w:r w:rsidR="00805959">
        <w:rPr>
          <w:bCs/>
          <w:lang w:val="es-ES"/>
        </w:rPr>
        <w:t>levanta el sobreseimiento decretado por el Juez Tercero de Distrito de Amparo</w:t>
      </w:r>
      <w:r w:rsidR="00D803A8">
        <w:rPr>
          <w:bCs/>
          <w:lang w:val="es-ES"/>
        </w:rPr>
        <w:t xml:space="preserve"> en Materia Penal en el Es</w:t>
      </w:r>
      <w:r w:rsidR="00D33226">
        <w:rPr>
          <w:bCs/>
          <w:lang w:val="es-ES"/>
        </w:rPr>
        <w:t>tado de Jalisco en el juicio de amparo</w:t>
      </w:r>
      <w:r w:rsidR="00891529">
        <w:rPr>
          <w:bCs/>
          <w:lang w:val="es-ES"/>
        </w:rPr>
        <w:t xml:space="preserve"> </w:t>
      </w:r>
      <w:r w:rsidR="00AA30BB" w:rsidRPr="00AA30BB">
        <w:rPr>
          <w:bCs/>
          <w:color w:val="EE0000"/>
          <w:lang w:val="es-ES"/>
        </w:rPr>
        <w:t>expediente 1</w:t>
      </w:r>
      <w:r w:rsidR="00DF34EC" w:rsidRPr="006B1E09">
        <w:rPr>
          <w:bCs/>
          <w:lang w:val="es-ES"/>
        </w:rPr>
        <w:t>.</w:t>
      </w:r>
    </w:p>
    <w:p w14:paraId="3F5847DC" w14:textId="40E7254F" w:rsidR="00C17F10" w:rsidRDefault="003D31BF" w:rsidP="006B1E09">
      <w:pPr>
        <w:pStyle w:val="Cita"/>
        <w:rPr>
          <w:bCs/>
          <w:lang w:val="es-ES"/>
        </w:rPr>
      </w:pPr>
      <w:r w:rsidRPr="006B1E09">
        <w:rPr>
          <w:b/>
          <w:lang w:val="es-ES"/>
        </w:rPr>
        <w:t>SEGUNDO.</w:t>
      </w:r>
      <w:r w:rsidRPr="006B1E09">
        <w:rPr>
          <w:bCs/>
          <w:lang w:val="es-ES"/>
        </w:rPr>
        <w:t xml:space="preserve"> </w:t>
      </w:r>
      <w:r w:rsidR="00891529">
        <w:rPr>
          <w:bCs/>
          <w:lang w:val="es-ES"/>
        </w:rPr>
        <w:t>Este</w:t>
      </w:r>
      <w:r w:rsidR="00C82EA2">
        <w:rPr>
          <w:bCs/>
          <w:lang w:val="es-ES"/>
        </w:rPr>
        <w:t xml:space="preserve"> Cuarto Tribunal Colegiado en Materia Penal del Te</w:t>
      </w:r>
      <w:r w:rsidR="00D52A76">
        <w:rPr>
          <w:bCs/>
          <w:lang w:val="es-ES"/>
        </w:rPr>
        <w:t>rcer Circuito, con residencia en Zapopan, reserva jurisdicción a la Suprema Corte de Justicia de la Nación</w:t>
      </w:r>
      <w:r w:rsidR="00DD5F54">
        <w:rPr>
          <w:bCs/>
          <w:lang w:val="es-ES"/>
        </w:rPr>
        <w:t xml:space="preserve">, para que asuma su </w:t>
      </w:r>
      <w:r w:rsidR="00DD5F54">
        <w:rPr>
          <w:bCs/>
          <w:lang w:val="es-ES"/>
        </w:rPr>
        <w:lastRenderedPageBreak/>
        <w:t xml:space="preserve">competencia originaria para conocer de este amparo en revisión </w:t>
      </w:r>
      <w:r w:rsidR="00CF3EE2">
        <w:rPr>
          <w:bCs/>
          <w:color w:val="C00000"/>
          <w:lang w:val="es-ES"/>
        </w:rPr>
        <w:t>expediente 4</w:t>
      </w:r>
      <w:r w:rsidR="00DD5F54">
        <w:rPr>
          <w:bCs/>
          <w:lang w:val="es-ES"/>
        </w:rPr>
        <w:t>.</w:t>
      </w:r>
    </w:p>
    <w:p w14:paraId="62BDB724" w14:textId="2594D6EA" w:rsidR="00DD5F54" w:rsidRPr="00DD5F54" w:rsidRDefault="00DD5F54" w:rsidP="00DD5F54">
      <w:pPr>
        <w:pStyle w:val="Cita"/>
        <w:rPr>
          <w:bCs/>
          <w:lang w:val="es-ES"/>
        </w:rPr>
      </w:pPr>
      <w:r>
        <w:rPr>
          <w:b/>
          <w:lang w:val="es-ES"/>
        </w:rPr>
        <w:t>TERCERO</w:t>
      </w:r>
      <w:r w:rsidRPr="006B1E09">
        <w:rPr>
          <w:b/>
          <w:lang w:val="es-ES"/>
        </w:rPr>
        <w:t>.</w:t>
      </w:r>
      <w:r w:rsidRPr="006B1E09">
        <w:rPr>
          <w:bCs/>
          <w:lang w:val="es-ES"/>
        </w:rPr>
        <w:t xml:space="preserve"> </w:t>
      </w:r>
      <w:r w:rsidR="00BA13A1">
        <w:rPr>
          <w:bCs/>
          <w:lang w:val="es-ES"/>
        </w:rPr>
        <w:t>Se ordena la remisión de los autos originales</w:t>
      </w:r>
      <w:r w:rsidR="00C0290E">
        <w:rPr>
          <w:bCs/>
          <w:lang w:val="es-ES"/>
        </w:rPr>
        <w:t xml:space="preserve"> del juicio de amparo </w:t>
      </w:r>
      <w:r w:rsidR="000528AC">
        <w:rPr>
          <w:bCs/>
          <w:lang w:val="es-ES"/>
        </w:rPr>
        <w:t>indirecto</w:t>
      </w:r>
      <w:r w:rsidR="00C0290E">
        <w:rPr>
          <w:bCs/>
          <w:lang w:val="es-ES"/>
        </w:rPr>
        <w:t xml:space="preserve"> </w:t>
      </w:r>
      <w:r w:rsidR="00AA30BB" w:rsidRPr="00AA30BB">
        <w:rPr>
          <w:bCs/>
          <w:color w:val="EE0000"/>
          <w:lang w:val="es-ES"/>
        </w:rPr>
        <w:t>expediente 1</w:t>
      </w:r>
      <w:r w:rsidR="00725E5A" w:rsidRPr="000528AC">
        <w:rPr>
          <w:bCs/>
          <w:color w:val="C00000"/>
          <w:lang w:val="es-ES"/>
        </w:rPr>
        <w:t xml:space="preserve"> </w:t>
      </w:r>
      <w:r w:rsidR="00725E5A">
        <w:rPr>
          <w:bCs/>
          <w:lang w:val="es-ES"/>
        </w:rPr>
        <w:t>y del toca en revisión</w:t>
      </w:r>
      <w:r w:rsidR="000528AC">
        <w:rPr>
          <w:bCs/>
          <w:lang w:val="es-ES"/>
        </w:rPr>
        <w:t xml:space="preserve"> </w:t>
      </w:r>
      <w:r w:rsidR="00206D79">
        <w:rPr>
          <w:bCs/>
          <w:color w:val="C00000"/>
          <w:lang w:val="es-ES"/>
        </w:rPr>
        <w:t>expediente 4</w:t>
      </w:r>
      <w:r w:rsidR="000528AC">
        <w:rPr>
          <w:bCs/>
          <w:lang w:val="es-ES"/>
        </w:rPr>
        <w:t>, a la Suprema Corte de Justicia de la Nación.</w:t>
      </w:r>
    </w:p>
    <w:p w14:paraId="01E92C5D" w14:textId="6C1F74BE" w:rsidR="0027518D" w:rsidRPr="00633699" w:rsidRDefault="0027518D" w:rsidP="009F03A6">
      <w:pPr>
        <w:pStyle w:val="Prrafo"/>
        <w:numPr>
          <w:ilvl w:val="0"/>
          <w:numId w:val="2"/>
        </w:numPr>
        <w:spacing w:before="360"/>
        <w:ind w:left="0" w:hanging="567"/>
        <w:rPr>
          <w:lang w:val="es-ES"/>
        </w:rPr>
      </w:pPr>
      <w:r w:rsidRPr="00633699">
        <w:rPr>
          <w:lang w:val="es-ES"/>
        </w:rPr>
        <w:t xml:space="preserve"> Las constancias se recibieron </w:t>
      </w:r>
      <w:r w:rsidR="00CF413C">
        <w:rPr>
          <w:lang w:val="es-ES"/>
        </w:rPr>
        <w:t>en la Oficina de Certificación Judicial y Correspondencia</w:t>
      </w:r>
      <w:r w:rsidR="000A0944">
        <w:rPr>
          <w:lang w:val="es-ES"/>
        </w:rPr>
        <w:t xml:space="preserve"> de la Suprema Corte de Justicia de la Nación</w:t>
      </w:r>
      <w:r w:rsidR="00D234A0">
        <w:rPr>
          <w:lang w:val="es-ES"/>
        </w:rPr>
        <w:t xml:space="preserve"> </w:t>
      </w:r>
      <w:r w:rsidRPr="00633699">
        <w:rPr>
          <w:lang w:val="es-ES"/>
        </w:rPr>
        <w:t xml:space="preserve">el </w:t>
      </w:r>
      <w:r w:rsidR="00E42949">
        <w:rPr>
          <w:lang w:val="es-ES"/>
        </w:rPr>
        <w:t>19</w:t>
      </w:r>
      <w:r w:rsidRPr="00633699">
        <w:rPr>
          <w:lang w:val="es-ES"/>
        </w:rPr>
        <w:t xml:space="preserve"> de </w:t>
      </w:r>
      <w:r w:rsidR="00E42949">
        <w:rPr>
          <w:lang w:val="es-ES"/>
        </w:rPr>
        <w:t>agosto</w:t>
      </w:r>
      <w:r w:rsidRPr="00633699">
        <w:rPr>
          <w:lang w:val="es-ES"/>
        </w:rPr>
        <w:t xml:space="preserve"> de </w:t>
      </w:r>
      <w:r w:rsidR="00984DA3">
        <w:rPr>
          <w:lang w:val="es-ES"/>
        </w:rPr>
        <w:t>2025</w:t>
      </w:r>
      <w:r w:rsidRPr="00633699">
        <w:rPr>
          <w:lang w:val="es-ES"/>
        </w:rPr>
        <w:t xml:space="preserve"> y</w:t>
      </w:r>
      <w:r w:rsidR="00FE48EB">
        <w:rPr>
          <w:lang w:val="es-ES"/>
        </w:rPr>
        <w:t>,</w:t>
      </w:r>
      <w:r w:rsidRPr="00633699">
        <w:rPr>
          <w:lang w:val="es-ES"/>
        </w:rPr>
        <w:t xml:space="preserve"> el </w:t>
      </w:r>
      <w:r w:rsidR="00AF0BB4">
        <w:rPr>
          <w:lang w:val="es-ES"/>
        </w:rPr>
        <w:t>4</w:t>
      </w:r>
      <w:r w:rsidRPr="00633699">
        <w:rPr>
          <w:lang w:val="es-ES"/>
        </w:rPr>
        <w:t xml:space="preserve"> de </w:t>
      </w:r>
      <w:r w:rsidR="00AF0BB4">
        <w:rPr>
          <w:lang w:val="es-ES"/>
        </w:rPr>
        <w:t>septiembre</w:t>
      </w:r>
      <w:r w:rsidRPr="00633699">
        <w:rPr>
          <w:lang w:val="es-ES"/>
        </w:rPr>
        <w:t xml:space="preserve"> del mismo año, </w:t>
      </w:r>
      <w:r w:rsidR="00AF0BB4">
        <w:rPr>
          <w:lang w:val="es-ES"/>
        </w:rPr>
        <w:t xml:space="preserve">el </w:t>
      </w:r>
      <w:r w:rsidR="00445EE7">
        <w:rPr>
          <w:lang w:val="es-ES"/>
        </w:rPr>
        <w:t>P</w:t>
      </w:r>
      <w:r w:rsidR="00AF0BB4">
        <w:rPr>
          <w:lang w:val="es-ES"/>
        </w:rPr>
        <w:t xml:space="preserve">residente </w:t>
      </w:r>
      <w:r w:rsidRPr="00633699">
        <w:rPr>
          <w:lang w:val="es-ES"/>
        </w:rPr>
        <w:t xml:space="preserve">de </w:t>
      </w:r>
      <w:r w:rsidR="00FE48EB">
        <w:rPr>
          <w:lang w:val="es-ES"/>
        </w:rPr>
        <w:t>este Alto Tribunal</w:t>
      </w:r>
      <w:r w:rsidRPr="00633699">
        <w:rPr>
          <w:lang w:val="es-ES"/>
        </w:rPr>
        <w:t xml:space="preserve"> admitió el recurso de revisión, lo registró con el número </w:t>
      </w:r>
      <w:r w:rsidR="00E01B0E">
        <w:rPr>
          <w:lang w:val="es-ES"/>
        </w:rPr>
        <w:t>370</w:t>
      </w:r>
      <w:r w:rsidRPr="00633699">
        <w:rPr>
          <w:lang w:val="es-ES"/>
        </w:rPr>
        <w:t>/202</w:t>
      </w:r>
      <w:r w:rsidR="00F50EB2">
        <w:rPr>
          <w:lang w:val="es-ES"/>
        </w:rPr>
        <w:t>5</w:t>
      </w:r>
      <w:r w:rsidRPr="00633699">
        <w:rPr>
          <w:lang w:val="es-ES"/>
        </w:rPr>
        <w:t xml:space="preserve"> y turnó el expediente a la ponencia del </w:t>
      </w:r>
      <w:r w:rsidR="00445EE7">
        <w:rPr>
          <w:lang w:val="es-ES"/>
        </w:rPr>
        <w:t>M</w:t>
      </w:r>
      <w:r w:rsidRPr="00633699">
        <w:rPr>
          <w:lang w:val="es-ES"/>
        </w:rPr>
        <w:t xml:space="preserve">inistro </w:t>
      </w:r>
      <w:r w:rsidR="00E01B0E">
        <w:rPr>
          <w:lang w:val="es-ES"/>
        </w:rPr>
        <w:t>Irving Espinosa Betanzo</w:t>
      </w:r>
      <w:r w:rsidR="00AE479E">
        <w:rPr>
          <w:lang w:val="es-ES"/>
        </w:rPr>
        <w:t>, para la elaboración del proyecto de sentencia</w:t>
      </w:r>
      <w:r w:rsidR="00546417">
        <w:rPr>
          <w:rStyle w:val="Refdenotaalpie"/>
          <w:lang w:val="es-ES"/>
        </w:rPr>
        <w:footnoteReference w:id="3"/>
      </w:r>
      <w:r w:rsidRPr="00633699">
        <w:rPr>
          <w:lang w:val="es-ES"/>
        </w:rPr>
        <w:t>.</w:t>
      </w:r>
    </w:p>
    <w:p w14:paraId="5F0D3B77" w14:textId="6BD7E898" w:rsidR="0027518D" w:rsidRPr="00633699" w:rsidRDefault="0027518D" w:rsidP="00651024">
      <w:pPr>
        <w:pStyle w:val="Ttulo3"/>
        <w:numPr>
          <w:ilvl w:val="0"/>
          <w:numId w:val="19"/>
        </w:numPr>
        <w:rPr>
          <w:lang w:val="es-ES"/>
        </w:rPr>
      </w:pPr>
      <w:r w:rsidRPr="00633699">
        <w:rPr>
          <w:lang w:val="es-ES"/>
        </w:rPr>
        <w:t>COMPETENCIA</w:t>
      </w:r>
    </w:p>
    <w:p w14:paraId="5AB4B8B8" w14:textId="1BA991DD" w:rsidR="001A72AC" w:rsidRPr="003F73D9" w:rsidRDefault="003F73D9" w:rsidP="003F73D9">
      <w:pPr>
        <w:pStyle w:val="Prrafo"/>
        <w:numPr>
          <w:ilvl w:val="0"/>
          <w:numId w:val="2"/>
        </w:numPr>
        <w:ind w:left="0" w:hanging="567"/>
      </w:pPr>
      <w:r w:rsidRPr="003F73D9">
        <w:t xml:space="preserve">El Tribunal Pleno de la Suprema Corte de Justicia de la Nación es competente para conocer del presente amparo en revisión, con fundamento en los artículos 107, fracción VIII, inciso a), de la Constitución Política de los Estados Unidos Mexicanos; 81, fracción I, inciso e), y 83 de la Ley de Amparo; 16, fracción III, de la Ley Orgánica del Poder Judicial de la Federación; así como en el punto segundo, fracción VIII, inciso a), del Acuerdo General 2/2025 (12a.) de </w:t>
      </w:r>
      <w:r>
        <w:t>3</w:t>
      </w:r>
      <w:r w:rsidRPr="003F73D9">
        <w:t xml:space="preserve"> de septiembre de </w:t>
      </w:r>
      <w:r>
        <w:t>2025</w:t>
      </w:r>
      <w:r w:rsidRPr="003F73D9">
        <w:t>, emitido por el Pleno de la Suprema Corte de Justicia de la Nación.</w:t>
      </w:r>
    </w:p>
    <w:p w14:paraId="6F663B98" w14:textId="77777777" w:rsidR="0027518D" w:rsidRPr="0022452E" w:rsidRDefault="0027518D" w:rsidP="00651024">
      <w:pPr>
        <w:pStyle w:val="Ttulo3"/>
        <w:numPr>
          <w:ilvl w:val="0"/>
          <w:numId w:val="19"/>
        </w:numPr>
        <w:rPr>
          <w:lang w:val="es-ES"/>
        </w:rPr>
      </w:pPr>
      <w:r w:rsidRPr="0022452E">
        <w:rPr>
          <w:lang w:val="es-ES"/>
        </w:rPr>
        <w:t>OPORTUNIDAD</w:t>
      </w:r>
    </w:p>
    <w:p w14:paraId="400930A7" w14:textId="2A43C7C1" w:rsidR="0027518D" w:rsidRPr="000375EF" w:rsidRDefault="000375EF" w:rsidP="000375EF">
      <w:pPr>
        <w:pStyle w:val="Prrafo"/>
        <w:numPr>
          <w:ilvl w:val="0"/>
          <w:numId w:val="2"/>
        </w:numPr>
        <w:ind w:left="0" w:hanging="567"/>
        <w:rPr>
          <w:lang w:val="es-ES"/>
        </w:rPr>
      </w:pPr>
      <w:r w:rsidRPr="00633699">
        <w:rPr>
          <w:lang w:val="es-ES"/>
        </w:rPr>
        <w:t xml:space="preserve">El </w:t>
      </w:r>
      <w:r w:rsidRPr="00633699">
        <w:t xml:space="preserve">recurso de revisión se interpuso dentro del plazo correspondiente. La resolución </w:t>
      </w:r>
      <w:r w:rsidRPr="0022452E">
        <w:t>d</w:t>
      </w:r>
      <w:r>
        <w:t xml:space="preserve">el </w:t>
      </w:r>
      <w:r w:rsidR="008973C4">
        <w:t>amparo indirecto</w:t>
      </w:r>
      <w:r w:rsidRPr="00633699">
        <w:t xml:space="preserve">, dictada el </w:t>
      </w:r>
      <w:r w:rsidR="00BC1F45">
        <w:t>22</w:t>
      </w:r>
      <w:r w:rsidRPr="00633699">
        <w:t xml:space="preserve"> de </w:t>
      </w:r>
      <w:r w:rsidR="00BC1F45">
        <w:t>abril</w:t>
      </w:r>
      <w:r w:rsidRPr="00633699">
        <w:t xml:space="preserve"> de 2024, se notificó </w:t>
      </w:r>
      <w:r w:rsidR="00BC1F45">
        <w:t xml:space="preserve">por </w:t>
      </w:r>
      <w:r w:rsidR="00BC1F45">
        <w:lastRenderedPageBreak/>
        <w:t>lista al quejoso</w:t>
      </w:r>
      <w:r w:rsidRPr="00633699">
        <w:t xml:space="preserve"> el </w:t>
      </w:r>
      <w:r w:rsidR="00E41F8B">
        <w:t>23</w:t>
      </w:r>
      <w:r w:rsidRPr="00633699">
        <w:t xml:space="preserve"> del mismo mes. Dicha notificación surtió </w:t>
      </w:r>
      <w:r>
        <w:t xml:space="preserve">efectos el </w:t>
      </w:r>
      <w:r w:rsidR="0043230D">
        <w:t xml:space="preserve">día hábil siguiente, </w:t>
      </w:r>
      <w:r w:rsidR="00E17F46">
        <w:t>es decir el 24 de abril de 2024</w:t>
      </w:r>
      <w:r w:rsidRPr="00633699">
        <w:t xml:space="preserve">. Bajo estas consideraciones, el plazo de diez días previsto en el artículo 86 de la Ley de Amparo se computó del </w:t>
      </w:r>
      <w:r w:rsidR="00412CD7">
        <w:t>25 de abril</w:t>
      </w:r>
      <w:r w:rsidRPr="00633699">
        <w:t xml:space="preserve"> al </w:t>
      </w:r>
      <w:r w:rsidR="00412CD7">
        <w:t xml:space="preserve">9 de mayo </w:t>
      </w:r>
      <w:r w:rsidRPr="00633699">
        <w:t xml:space="preserve">de 2024, excluyendo los días inhábiles </w:t>
      </w:r>
      <w:r w:rsidR="00986E7B">
        <w:t>27 y 28 de abril de 2024</w:t>
      </w:r>
      <w:r w:rsidRPr="00633699">
        <w:t xml:space="preserve">, </w:t>
      </w:r>
      <w:r w:rsidR="00986E7B">
        <w:t>así como los días 1, 4</w:t>
      </w:r>
      <w:r w:rsidR="009C7F5E">
        <w:t xml:space="preserve"> y 5 mayo </w:t>
      </w:r>
      <w:r w:rsidRPr="00633699">
        <w:t xml:space="preserve">conforme a lo dispuesto por </w:t>
      </w:r>
      <w:r w:rsidR="009C7F5E">
        <w:t>el artículo 19</w:t>
      </w:r>
      <w:r w:rsidRPr="00633699">
        <w:t xml:space="preserve"> </w:t>
      </w:r>
      <w:r w:rsidR="00251012">
        <w:t>de la ley de la materia</w:t>
      </w:r>
      <w:r w:rsidRPr="00633699">
        <w:t xml:space="preserve"> y </w:t>
      </w:r>
      <w:r w:rsidR="00251012">
        <w:t xml:space="preserve">143 </w:t>
      </w:r>
      <w:r w:rsidRPr="00633699">
        <w:t>la Ley Orgánica del Poder Judicial de la Federación</w:t>
      </w:r>
      <w:r w:rsidR="00251012">
        <w:t xml:space="preserve"> (vigente al momento de su interposición)</w:t>
      </w:r>
      <w:r w:rsidRPr="00633699">
        <w:t>.</w:t>
      </w:r>
    </w:p>
    <w:p w14:paraId="75A9E9D4" w14:textId="5E6287ED" w:rsidR="0027518D" w:rsidRPr="00633699" w:rsidRDefault="0027518D" w:rsidP="0027518D">
      <w:pPr>
        <w:pStyle w:val="Prrafo"/>
        <w:numPr>
          <w:ilvl w:val="0"/>
          <w:numId w:val="2"/>
        </w:numPr>
        <w:ind w:left="0" w:hanging="567"/>
        <w:rPr>
          <w:lang w:val="es-ES"/>
        </w:rPr>
      </w:pPr>
      <w:r w:rsidRPr="00633699">
        <w:rPr>
          <w:lang w:val="es-ES"/>
        </w:rPr>
        <w:t xml:space="preserve">La parte recurrente presentó su escrito de revisión </w:t>
      </w:r>
      <w:r w:rsidR="00591882">
        <w:rPr>
          <w:lang w:val="es-ES"/>
        </w:rPr>
        <w:t xml:space="preserve">de forma electrónica </w:t>
      </w:r>
      <w:r w:rsidRPr="00633699">
        <w:rPr>
          <w:lang w:val="es-ES"/>
        </w:rPr>
        <w:t xml:space="preserve">el </w:t>
      </w:r>
      <w:r w:rsidR="00C912B0">
        <w:rPr>
          <w:lang w:val="es-ES"/>
        </w:rPr>
        <w:t>7</w:t>
      </w:r>
      <w:r w:rsidRPr="00633699">
        <w:rPr>
          <w:lang w:val="es-ES"/>
        </w:rPr>
        <w:t xml:space="preserve"> de </w:t>
      </w:r>
      <w:r w:rsidR="00C912B0">
        <w:rPr>
          <w:lang w:val="es-ES"/>
        </w:rPr>
        <w:t>mayo</w:t>
      </w:r>
      <w:r w:rsidRPr="00633699">
        <w:rPr>
          <w:lang w:val="es-ES"/>
        </w:rPr>
        <w:t xml:space="preserve"> de 2024, esto es, dentro del plazo que para ello contempla el artículo 86 de la Ley de Amparo, por lo que el recurso fue interpuesto oportunamente.</w:t>
      </w:r>
    </w:p>
    <w:p w14:paraId="127C5FE2" w14:textId="381F7668" w:rsidR="0027518D" w:rsidRPr="00633699" w:rsidRDefault="0027518D" w:rsidP="00617E83">
      <w:pPr>
        <w:pStyle w:val="Ttulo3"/>
        <w:numPr>
          <w:ilvl w:val="0"/>
          <w:numId w:val="19"/>
        </w:numPr>
        <w:rPr>
          <w:lang w:val="es-ES"/>
        </w:rPr>
      </w:pPr>
      <w:r w:rsidRPr="00633699">
        <w:rPr>
          <w:lang w:val="es-ES"/>
        </w:rPr>
        <w:t>LEGITIMACIÓN</w:t>
      </w:r>
    </w:p>
    <w:p w14:paraId="16C7440D" w14:textId="25576CE1" w:rsidR="00C53C1F" w:rsidRDefault="0027518D" w:rsidP="00E70F53">
      <w:pPr>
        <w:pStyle w:val="Prrafo"/>
        <w:numPr>
          <w:ilvl w:val="0"/>
          <w:numId w:val="2"/>
        </w:numPr>
        <w:ind w:left="0" w:hanging="567"/>
        <w:rPr>
          <w:lang w:val="es-ES"/>
        </w:rPr>
      </w:pPr>
      <w:r w:rsidRPr="00633699">
        <w:rPr>
          <w:lang w:val="es-ES"/>
        </w:rPr>
        <w:t>Est</w:t>
      </w:r>
      <w:r w:rsidR="008772EC">
        <w:rPr>
          <w:lang w:val="es-ES"/>
        </w:rPr>
        <w:t xml:space="preserve">e Tribunal Pleno </w:t>
      </w:r>
      <w:r w:rsidRPr="00633699">
        <w:rPr>
          <w:lang w:val="es-ES"/>
        </w:rPr>
        <w:t xml:space="preserve">considera que </w:t>
      </w:r>
      <w:r w:rsidR="00067455">
        <w:rPr>
          <w:lang w:val="es-ES"/>
        </w:rPr>
        <w:t>el</w:t>
      </w:r>
      <w:r w:rsidRPr="00633699">
        <w:rPr>
          <w:lang w:val="es-ES"/>
        </w:rPr>
        <w:t xml:space="preserve"> recurrente está legitimad</w:t>
      </w:r>
      <w:r w:rsidR="00067455">
        <w:rPr>
          <w:lang w:val="es-ES"/>
        </w:rPr>
        <w:t>o</w:t>
      </w:r>
      <w:r w:rsidRPr="00633699">
        <w:rPr>
          <w:lang w:val="es-ES"/>
        </w:rPr>
        <w:t xml:space="preserve"> para interponer el presente recurso de revisión, pues en el juicio de amparo </w:t>
      </w:r>
      <w:r w:rsidR="00A5763E">
        <w:rPr>
          <w:lang w:val="es-ES"/>
        </w:rPr>
        <w:t>in</w:t>
      </w:r>
      <w:r w:rsidRPr="00633699">
        <w:rPr>
          <w:lang w:val="es-ES"/>
        </w:rPr>
        <w:t>directo se le reconoció la calidad de quejos</w:t>
      </w:r>
      <w:r w:rsidR="00067455">
        <w:rPr>
          <w:lang w:val="es-ES"/>
        </w:rPr>
        <w:t>o</w:t>
      </w:r>
      <w:r w:rsidRPr="00633699">
        <w:rPr>
          <w:lang w:val="es-ES"/>
        </w:rPr>
        <w:t>, en términos del artículo 5, fracción I, de la Ley de Amparo.</w:t>
      </w:r>
    </w:p>
    <w:p w14:paraId="0A2BE7DF" w14:textId="3A9F400E" w:rsidR="00617E83" w:rsidRDefault="00617E83" w:rsidP="00617E83">
      <w:pPr>
        <w:pStyle w:val="corte4fondo"/>
        <w:widowControl w:val="0"/>
        <w:numPr>
          <w:ilvl w:val="0"/>
          <w:numId w:val="19"/>
        </w:numPr>
        <w:tabs>
          <w:tab w:val="left" w:pos="567"/>
        </w:tabs>
        <w:spacing w:before="240" w:after="240"/>
        <w:ind w:right="51"/>
        <w:jc w:val="center"/>
        <w:rPr>
          <w:rFonts w:cs="Arial"/>
          <w:b/>
          <w:sz w:val="26"/>
          <w:szCs w:val="26"/>
        </w:rPr>
      </w:pPr>
      <w:r w:rsidRPr="00AB2F56">
        <w:rPr>
          <w:rFonts w:cs="Arial"/>
          <w:b/>
          <w:sz w:val="26"/>
          <w:szCs w:val="26"/>
        </w:rPr>
        <w:t>PROCEDENCIA</w:t>
      </w:r>
    </w:p>
    <w:p w14:paraId="3273DB74" w14:textId="63B58EE0" w:rsidR="00427DBE" w:rsidRPr="00427DBE" w:rsidRDefault="00427DBE" w:rsidP="00427DBE">
      <w:pPr>
        <w:pStyle w:val="Prrafo"/>
        <w:numPr>
          <w:ilvl w:val="0"/>
          <w:numId w:val="2"/>
        </w:numPr>
        <w:ind w:left="0" w:hanging="567"/>
      </w:pPr>
      <w:r w:rsidRPr="00427DBE">
        <w:t>El asunto cumple con los requisitos de procedencia establecidos en los artículos 107, fracción VIII, inciso a)</w:t>
      </w:r>
      <w:r w:rsidR="00BF4E6A">
        <w:rPr>
          <w:rStyle w:val="Refdenotaalpie"/>
        </w:rPr>
        <w:footnoteReference w:id="4"/>
      </w:r>
      <w:r w:rsidRPr="00427DBE">
        <w:t>, de la Constitución Federal, y 83</w:t>
      </w:r>
      <w:r w:rsidR="005C4F76">
        <w:rPr>
          <w:rStyle w:val="Refdenotaalpie"/>
        </w:rPr>
        <w:footnoteReference w:id="5"/>
      </w:r>
      <w:r w:rsidRPr="00427DBE">
        <w:t xml:space="preserve"> de la Ley de Amparo, así como con lo dispuesto en el punto </w:t>
      </w:r>
      <w:r w:rsidR="002C6486">
        <w:t>segundo</w:t>
      </w:r>
      <w:r w:rsidR="0018194C">
        <w:t>, fracción IV,</w:t>
      </w:r>
      <w:r w:rsidRPr="00427DBE">
        <w:t xml:space="preserve"> </w:t>
      </w:r>
      <w:r w:rsidRPr="00427DBE">
        <w:lastRenderedPageBreak/>
        <w:t xml:space="preserve">del Acuerdo </w:t>
      </w:r>
      <w:r w:rsidR="0018194C">
        <w:t>General Número</w:t>
      </w:r>
      <w:r w:rsidRPr="00427DBE">
        <w:t xml:space="preserve"> </w:t>
      </w:r>
      <w:r w:rsidR="0018194C">
        <w:t>2</w:t>
      </w:r>
      <w:r w:rsidRPr="00427DBE">
        <w:t>/20</w:t>
      </w:r>
      <w:r w:rsidR="0018194C">
        <w:t>25 (12a.)</w:t>
      </w:r>
      <w:r w:rsidR="005C4F76">
        <w:rPr>
          <w:rStyle w:val="Refdenotaalpie"/>
        </w:rPr>
        <w:footnoteReference w:id="6"/>
      </w:r>
      <w:r w:rsidRPr="00427DBE">
        <w:t xml:space="preserve"> del Pleno de la Suprema Corte de Justicia de la Nación.</w:t>
      </w:r>
    </w:p>
    <w:p w14:paraId="1D9F9C47" w14:textId="67B1DE3E" w:rsidR="00617E83" w:rsidRDefault="00427DBE" w:rsidP="00427DBE">
      <w:pPr>
        <w:pStyle w:val="Prrafo"/>
        <w:numPr>
          <w:ilvl w:val="0"/>
          <w:numId w:val="2"/>
        </w:numPr>
        <w:ind w:left="0" w:hanging="567"/>
      </w:pPr>
      <w:r w:rsidRPr="00427DBE">
        <w:t xml:space="preserve">El recurso </w:t>
      </w:r>
      <w:r w:rsidR="00D739E2">
        <w:t xml:space="preserve">de revisión </w:t>
      </w:r>
      <w:r w:rsidRPr="00427DBE">
        <w:t xml:space="preserve">se promovió contra la sentencia emitida por el Juzgado Tercero de Distrito de Amparo en Materia Penal en el Estado de Jalisco, dentro de la audiencia constitucional del juicio de amparo indirecto </w:t>
      </w:r>
      <w:r w:rsidR="00AA30BB" w:rsidRPr="00AA30BB">
        <w:rPr>
          <w:color w:val="EE0000"/>
        </w:rPr>
        <w:t>expediente 1</w:t>
      </w:r>
      <w:r w:rsidRPr="00427DBE">
        <w:t xml:space="preserve">. En dicha resolución, el juzgado decretó el sobreseimiento </w:t>
      </w:r>
      <w:r w:rsidR="00F62145">
        <w:t>en el</w:t>
      </w:r>
      <w:r w:rsidRPr="00427DBE">
        <w:t xml:space="preserve"> juicio </w:t>
      </w:r>
      <w:r w:rsidR="00F62145">
        <w:t xml:space="preserve">de amparo indirecto </w:t>
      </w:r>
      <w:r w:rsidRPr="00427DBE">
        <w:t>al considerar que la parte quejosa carecía de interés jurídico para impugnar el acto de aplicación consistente en la prevención formulada por el juez de control, quien advirtió deficiencias técnicas en la defensa, así como para cuestionar la constitucionalidad del artículo 121 del Código Nacional de Procedimientos Penales.</w:t>
      </w:r>
    </w:p>
    <w:p w14:paraId="016DE9C0" w14:textId="42C2943E" w:rsidR="008B4C96" w:rsidRPr="00C565A5" w:rsidRDefault="008B4C96" w:rsidP="00BB55C3">
      <w:pPr>
        <w:pStyle w:val="Ttulo3"/>
        <w:numPr>
          <w:ilvl w:val="0"/>
          <w:numId w:val="19"/>
        </w:numPr>
        <w:rPr>
          <w:lang w:val="es-ES"/>
        </w:rPr>
      </w:pPr>
      <w:r w:rsidRPr="00C565A5">
        <w:rPr>
          <w:lang w:val="es-ES"/>
        </w:rPr>
        <w:t>ELEMENTOS NECESARIOS PARA RESOLVER</w:t>
      </w:r>
    </w:p>
    <w:p w14:paraId="74FC4F45" w14:textId="5B5E7733" w:rsidR="009248BF" w:rsidRPr="00AE5872" w:rsidRDefault="00767725" w:rsidP="00767725">
      <w:pPr>
        <w:pStyle w:val="Prrafo"/>
        <w:numPr>
          <w:ilvl w:val="0"/>
          <w:numId w:val="2"/>
        </w:numPr>
        <w:ind w:left="0" w:hanging="567"/>
      </w:pPr>
      <w:r w:rsidRPr="00767725">
        <w:t>Para resolver la materia del presente amparo en revisión, es indispensable examinar los conceptos de violación expuestos en la demanda, las consideraciones de la sentencia recurrida, el contenido del escrito de agravios</w:t>
      </w:r>
      <w:r w:rsidR="008F5678">
        <w:t>.</w:t>
      </w:r>
    </w:p>
    <w:p w14:paraId="3E75B156" w14:textId="4C008C0C" w:rsidR="008B4C96" w:rsidRPr="0029550E" w:rsidRDefault="008B4C96" w:rsidP="00A96ACA">
      <w:pPr>
        <w:pStyle w:val="Ttulo5"/>
        <w:ind w:left="0" w:hanging="567"/>
        <w:rPr>
          <w:b w:val="0"/>
          <w:bCs/>
        </w:rPr>
      </w:pPr>
      <w:r w:rsidRPr="0029550E">
        <w:t>Demanda de amparo.</w:t>
      </w:r>
      <w:r w:rsidRPr="0029550E">
        <w:rPr>
          <w:b w:val="0"/>
          <w:bCs/>
        </w:rPr>
        <w:t xml:space="preserve"> En sus conceptos de violación, el señor </w:t>
      </w:r>
      <w:r w:rsidR="000F36C0">
        <w:rPr>
          <w:b w:val="0"/>
          <w:bCs/>
          <w:color w:val="C00000"/>
        </w:rPr>
        <w:t>persona 1</w:t>
      </w:r>
      <w:r w:rsidR="00475297" w:rsidRPr="00A96ACA">
        <w:rPr>
          <w:b w:val="0"/>
          <w:bCs/>
          <w:color w:val="C00000"/>
        </w:rPr>
        <w:t xml:space="preserve"> </w:t>
      </w:r>
      <w:r w:rsidRPr="0029550E">
        <w:rPr>
          <w:b w:val="0"/>
          <w:bCs/>
        </w:rPr>
        <w:t>expresó —en síntesis— lo siguiente:</w:t>
      </w:r>
    </w:p>
    <w:p w14:paraId="3846B0C9" w14:textId="54398722" w:rsidR="00B0770C" w:rsidRDefault="0005532C" w:rsidP="00B0770C">
      <w:pPr>
        <w:pStyle w:val="Prrafo"/>
        <w:numPr>
          <w:ilvl w:val="0"/>
          <w:numId w:val="7"/>
        </w:numPr>
      </w:pPr>
      <w:r w:rsidRPr="0005532C">
        <w:t xml:space="preserve">El artículo 121 del Código Nacional de Procedimientos Penales </w:t>
      </w:r>
      <w:r w:rsidR="00A96ACA">
        <w:t>es</w:t>
      </w:r>
      <w:r w:rsidRPr="0005532C">
        <w:t xml:space="preserve"> inconstitucional porque vulnera la garantía de seguridad jurídica y los derechos a la libertad de trabajo y a una defensa adecuada. El quejoso sostiene que dicha disposición faculta al juez para sustituir a</w:t>
      </w:r>
      <w:r w:rsidR="00C86F7A">
        <w:t xml:space="preserve"> la</w:t>
      </w:r>
      <w:r w:rsidRPr="0005532C">
        <w:t xml:space="preserve"> </w:t>
      </w:r>
      <w:r w:rsidR="00C86F7A">
        <w:t>defensa</w:t>
      </w:r>
      <w:r w:rsidRPr="0005532C">
        <w:t xml:space="preserve"> por “</w:t>
      </w:r>
      <w:r w:rsidRPr="00B3251F">
        <w:t>manifiesta y sistemática incapacidad técnica</w:t>
      </w:r>
      <w:r w:rsidRPr="0005532C">
        <w:t xml:space="preserve">”, sin establecer parámetros claros ni criterios objetivos para determinar dicha condición. </w:t>
      </w:r>
    </w:p>
    <w:p w14:paraId="37E8256E" w14:textId="6C093517" w:rsidR="0005532C" w:rsidRPr="0005532C" w:rsidRDefault="0005532C" w:rsidP="00F768A6">
      <w:pPr>
        <w:pStyle w:val="Prrafo"/>
        <w:ind w:left="720"/>
      </w:pPr>
      <w:r w:rsidRPr="0005532C">
        <w:lastRenderedPageBreak/>
        <w:t xml:space="preserve">A su juicio, esta imprecisión coloca </w:t>
      </w:r>
      <w:r w:rsidR="00C86F7A">
        <w:t xml:space="preserve">a las abogadas </w:t>
      </w:r>
      <w:r w:rsidRPr="0005532C">
        <w:t>en estado de indefensión, pues permite su separación sin una causa debidamente fundada ni oportunidad de defenderse. Además, genera incertidumbre en el imputado respecto de la continuidad y estabilidad de su representación legal.</w:t>
      </w:r>
    </w:p>
    <w:p w14:paraId="4E7CCF07" w14:textId="77777777" w:rsidR="00D77906" w:rsidRDefault="00E1132E" w:rsidP="00D77906">
      <w:pPr>
        <w:pStyle w:val="Prrafo"/>
        <w:numPr>
          <w:ilvl w:val="0"/>
          <w:numId w:val="7"/>
        </w:numPr>
        <w:rPr>
          <w:lang w:val="es-ES"/>
        </w:rPr>
      </w:pPr>
      <w:r w:rsidRPr="00E1132E">
        <w:t>Para sustentar su postura</w:t>
      </w:r>
      <w:r w:rsidR="003A439D" w:rsidRPr="003A439D">
        <w:t>, el quejoso citó la doctrina de esta Suprema Corte, la cual establece que la seguridad jurídica garantiza que las personas puedan prever las consecuencias legales de sus actos y confiar en que las autoridades actúan conforme a normas claras, previamente establecidas y aplicadas de manera uniforme.</w:t>
      </w:r>
    </w:p>
    <w:p w14:paraId="362484C9" w14:textId="33293256" w:rsidR="005C3BD5" w:rsidRPr="00D77906" w:rsidRDefault="003A439D" w:rsidP="00D77906">
      <w:pPr>
        <w:pStyle w:val="Prrafo"/>
        <w:numPr>
          <w:ilvl w:val="0"/>
          <w:numId w:val="7"/>
        </w:numPr>
        <w:rPr>
          <w:lang w:val="es-ES"/>
        </w:rPr>
      </w:pPr>
      <w:r w:rsidRPr="003A439D">
        <w:t>En ese marco, sostuvo que el artículo impugnado vulnera dicho principio porque concede al juez un margen de discrecionalidad excesivo. Esa amplitud, afirmó, puede derivar en decisiones arbitrarias y en la pérdida de confianza legítima de los particulares frente a actos imprevisibles o irrazonables del poder público.</w:t>
      </w:r>
    </w:p>
    <w:p w14:paraId="29DC93FC" w14:textId="77777777" w:rsidR="005C5314" w:rsidRDefault="000F35C3" w:rsidP="005C5314">
      <w:pPr>
        <w:pStyle w:val="Prrafo"/>
        <w:numPr>
          <w:ilvl w:val="0"/>
          <w:numId w:val="7"/>
        </w:numPr>
        <w:rPr>
          <w:lang w:val="es-ES"/>
        </w:rPr>
      </w:pPr>
      <w:r>
        <w:t>Luego</w:t>
      </w:r>
      <w:r w:rsidR="009E35DB">
        <w:t xml:space="preserve">, </w:t>
      </w:r>
      <w:r w:rsidR="00C95D2B">
        <w:t xml:space="preserve">hizo referencia a </w:t>
      </w:r>
      <w:r w:rsidR="00DF5BE6" w:rsidRPr="00DF5BE6">
        <w:t xml:space="preserve">los artículos 8.2 de la Convención Americana sobre Derechos Humanos y 14.3 del Pacto Internacional de Derechos Civiles y Políticos, que reconocen el derecho de toda persona a contar con una defensa técnica efectiva y a ser asistida por un defensor de su elección. </w:t>
      </w:r>
    </w:p>
    <w:p w14:paraId="39388D7E" w14:textId="224F51AF" w:rsidR="003C48EF" w:rsidRPr="005C5314" w:rsidRDefault="00DF5BE6" w:rsidP="005C5314">
      <w:pPr>
        <w:pStyle w:val="Prrafo"/>
        <w:numPr>
          <w:ilvl w:val="0"/>
          <w:numId w:val="7"/>
        </w:numPr>
        <w:rPr>
          <w:lang w:val="es-ES"/>
        </w:rPr>
      </w:pPr>
      <w:r w:rsidRPr="00DF5BE6">
        <w:t xml:space="preserve">Con fundamento en la jurisprudencia de la Corte Interamericana de Derechos Humanos, particularmente en los casos </w:t>
      </w:r>
      <w:r w:rsidRPr="005C5314">
        <w:rPr>
          <w:i/>
          <w:iCs/>
        </w:rPr>
        <w:t>Barreto Leiva vs. Venezuela</w:t>
      </w:r>
      <w:r w:rsidRPr="00DF5BE6">
        <w:t xml:space="preserve"> y </w:t>
      </w:r>
      <w:r w:rsidRPr="005C5314">
        <w:rPr>
          <w:i/>
          <w:iCs/>
        </w:rPr>
        <w:t>Cabrera García y Montiel Flores vs. México</w:t>
      </w:r>
      <w:r w:rsidRPr="00DF5BE6">
        <w:t>, la defensa adecuada exige la participación activa, constante y diligente de un</w:t>
      </w:r>
      <w:r w:rsidR="00C95D2B">
        <w:t>a</w:t>
      </w:r>
      <w:r w:rsidRPr="00DF5BE6">
        <w:t xml:space="preserve"> abogad</w:t>
      </w:r>
      <w:r w:rsidR="00C95D2B">
        <w:t>a</w:t>
      </w:r>
      <w:r w:rsidRPr="00DF5BE6">
        <w:t>. Sostuvo que ese estándar se ve comprometido cuando la ley</w:t>
      </w:r>
      <w:r w:rsidR="005D2929">
        <w:t xml:space="preserve"> procesal</w:t>
      </w:r>
      <w:r w:rsidRPr="00DF5BE6">
        <w:t xml:space="preserve"> permite al juez sustituir a</w:t>
      </w:r>
      <w:r w:rsidR="005D2929">
        <w:t xml:space="preserve"> la</w:t>
      </w:r>
      <w:r w:rsidRPr="00DF5BE6">
        <w:t xml:space="preserve"> defensor</w:t>
      </w:r>
      <w:r w:rsidR="005D2929">
        <w:t>a</w:t>
      </w:r>
      <w:r w:rsidRPr="00DF5BE6">
        <w:t xml:space="preserve"> sin establecer criterios objetivos ni procedimientos claros que aseguren la protección del derecho de defensa</w:t>
      </w:r>
      <w:r w:rsidR="005D2929">
        <w:t xml:space="preserve"> adecuada</w:t>
      </w:r>
      <w:r w:rsidRPr="00DF5BE6">
        <w:t>.</w:t>
      </w:r>
    </w:p>
    <w:p w14:paraId="21AD2489" w14:textId="04637E5B" w:rsidR="002E0C76" w:rsidRDefault="006B5C3F" w:rsidP="003C48EF">
      <w:pPr>
        <w:pStyle w:val="Prrafo"/>
        <w:numPr>
          <w:ilvl w:val="0"/>
          <w:numId w:val="7"/>
        </w:numPr>
      </w:pPr>
      <w:r>
        <w:t>A partir de lo anterior</w:t>
      </w:r>
      <w:r w:rsidR="003C48EF" w:rsidRPr="003C48EF">
        <w:t xml:space="preserve">, </w:t>
      </w:r>
      <w:r w:rsidR="00BF1D39" w:rsidRPr="00BF1D39">
        <w:t xml:space="preserve">el quejoso afirmó que la disposición impugnada limita de forma injustificada la libertad de trabajo de las personas que ejercen la defensa penal, ya que permite su separación del cargo sin </w:t>
      </w:r>
      <w:r w:rsidR="00BF1D39" w:rsidRPr="00BF1D39">
        <w:lastRenderedPageBreak/>
        <w:t xml:space="preserve">una resolución judicial sustentada en hechos verificables y objetivos. Esta falta de </w:t>
      </w:r>
      <w:r w:rsidR="001E1C21" w:rsidRPr="00BF1D39">
        <w:t>fundamentación</w:t>
      </w:r>
      <w:r w:rsidR="001E1C21">
        <w:t xml:space="preserve">, </w:t>
      </w:r>
      <w:r w:rsidR="00BF1D39" w:rsidRPr="00BF1D39">
        <w:t>señaló, vulnera no solo el derecho del profesionista a ejercer su labor, sino también la estabilidad y continuidad de la defensa técnica del imputado.</w:t>
      </w:r>
    </w:p>
    <w:p w14:paraId="0D2DDF15" w14:textId="652DFA0D" w:rsidR="006B4861" w:rsidRPr="006B4861" w:rsidRDefault="000621BC" w:rsidP="006B4861">
      <w:pPr>
        <w:pStyle w:val="Prrafo"/>
        <w:numPr>
          <w:ilvl w:val="0"/>
          <w:numId w:val="7"/>
        </w:numPr>
      </w:pPr>
      <w:r>
        <w:t>Para concluir su argumento,</w:t>
      </w:r>
      <w:r w:rsidR="006B4861">
        <w:t xml:space="preserve"> </w:t>
      </w:r>
      <w:r w:rsidR="006B4861" w:rsidRPr="006B4861">
        <w:t>el quejoso efectuó un análisis de proporcionalidad de la medida y concluyó que no supera dicho examen por las siguientes razones:</w:t>
      </w:r>
    </w:p>
    <w:p w14:paraId="33D3DBBB" w14:textId="6DC51A94" w:rsidR="006B4861" w:rsidRPr="006B4861" w:rsidRDefault="006B4861" w:rsidP="00BA7059">
      <w:pPr>
        <w:pStyle w:val="Prrafo"/>
        <w:ind w:left="720"/>
      </w:pPr>
      <w:r w:rsidRPr="006B4861">
        <w:t xml:space="preserve">i) </w:t>
      </w:r>
      <w:r w:rsidRPr="00361EDD">
        <w:rPr>
          <w:u w:val="single"/>
        </w:rPr>
        <w:t>Idoneidad</w:t>
      </w:r>
      <w:r w:rsidR="00F06236" w:rsidRPr="00361EDD">
        <w:t>:</w:t>
      </w:r>
      <w:r w:rsidRPr="006B4861">
        <w:t xml:space="preserve"> La disposición impugnada no garantiza que el nuevo defensor cuente con mayores capacidades técnicas ni que ofrezca una defensa más eficaz al imputado.</w:t>
      </w:r>
    </w:p>
    <w:p w14:paraId="61A16A20" w14:textId="48C60869" w:rsidR="006B4861" w:rsidRPr="006B4861" w:rsidRDefault="006B4861" w:rsidP="00BA7059">
      <w:pPr>
        <w:pStyle w:val="Prrafo"/>
        <w:ind w:left="720"/>
      </w:pPr>
      <w:r w:rsidRPr="006B4861">
        <w:t>ii)</w:t>
      </w:r>
      <w:r w:rsidRPr="006B4861">
        <w:rPr>
          <w:b/>
          <w:bCs/>
        </w:rPr>
        <w:t xml:space="preserve"> </w:t>
      </w:r>
      <w:r w:rsidRPr="002922D7">
        <w:rPr>
          <w:u w:val="single"/>
        </w:rPr>
        <w:t>Necesidad</w:t>
      </w:r>
      <w:r w:rsidR="00F06236" w:rsidRPr="002922D7">
        <w:t>:</w:t>
      </w:r>
      <w:r w:rsidRPr="006B4861">
        <w:t xml:space="preserve"> Existen mecanismos menos restrictivos que permitirían proteger el derecho de defensa sin afectar la libertad profesional del abogado, como la supervisión o sustitución temporal bajo criterios objetivos.</w:t>
      </w:r>
    </w:p>
    <w:p w14:paraId="08713BA0" w14:textId="3DDB66A4" w:rsidR="006B4861" w:rsidRPr="006B4861" w:rsidRDefault="006B4861" w:rsidP="00BA7059">
      <w:pPr>
        <w:pStyle w:val="Prrafo"/>
        <w:ind w:left="720"/>
      </w:pPr>
      <w:r w:rsidRPr="006B4861">
        <w:t>iii)</w:t>
      </w:r>
      <w:r w:rsidRPr="006B4861">
        <w:rPr>
          <w:b/>
          <w:bCs/>
        </w:rPr>
        <w:t xml:space="preserve"> </w:t>
      </w:r>
      <w:r w:rsidRPr="00361EDD">
        <w:rPr>
          <w:u w:val="single"/>
        </w:rPr>
        <w:t xml:space="preserve">Proporcionalidad </w:t>
      </w:r>
      <w:r w:rsidR="008F452E" w:rsidRPr="00361EDD">
        <w:rPr>
          <w:u w:val="single"/>
        </w:rPr>
        <w:t>en sentido estricto</w:t>
      </w:r>
      <w:r w:rsidR="00F06236" w:rsidRPr="00361EDD">
        <w:rPr>
          <w:u w:val="single"/>
        </w:rPr>
        <w:t>:</w:t>
      </w:r>
      <w:r w:rsidRPr="006B4861">
        <w:t xml:space="preserve"> El perjuicio que la norma ocasiona tanto </w:t>
      </w:r>
      <w:r w:rsidR="00F06236">
        <w:t xml:space="preserve">a </w:t>
      </w:r>
      <w:r w:rsidR="00EF0CDC">
        <w:t>las personas abogadas</w:t>
      </w:r>
      <w:r w:rsidRPr="006B4861">
        <w:t>, al privarl</w:t>
      </w:r>
      <w:r w:rsidR="00F06236">
        <w:t>as</w:t>
      </w:r>
      <w:r w:rsidRPr="006B4861">
        <w:t xml:space="preserve"> de su derecho al trabajo, como al imputado, al afectar la continuidad de su defensa, resulta significativamente mayor que el beneficio que la medida pretende alcanzar.</w:t>
      </w:r>
    </w:p>
    <w:p w14:paraId="759ACB55" w14:textId="069CA429" w:rsidR="006B4861" w:rsidRDefault="006444EE" w:rsidP="006B4861">
      <w:pPr>
        <w:pStyle w:val="Prrafo"/>
        <w:numPr>
          <w:ilvl w:val="0"/>
          <w:numId w:val="7"/>
        </w:numPr>
      </w:pPr>
      <w:r>
        <w:t>Por otro lado</w:t>
      </w:r>
      <w:r w:rsidRPr="006444EE">
        <w:t>, el quejoso se inconformó con el acto concreto de aplicación de la norma reclamada. Afirmó que el juez de control actuó de manera arbitraria e infundada al considerar deficiente su defensa, pues no explicó en qué consistía la supuesta incapacidad técnica ni presentó elementos objetivos que la acreditaran.</w:t>
      </w:r>
    </w:p>
    <w:p w14:paraId="335D6F10" w14:textId="5D9867FD" w:rsidR="003529A4" w:rsidRDefault="008D0A98" w:rsidP="003529A4">
      <w:pPr>
        <w:pStyle w:val="Prrafo"/>
        <w:numPr>
          <w:ilvl w:val="0"/>
          <w:numId w:val="7"/>
        </w:numPr>
      </w:pPr>
      <w:r w:rsidRPr="008D0A98">
        <w:t>Sostuvo que el desarrollo de las audiencias desmentía esa apreciación, ya que su desempeño como defensor fue activo, diligente y técnicamente adecuado. Intervino en los debates, formuló objeciones, presentó argumentos jurídicos sólidos y ejerció plenamente su función de defensa.</w:t>
      </w:r>
    </w:p>
    <w:p w14:paraId="28EB1B6A" w14:textId="53DEF916" w:rsidR="006F5AB1" w:rsidRDefault="008D0A98" w:rsidP="003529A4">
      <w:pPr>
        <w:pStyle w:val="Prrafo"/>
        <w:numPr>
          <w:ilvl w:val="0"/>
          <w:numId w:val="7"/>
        </w:numPr>
      </w:pPr>
      <w:r>
        <w:lastRenderedPageBreak/>
        <w:t>C</w:t>
      </w:r>
      <w:r w:rsidRPr="008D0A98">
        <w:t xml:space="preserve">omo ejemplo, </w:t>
      </w:r>
      <w:r w:rsidR="000E3C82">
        <w:t>señaló</w:t>
      </w:r>
      <w:r w:rsidRPr="008D0A98">
        <w:t xml:space="preserve"> que durante la audiencia sobre medidas cautelares citó la jurisprudencia de la Corte Interamericana de Derechos Humanos —en particular, el caso </w:t>
      </w:r>
      <w:r w:rsidRPr="008D0A98">
        <w:rPr>
          <w:i/>
          <w:iCs/>
        </w:rPr>
        <w:t>García Rodríguez y otros vs. México</w:t>
      </w:r>
      <w:r w:rsidRPr="008D0A98">
        <w:t>— para sostener la inconvencionalidad de la prisión preventiva oficiosa. Esta postura, señaló, fue incluso compartida en su momento por el propio juez de control.</w:t>
      </w:r>
    </w:p>
    <w:p w14:paraId="4909B7B0" w14:textId="6327D327" w:rsidR="005108D7" w:rsidRDefault="006F2AC0" w:rsidP="006B4861">
      <w:pPr>
        <w:pStyle w:val="Prrafo"/>
        <w:numPr>
          <w:ilvl w:val="0"/>
          <w:numId w:val="7"/>
        </w:numPr>
      </w:pPr>
      <w:r w:rsidRPr="006F2AC0">
        <w:t xml:space="preserve">Sin embargo, el quejoso consideró que el juez incurrió en contradicciones, pues a pesar de reconocer la validez de sus argumentos, recomendó oficiosamente al </w:t>
      </w:r>
      <w:r>
        <w:t>ministerio público</w:t>
      </w:r>
      <w:r w:rsidRPr="006F2AC0">
        <w:t xml:space="preserve"> solicitar la prisión preventiva justificada, medida que finalmente impuso con base en una lógica contraria a derecho.</w:t>
      </w:r>
    </w:p>
    <w:p w14:paraId="78AA1E06" w14:textId="11F6267D" w:rsidR="00CA79E7" w:rsidRDefault="00CA79E7" w:rsidP="00152F2C">
      <w:pPr>
        <w:pStyle w:val="Prrafo"/>
        <w:numPr>
          <w:ilvl w:val="0"/>
          <w:numId w:val="7"/>
        </w:numPr>
      </w:pPr>
      <w:r w:rsidRPr="00CA79E7">
        <w:t xml:space="preserve">Explicó que, durante el debate, el propio juez reconoció que no existía riesgo de fuga ni indicios de que el imputado intentara evadir la justicia, e incluso admitió que el domicilio del </w:t>
      </w:r>
      <w:r>
        <w:t xml:space="preserve">señor </w:t>
      </w:r>
      <w:r w:rsidR="00E71B47">
        <w:rPr>
          <w:color w:val="C00000"/>
        </w:rPr>
        <w:t>persona 2</w:t>
      </w:r>
      <w:r w:rsidRPr="00CA79E7">
        <w:rPr>
          <w:color w:val="C00000"/>
        </w:rPr>
        <w:t xml:space="preserve"> </w:t>
      </w:r>
      <w:r w:rsidRPr="00CA79E7">
        <w:t>“no trascendía tanto” para justificar una medida privativa de libertad. No obstante, modificó su razonamiento y, de forma incongruente, utilizó la pena mínima del delito imputado como parámetro para presumir un alto riesgo de evasión. Según el quejoso, esta conclusión equivalió a una anticipación de la pena y vulneró directamente la presunción de inocencia.</w:t>
      </w:r>
    </w:p>
    <w:p w14:paraId="71796E7A" w14:textId="193E211E" w:rsidR="003F772D" w:rsidRDefault="002E3B13" w:rsidP="002E3B13">
      <w:pPr>
        <w:pStyle w:val="Prrafo"/>
        <w:numPr>
          <w:ilvl w:val="0"/>
          <w:numId w:val="7"/>
        </w:numPr>
      </w:pPr>
      <w:r w:rsidRPr="002E3B13">
        <w:t>Además, argumentó que el juez trasladó indebidamente la carga de la prueba del arraigo al imputado, al exigirle demostrar su domicilio y vínculos familiares para descartar el riesgo de sustracción. Recordó que, conforme al artículo 169 del Código Nacional de Procedimientos Penales y la jurisprudencia 1a./J. 25/2014 (10a.)</w:t>
      </w:r>
      <w:r w:rsidR="0044187B">
        <w:rPr>
          <w:rStyle w:val="Refdenotaalpie"/>
        </w:rPr>
        <w:footnoteReference w:id="7"/>
      </w:r>
      <w:r w:rsidRPr="002E3B13">
        <w:t xml:space="preserve"> de esta Suprema Corte, dicha obligación corresponde exclusivamente al </w:t>
      </w:r>
      <w:r>
        <w:t>ministerio público</w:t>
      </w:r>
      <w:r w:rsidRPr="002E3B13">
        <w:t xml:space="preserve">, por ser quien solicita la medida cautelar. </w:t>
      </w:r>
    </w:p>
    <w:p w14:paraId="72168296" w14:textId="3D0B3191" w:rsidR="002E3B13" w:rsidRDefault="002E3B13" w:rsidP="003F772D">
      <w:pPr>
        <w:pStyle w:val="Prrafo"/>
        <w:ind w:left="720"/>
      </w:pPr>
      <w:r w:rsidRPr="002E3B13">
        <w:t xml:space="preserve">Esta inversión de la carga </w:t>
      </w:r>
      <w:r w:rsidR="00BD4E49" w:rsidRPr="002E3B13">
        <w:t>probatoria</w:t>
      </w:r>
      <w:r w:rsidR="00BD4E49">
        <w:t xml:space="preserve">, </w:t>
      </w:r>
      <w:r w:rsidRPr="002E3B13">
        <w:t xml:space="preserve">añadió, contraviene la presunción de inocencia en su vertiente probatoria, ya que el imputado no tiene el </w:t>
      </w:r>
      <w:r w:rsidRPr="002E3B13">
        <w:lastRenderedPageBreak/>
        <w:t>deber de acreditar su inocencia ni justificar su permanencia en el territorio.</w:t>
      </w:r>
    </w:p>
    <w:p w14:paraId="3D0745C3" w14:textId="133F1F45" w:rsidR="00F964FC" w:rsidRDefault="00A819EF" w:rsidP="00A0384B">
      <w:pPr>
        <w:pStyle w:val="Prrafo"/>
        <w:numPr>
          <w:ilvl w:val="0"/>
          <w:numId w:val="7"/>
        </w:numPr>
      </w:pPr>
      <w:r w:rsidRPr="00A819EF">
        <w:t>Finalmente, el quejoso sostuvo que la resolución del juez careció de un análisis de proporcionalidad y no se basó en los fines legítimos de las medidas cautelares, sino en valoraciones personales y subjetivas sobre la actuación de la defensa.</w:t>
      </w:r>
    </w:p>
    <w:p w14:paraId="392E4326" w14:textId="7CF2CE21" w:rsidR="003F772D" w:rsidRDefault="00A0384B" w:rsidP="004B7C09">
      <w:pPr>
        <w:pStyle w:val="Prrafo"/>
        <w:numPr>
          <w:ilvl w:val="0"/>
          <w:numId w:val="7"/>
        </w:numPr>
      </w:pPr>
      <w:r w:rsidRPr="00A0384B">
        <w:t xml:space="preserve">En ese sentido, </w:t>
      </w:r>
      <w:r w:rsidR="003F772D">
        <w:t>alegó</w:t>
      </w:r>
      <w:r w:rsidR="004B7C09" w:rsidRPr="004B7C09">
        <w:t xml:space="preserve"> que el juez </w:t>
      </w:r>
      <w:r w:rsidR="003F772D">
        <w:t xml:space="preserve">de control </w:t>
      </w:r>
      <w:r w:rsidR="004B7C09" w:rsidRPr="004B7C09">
        <w:t>incurrió en un error al confundir la valoración de la estrategia defensiva con un juicio sobre su capacidad técnica como abogado, lo cual —según afirmó— está expresamente prohibido por la jurisprudencia de la extinta Primera Sala de la Suprema Corte de Justicia de la Nación.</w:t>
      </w:r>
    </w:p>
    <w:p w14:paraId="6A5DB6FB" w14:textId="3ED2EE42" w:rsidR="003C48EF" w:rsidRPr="00F964FC" w:rsidRDefault="004B7C09" w:rsidP="003F772D">
      <w:pPr>
        <w:pStyle w:val="Prrafo"/>
        <w:ind w:left="720"/>
      </w:pPr>
      <w:r w:rsidRPr="004B7C09">
        <w:t>A su parecer, esta confusión evidenció una actuación parcial, ya que el juez descalificó su desempeño como defensor con el fin de justificar una medida restrictiva sin que existiera un riesgo procesal real.</w:t>
      </w:r>
    </w:p>
    <w:p w14:paraId="7B3B10C4" w14:textId="2F197FC3" w:rsidR="008B4C96" w:rsidRPr="0029550E" w:rsidRDefault="008B4C96" w:rsidP="0029550E">
      <w:pPr>
        <w:pStyle w:val="Ttulo5"/>
        <w:ind w:left="0" w:hanging="567"/>
        <w:rPr>
          <w:b w:val="0"/>
          <w:bCs/>
        </w:rPr>
      </w:pPr>
      <w:r w:rsidRPr="00475297">
        <w:t>Sentencia de</w:t>
      </w:r>
      <w:r w:rsidR="009B18B8">
        <w:t xml:space="preserve"> amparo</w:t>
      </w:r>
      <w:r w:rsidRPr="00475297">
        <w:t>.</w:t>
      </w:r>
      <w:r w:rsidRPr="0029550E">
        <w:rPr>
          <w:b w:val="0"/>
          <w:bCs/>
        </w:rPr>
        <w:t xml:space="preserve"> Las razones que consideró el </w:t>
      </w:r>
      <w:r w:rsidR="00141E45" w:rsidRPr="0029550E">
        <w:rPr>
          <w:b w:val="0"/>
          <w:bCs/>
        </w:rPr>
        <w:t xml:space="preserve">Juzgado Tercero de Distrito de Amparo en Materia Penal en el Estado de Jalisco </w:t>
      </w:r>
      <w:r w:rsidRPr="0029550E">
        <w:rPr>
          <w:b w:val="0"/>
          <w:bCs/>
        </w:rPr>
        <w:t xml:space="preserve">para </w:t>
      </w:r>
      <w:r w:rsidR="00141E45" w:rsidRPr="0029550E">
        <w:rPr>
          <w:b w:val="0"/>
          <w:bCs/>
        </w:rPr>
        <w:t>sobreseer en el juicio</w:t>
      </w:r>
      <w:r w:rsidR="004974F3" w:rsidRPr="0029550E">
        <w:rPr>
          <w:b w:val="0"/>
          <w:bCs/>
        </w:rPr>
        <w:t xml:space="preserve"> de amparo</w:t>
      </w:r>
      <w:r w:rsidRPr="0029550E">
        <w:rPr>
          <w:b w:val="0"/>
          <w:bCs/>
        </w:rPr>
        <w:t xml:space="preserve"> </w:t>
      </w:r>
      <w:r w:rsidR="00A02FF1">
        <w:rPr>
          <w:b w:val="0"/>
          <w:bCs/>
        </w:rPr>
        <w:t>indirecto</w:t>
      </w:r>
      <w:r w:rsidR="00516953">
        <w:rPr>
          <w:b w:val="0"/>
          <w:bCs/>
        </w:rPr>
        <w:t xml:space="preserve"> </w:t>
      </w:r>
      <w:r w:rsidRPr="0029550E">
        <w:rPr>
          <w:b w:val="0"/>
          <w:bCs/>
        </w:rPr>
        <w:t>fueron las siguientes:</w:t>
      </w:r>
    </w:p>
    <w:p w14:paraId="0EF440CC" w14:textId="7F74674A" w:rsidR="009B18B8" w:rsidRPr="00366772" w:rsidRDefault="009C6A69" w:rsidP="009B18B8">
      <w:pPr>
        <w:pStyle w:val="Prrafo"/>
        <w:numPr>
          <w:ilvl w:val="0"/>
          <w:numId w:val="8"/>
        </w:numPr>
        <w:rPr>
          <w:lang w:val="es-ES"/>
        </w:rPr>
      </w:pPr>
      <w:r w:rsidRPr="009C6A69">
        <w:t xml:space="preserve">Consideró que </w:t>
      </w:r>
      <w:r w:rsidR="00ED68A7">
        <w:t>en el caso se actualizaba la</w:t>
      </w:r>
      <w:r w:rsidRPr="009C6A69">
        <w:t xml:space="preserve"> causal de improcedencia prevista en el artículo 61, fracción XXIII, de la Ley de Amparo, en relación con el artículo 107, fracción I, de la Constitución Política de los Estados Unidos Mexicanos y el artículo 5, fracción I, de la propia ley.</w:t>
      </w:r>
    </w:p>
    <w:p w14:paraId="62F364B2" w14:textId="08B92717" w:rsidR="00FD1E9F" w:rsidRPr="00FD1E9F" w:rsidRDefault="00FD1E9F" w:rsidP="00CC6B98">
      <w:pPr>
        <w:pStyle w:val="Prrafo"/>
        <w:numPr>
          <w:ilvl w:val="0"/>
          <w:numId w:val="8"/>
        </w:numPr>
        <w:rPr>
          <w:lang w:val="es-ES"/>
        </w:rPr>
      </w:pPr>
      <w:r w:rsidRPr="00FD1E9F">
        <w:t>Explicó que este marco normativo, interpretado de manera sistemática, establece que el juicio de amparo resulta improcedente cuando el acto reclamado no produce un agravio personal y directo en la esfera jurídica de quien lo promueve.</w:t>
      </w:r>
    </w:p>
    <w:p w14:paraId="655C7636" w14:textId="2AC1D3DF" w:rsidR="002E5B62" w:rsidRPr="00FD1E9F" w:rsidRDefault="00FD1E9F" w:rsidP="00CC6B98">
      <w:pPr>
        <w:pStyle w:val="Prrafo"/>
        <w:numPr>
          <w:ilvl w:val="0"/>
          <w:numId w:val="8"/>
        </w:numPr>
        <w:rPr>
          <w:lang w:val="es-ES"/>
        </w:rPr>
      </w:pPr>
      <w:r w:rsidRPr="00FD1E9F">
        <w:t xml:space="preserve">Al aplicar ese criterio al caso concreto, sostuvo que el acto reclamado —el acuerdo de 25 de octubre de 2023— no vulneró los derechos del señor </w:t>
      </w:r>
      <w:r w:rsidR="00A65339">
        <w:rPr>
          <w:color w:val="C00000"/>
        </w:rPr>
        <w:t>persona 1</w:t>
      </w:r>
      <w:r w:rsidRPr="00FD1E9F">
        <w:t xml:space="preserve">. Señaló que la resolución del juez de control únicamente tuvo por objeto prevenir al imputado, conforme al artículo 121 del Código Nacional de Procedimientos Penales, para que </w:t>
      </w:r>
      <w:r w:rsidRPr="00FD1E9F">
        <w:lastRenderedPageBreak/>
        <w:t>manifestara si deseaba continuar con su defensa particular o prefería la designación de un defensor público. En consecuencia, fue el propio imputado quien decidió remover al quejoso como su defensor particular.</w:t>
      </w:r>
    </w:p>
    <w:p w14:paraId="0CD8D0AB" w14:textId="098C5537" w:rsidR="00961892" w:rsidRPr="003903F1" w:rsidRDefault="00E9354A" w:rsidP="009B18B8">
      <w:pPr>
        <w:pStyle w:val="Prrafo"/>
        <w:numPr>
          <w:ilvl w:val="0"/>
          <w:numId w:val="8"/>
        </w:numPr>
        <w:rPr>
          <w:lang w:val="es-ES"/>
        </w:rPr>
      </w:pPr>
      <w:r w:rsidRPr="00E9354A">
        <w:t>Destacó que dicha remoción no constituye un acto de autoridad, sino el ejercicio de los derechos del imputado relativos a una defensa adecuada, al debido proceso y a la igualdad procesal, reconocidos en los artículos 14 y 20, apartado A, fracción V, y apartado B, fracción VIII, de la Constitución Política de los Estados Unidos Mexicanos.</w:t>
      </w:r>
    </w:p>
    <w:p w14:paraId="1FA14561" w14:textId="4AFCD3D1" w:rsidR="009C023D" w:rsidRPr="009C023D" w:rsidRDefault="00723D21" w:rsidP="009B18B8">
      <w:pPr>
        <w:pStyle w:val="Prrafo"/>
        <w:numPr>
          <w:ilvl w:val="0"/>
          <w:numId w:val="8"/>
        </w:numPr>
        <w:rPr>
          <w:lang w:val="es-ES"/>
        </w:rPr>
      </w:pPr>
      <w:r w:rsidRPr="00723D21">
        <w:t>Precisó, además, que aun si se considerara que el apercibimiento formulado por el juez de control afectó los derechos del quejoso, el juicio de amparo seguiría siendo improcedente. Ello se debe a que el juzgado no ejecutó el apercibimiento, sino que fue el propio imputado quien decidió sustituir a su defensor. Por tanto, el acto se consumó de manera irreparable, conforme al artículo 61, fracción XVI, de la Ley de Amparo.</w:t>
      </w:r>
    </w:p>
    <w:p w14:paraId="4A95A72A" w14:textId="15B92931" w:rsidR="003903F1" w:rsidRPr="00723D21" w:rsidRDefault="00723D21" w:rsidP="00723D21">
      <w:pPr>
        <w:pStyle w:val="Prrafo"/>
        <w:numPr>
          <w:ilvl w:val="0"/>
          <w:numId w:val="8"/>
        </w:numPr>
      </w:pPr>
      <w:r w:rsidRPr="00723D21">
        <w:t>Añadió que la eventual afectación derivada de la prevención ordenada por el juez de control no puede repararse, ya que, aun concediéndose el amparo, no sería posible obligar al imputado a revertir su decisión ni restablecer la situación jurídica previa, puesto que el acto se consumó de forma irreversible.</w:t>
      </w:r>
    </w:p>
    <w:p w14:paraId="7BFDDD96" w14:textId="77777777" w:rsidR="00584CC0" w:rsidRDefault="00596120" w:rsidP="009B18B8">
      <w:pPr>
        <w:pStyle w:val="Prrafo"/>
        <w:numPr>
          <w:ilvl w:val="0"/>
          <w:numId w:val="8"/>
        </w:numPr>
        <w:rPr>
          <w:lang w:val="es-ES"/>
        </w:rPr>
      </w:pPr>
      <w:r>
        <w:t>S</w:t>
      </w:r>
      <w:r w:rsidRPr="00596120">
        <w:t>eñaló también que el argumento de inconstitucionalidad del artículo 121 del Código Nacional de Procedimientos Penales debe correr la misma suerte, dado que fue planteado con motivo de su primer acto de aplicación. En consecuencia, no puede analizarse de manera independiente del acto reclamado, y si respecto de este último se acreditó una causal de improcedencia, dicha causal necesariamente se extiende a la norma impugnada.</w:t>
      </w:r>
    </w:p>
    <w:p w14:paraId="3AD9C057" w14:textId="1939F979" w:rsidR="008B4C96" w:rsidRPr="00D15900" w:rsidRDefault="00767725" w:rsidP="00A96ACA">
      <w:pPr>
        <w:pStyle w:val="Ttulo5"/>
        <w:ind w:left="0" w:hanging="567"/>
        <w:rPr>
          <w:b w:val="0"/>
          <w:bCs/>
        </w:rPr>
      </w:pPr>
      <w:r w:rsidRPr="00767725">
        <w:t>Agravios</w:t>
      </w:r>
      <w:r w:rsidR="008B4C96" w:rsidRPr="00767725">
        <w:t>.</w:t>
      </w:r>
      <w:r w:rsidR="008B4C96" w:rsidRPr="00D15900">
        <w:rPr>
          <w:b w:val="0"/>
          <w:bCs/>
        </w:rPr>
        <w:t xml:space="preserve"> E</w:t>
      </w:r>
      <w:r w:rsidR="00EF702E" w:rsidRPr="00D15900">
        <w:rPr>
          <w:b w:val="0"/>
          <w:bCs/>
        </w:rPr>
        <w:t xml:space="preserve">l recurrente reiteró algunos </w:t>
      </w:r>
      <w:r w:rsidR="00B11658" w:rsidRPr="00D15900">
        <w:rPr>
          <w:b w:val="0"/>
          <w:bCs/>
        </w:rPr>
        <w:t>argumentos hechos valer en la demanda</w:t>
      </w:r>
      <w:r w:rsidR="005651AE" w:rsidRPr="00D15900">
        <w:rPr>
          <w:b w:val="0"/>
          <w:bCs/>
        </w:rPr>
        <w:t>; pero además expuso lo que se sintetiza a continuación:</w:t>
      </w:r>
    </w:p>
    <w:p w14:paraId="01CD6044" w14:textId="6C84D8F6" w:rsidR="00825F1D" w:rsidRPr="00825F1D" w:rsidRDefault="00825F1D" w:rsidP="00E81A25">
      <w:pPr>
        <w:pStyle w:val="Prrafo"/>
        <w:numPr>
          <w:ilvl w:val="0"/>
          <w:numId w:val="9"/>
        </w:numPr>
        <w:rPr>
          <w:lang w:val="es-ES"/>
        </w:rPr>
      </w:pPr>
      <w:r w:rsidRPr="00825F1D">
        <w:rPr>
          <w:lang w:val="es-ES"/>
        </w:rPr>
        <w:lastRenderedPageBreak/>
        <w:t>A</w:t>
      </w:r>
      <w:r w:rsidRPr="00825F1D">
        <w:t xml:space="preserve">firmó que el juez de distrito incurrió en error al sobreseer </w:t>
      </w:r>
      <w:r w:rsidR="00FF30D7">
        <w:t xml:space="preserve">en </w:t>
      </w:r>
      <w:r w:rsidRPr="00825F1D">
        <w:t>el juicio de amparo, pues sí cuenta con un interés jurídico actual, personal y directo. Explicó que el juez de control aplicó en su perjuicio el artículo 121 del Código Nacional de Procedimientos Penales, al declarar públicamente que su defensa era deficiente y advertir al imputado que podía sustituirlo por un defensor público.</w:t>
      </w:r>
    </w:p>
    <w:p w14:paraId="0DB18285" w14:textId="771464D3" w:rsidR="000E6EBF" w:rsidRPr="000E6EBF" w:rsidRDefault="000E6EBF" w:rsidP="000E6EBF">
      <w:pPr>
        <w:pStyle w:val="Prrafo"/>
        <w:numPr>
          <w:ilvl w:val="0"/>
          <w:numId w:val="9"/>
        </w:numPr>
      </w:pPr>
      <w:r w:rsidRPr="000E6EBF">
        <w:t>A su entender, dicha manifestación constituyó un acto de aplicación de la norma impugnada, ya que se configuraron los supuestos previstos en ese precepto —la presunta incapacidad técnica del defensor—. En consecuencia, se produjo una afectación inmediata a su esfera jurídica, en particular a su derecho al trabajo, al ejercicio profesional y a la honra derivada de su desempeño como abogado.</w:t>
      </w:r>
    </w:p>
    <w:p w14:paraId="569674C2" w14:textId="6E9B9084" w:rsidR="004975EC" w:rsidRPr="00BC7EF2" w:rsidRDefault="00BC7EF2" w:rsidP="009233DE">
      <w:pPr>
        <w:pStyle w:val="Prrafo"/>
        <w:numPr>
          <w:ilvl w:val="0"/>
          <w:numId w:val="9"/>
        </w:numPr>
        <w:rPr>
          <w:lang w:val="es-ES"/>
        </w:rPr>
      </w:pPr>
      <w:r w:rsidRPr="00BC7EF2">
        <w:t>Para sostener su postura, señaló que el artículo 5° constitucional protege la libertad de trabajo y prohíbe impedir el ejercicio profesional salvo por resolución judicial fundada o por causa justificada prevista en ley. En su caso, sostuvo, la aplicación del artículo 121 vulneró ese derecho, porque su separación de la defensa no se apoyó en una causa objetiva ni en hechos comprobables, sino en una valoración subjetiva del juez sobre su capacidad técnica.</w:t>
      </w:r>
    </w:p>
    <w:p w14:paraId="56463536" w14:textId="77777777" w:rsidR="00070F50" w:rsidRPr="00070F50" w:rsidRDefault="00070F50" w:rsidP="00E81A25">
      <w:pPr>
        <w:pStyle w:val="Prrafo"/>
        <w:numPr>
          <w:ilvl w:val="0"/>
          <w:numId w:val="9"/>
        </w:numPr>
        <w:rPr>
          <w:lang w:val="es-ES"/>
        </w:rPr>
      </w:pPr>
      <w:r w:rsidRPr="00070F50">
        <w:t>En esa línea, afirmó que el acto reclamado le impidió continuar ejerciendo su profesión dentro de un proceso en el que ya se había reconocido su carácter de defensor particular, lo cual representó una restricción indebida al derecho de ejercer la abogacía en condiciones de igualdad y seguridad jurídica.</w:t>
      </w:r>
    </w:p>
    <w:p w14:paraId="73F23DA2" w14:textId="4AC1C355" w:rsidR="00BB34AB" w:rsidRPr="00BB34AB" w:rsidRDefault="00BB34AB" w:rsidP="003E63F6">
      <w:pPr>
        <w:pStyle w:val="Prrafo"/>
        <w:numPr>
          <w:ilvl w:val="0"/>
          <w:numId w:val="9"/>
        </w:numPr>
        <w:rPr>
          <w:lang w:val="es-ES"/>
        </w:rPr>
      </w:pPr>
      <w:r w:rsidRPr="00BB34AB">
        <w:t xml:space="preserve">Además, recordó que esta Suprema Corte ha establecido que el interés jurídico se actualiza cuando una persona resulta directamente afectada por la aplicación concreta de una norma. Con base en jurisprudencias como la </w:t>
      </w:r>
      <w:r w:rsidR="00B5781B" w:rsidRPr="00BB34AB">
        <w:t>P./J. 30/96</w:t>
      </w:r>
      <w:r w:rsidR="00264CC8">
        <w:rPr>
          <w:rStyle w:val="Refdenotaalpie"/>
        </w:rPr>
        <w:footnoteReference w:id="8"/>
      </w:r>
      <w:r w:rsidRPr="00BB34AB">
        <w:t xml:space="preserve">, argumentó que la resolución del juez de control </w:t>
      </w:r>
      <w:r w:rsidRPr="00BB34AB">
        <w:lastRenderedPageBreak/>
        <w:t>constituye un acto de aplicación material del artículo 121 del Código Nacional de Procedimientos Penales, aun sin citarlo expresamente, pues se verificaron los supuestos que regula.</w:t>
      </w:r>
    </w:p>
    <w:p w14:paraId="3D5ECCB3" w14:textId="77777777" w:rsidR="00AD0FFD" w:rsidRPr="00AD0FFD" w:rsidRDefault="00AD0FFD" w:rsidP="00E81A25">
      <w:pPr>
        <w:pStyle w:val="Prrafo"/>
        <w:numPr>
          <w:ilvl w:val="0"/>
          <w:numId w:val="9"/>
        </w:numPr>
        <w:rPr>
          <w:lang w:val="es-ES"/>
        </w:rPr>
      </w:pPr>
      <w:r w:rsidRPr="00AD0FFD">
        <w:t>Derivado de lo anterior, concluyó que el sobreseimiento decretado por el juez de distrito fue indebido, ya que la improcedencia no puede fundarse en cuestiones que requieren un análisis de fondo, como sucede con la existencia del interés jurídico derivado del acto de aplicación.</w:t>
      </w:r>
    </w:p>
    <w:p w14:paraId="0417C634" w14:textId="0D5B0824" w:rsidR="00E402FE" w:rsidRPr="00BE2C96" w:rsidRDefault="00BE2C96" w:rsidP="00E81A25">
      <w:pPr>
        <w:pStyle w:val="Prrafo"/>
        <w:numPr>
          <w:ilvl w:val="0"/>
          <w:numId w:val="9"/>
        </w:numPr>
        <w:rPr>
          <w:lang w:val="es-ES"/>
        </w:rPr>
      </w:pPr>
      <w:r w:rsidRPr="00BE2C96">
        <w:t>Respecto del acto concreto</w:t>
      </w:r>
      <w:r>
        <w:t xml:space="preserve"> de aplicación</w:t>
      </w:r>
      <w:r w:rsidRPr="00BE2C96">
        <w:t>, sostuvo que la prevención formulada por el juez de control no fue un simple apercibimiento, sino una intervención directa que influyó en la voluntad del imputado. Según dijo, el acusado se sintió presionado a sustituirlo ante el temor de obtener una resolución desfavorable o de ser privado de su libertad.</w:t>
      </w:r>
    </w:p>
    <w:p w14:paraId="6BBB8FBD" w14:textId="5D42CFC7" w:rsidR="00936437" w:rsidRPr="00936437" w:rsidRDefault="00936437" w:rsidP="00137D77">
      <w:pPr>
        <w:pStyle w:val="Prrafo"/>
        <w:numPr>
          <w:ilvl w:val="0"/>
          <w:numId w:val="9"/>
        </w:numPr>
        <w:rPr>
          <w:lang w:val="es-ES"/>
        </w:rPr>
      </w:pPr>
      <w:r w:rsidRPr="00936437">
        <w:t>Aclaró que el consentimiento del imputado no elimina la afectación a su esfera jurídica, ya que la decisión del acusado estuvo condicionada por la advertencia judicial. A su juicio, esa elección no fue libre, sino inducida por la valoración negativa del juez respecto de su desempeño como defensor.</w:t>
      </w:r>
    </w:p>
    <w:p w14:paraId="1521173E" w14:textId="681CD336" w:rsidR="00226FE4" w:rsidRPr="00F67829" w:rsidRDefault="00F67829" w:rsidP="00137D77">
      <w:pPr>
        <w:pStyle w:val="Prrafo"/>
        <w:numPr>
          <w:ilvl w:val="0"/>
          <w:numId w:val="9"/>
        </w:numPr>
        <w:rPr>
          <w:lang w:val="es-ES"/>
        </w:rPr>
      </w:pPr>
      <w:r w:rsidRPr="00F67829">
        <w:t>En consecuencia, consideró que el juez de control confundió el ejercicio de sus facultades procesales con una evaluación de su capacidad técnica, lo que excede sus atribuciones y vulnera la independencia, la dignidad y el prestigio profesional del abogado defensor.</w:t>
      </w:r>
    </w:p>
    <w:p w14:paraId="4F12D73C" w14:textId="745DB7B4" w:rsidR="00F67829" w:rsidRPr="00F67829" w:rsidRDefault="00F67829" w:rsidP="00050C0A">
      <w:pPr>
        <w:pStyle w:val="Prrafo"/>
        <w:numPr>
          <w:ilvl w:val="0"/>
          <w:numId w:val="9"/>
        </w:numPr>
        <w:rPr>
          <w:lang w:val="es-ES"/>
        </w:rPr>
      </w:pPr>
      <w:r w:rsidRPr="00F67829">
        <w:t xml:space="preserve">Asimismo, señaló que el acto reclamado no puede considerarse consumado de manera irreparable, como sostuvo </w:t>
      </w:r>
      <w:r>
        <w:t>el juez de distrito</w:t>
      </w:r>
      <w:r w:rsidRPr="00F67829">
        <w:t>, pues la norma impugnada podría aplicarse nuevamente en su contra en el ejercicio futuro de su profesión. Por tanto, subsiste un interés jurídico actual para que se declare la inconstitucionalidad del artículo 121 del Código Nacional de Procedimientos Penales.</w:t>
      </w:r>
    </w:p>
    <w:p w14:paraId="09D3D258" w14:textId="709A25F9" w:rsidR="0028629A" w:rsidRPr="00E519AE" w:rsidRDefault="00E519AE" w:rsidP="00050C0A">
      <w:pPr>
        <w:pStyle w:val="Prrafo"/>
        <w:numPr>
          <w:ilvl w:val="0"/>
          <w:numId w:val="9"/>
        </w:numPr>
        <w:rPr>
          <w:lang w:val="es-ES"/>
        </w:rPr>
      </w:pPr>
      <w:r w:rsidRPr="00E519AE">
        <w:t xml:space="preserve">En razón de lo expuesto, solicitó revocar el sobreseimiento y ordenar al juez de distrito emitir una nueva resolución </w:t>
      </w:r>
      <w:r w:rsidR="008E17DA">
        <w:t xml:space="preserve">en la </w:t>
      </w:r>
      <w:r w:rsidRPr="00E519AE">
        <w:t xml:space="preserve">que </w:t>
      </w:r>
      <w:r w:rsidR="00540AE4">
        <w:t>se analice</w:t>
      </w:r>
      <w:r w:rsidRPr="00E519AE">
        <w:t xml:space="preserve"> de </w:t>
      </w:r>
      <w:r w:rsidRPr="00E519AE">
        <w:lastRenderedPageBreak/>
        <w:t>fondo la constitucionalidad del precepto y su aplicación en el caso concreto.</w:t>
      </w:r>
    </w:p>
    <w:p w14:paraId="412F66EC" w14:textId="2C9ECAAD" w:rsidR="00FA1C56" w:rsidRPr="00C241E8" w:rsidRDefault="00FA1C56" w:rsidP="0028629A">
      <w:pPr>
        <w:pStyle w:val="Prrafo"/>
        <w:numPr>
          <w:ilvl w:val="0"/>
          <w:numId w:val="9"/>
        </w:numPr>
        <w:rPr>
          <w:lang w:val="es-ES"/>
        </w:rPr>
      </w:pPr>
      <w:r w:rsidRPr="00C241E8">
        <w:rPr>
          <w:lang w:val="es-ES"/>
        </w:rPr>
        <w:t>Finalmente</w:t>
      </w:r>
      <w:r w:rsidR="00C241E8" w:rsidRPr="00C241E8">
        <w:t xml:space="preserve">, </w:t>
      </w:r>
      <w:r w:rsidR="00FB4AB6">
        <w:t>insistió en</w:t>
      </w:r>
      <w:r w:rsidR="00C241E8" w:rsidRPr="00C241E8">
        <w:t xml:space="preserve"> que la decisión de sobreseer </w:t>
      </w:r>
      <w:r w:rsidR="008E17DA">
        <w:t xml:space="preserve">en el </w:t>
      </w:r>
      <w:r w:rsidR="00C241E8" w:rsidRPr="00C241E8">
        <w:t xml:space="preserve">juicio </w:t>
      </w:r>
      <w:r w:rsidR="008E17DA">
        <w:t xml:space="preserve">constitucional </w:t>
      </w:r>
      <w:r w:rsidR="00C241E8" w:rsidRPr="00C241E8">
        <w:t>contradice la técnica procesal, ya que la supuesta falta de interés jurídico está estrechamente vinculada con el fondo del asunto. En su criterio, cuando la procedencia del amparo depende de determinar si un acto constituye o no aplicación de la norma impugnada, resulta indispensable abordar el estudio de fondo.</w:t>
      </w:r>
    </w:p>
    <w:p w14:paraId="08A3E8CD" w14:textId="5645E669" w:rsidR="008352D9" w:rsidRDefault="00FA1C56" w:rsidP="008352D9">
      <w:pPr>
        <w:pStyle w:val="Prrafo"/>
        <w:numPr>
          <w:ilvl w:val="0"/>
          <w:numId w:val="9"/>
        </w:numPr>
        <w:rPr>
          <w:lang w:val="es-ES"/>
        </w:rPr>
      </w:pPr>
      <w:r w:rsidRPr="00FB4AB6">
        <w:rPr>
          <w:lang w:val="es-ES"/>
        </w:rPr>
        <w:t>Por tanto, concluyó que el juzgado de distrito debió analizar si la prevención judicial efectuada en la audiencia</w:t>
      </w:r>
      <w:r w:rsidR="00964869">
        <w:rPr>
          <w:lang w:val="es-ES"/>
        </w:rPr>
        <w:t xml:space="preserve"> inicial</w:t>
      </w:r>
      <w:r w:rsidRPr="00FB4AB6">
        <w:rPr>
          <w:lang w:val="es-ES"/>
        </w:rPr>
        <w:t xml:space="preserve"> se fundó en el artículo 121 Código Nacional de Procedimientos Penales y si dicha norma es compatible con los derechos constitucionales </w:t>
      </w:r>
      <w:r w:rsidR="00964869">
        <w:rPr>
          <w:lang w:val="es-ES"/>
        </w:rPr>
        <w:t>y convencionales</w:t>
      </w:r>
      <w:r w:rsidRPr="00FB4AB6">
        <w:rPr>
          <w:lang w:val="es-ES"/>
        </w:rPr>
        <w:t xml:space="preserve"> invocados, en lugar de cerrar indebidamente el estudio por improcedencia.</w:t>
      </w:r>
    </w:p>
    <w:p w14:paraId="36D9BE53" w14:textId="71B50DF3" w:rsidR="0031350D" w:rsidRPr="0031350D" w:rsidRDefault="0031350D" w:rsidP="003463FE">
      <w:pPr>
        <w:pStyle w:val="Prrafo"/>
        <w:numPr>
          <w:ilvl w:val="0"/>
          <w:numId w:val="2"/>
        </w:numPr>
        <w:ind w:left="0" w:hanging="567"/>
      </w:pPr>
      <w:r>
        <w:t>Dado que el tribunal colegiado se ha pronunciado respecto de</w:t>
      </w:r>
      <w:r w:rsidR="000B0344">
        <w:t xml:space="preserve">l sobreseimiento </w:t>
      </w:r>
      <w:r w:rsidR="0020116C">
        <w:t>decretado en la sentencia recurrida, c</w:t>
      </w:r>
      <w:r w:rsidR="000B0344">
        <w:t xml:space="preserve">orresponde a esta Suprema Corte </w:t>
      </w:r>
      <w:r w:rsidR="0020116C">
        <w:t>proceder al estudio de fondo en la materia que es competencia de este tribunal constitucional.</w:t>
      </w:r>
    </w:p>
    <w:p w14:paraId="26A3E1DC" w14:textId="428E6B67" w:rsidR="00E928A5" w:rsidRPr="00E928A5" w:rsidRDefault="00A0751E" w:rsidP="00477E66">
      <w:pPr>
        <w:pStyle w:val="Ttulo3"/>
        <w:numPr>
          <w:ilvl w:val="0"/>
          <w:numId w:val="19"/>
        </w:numPr>
        <w:rPr>
          <w:lang w:val="es-ES"/>
        </w:rPr>
      </w:pPr>
      <w:r w:rsidRPr="00477E66">
        <w:rPr>
          <w:lang w:val="es-ES"/>
        </w:rPr>
        <w:t>ESTUDIO DE FONDO</w:t>
      </w:r>
    </w:p>
    <w:p w14:paraId="3776CD10" w14:textId="77777777" w:rsidR="00F30645" w:rsidRDefault="00F30645" w:rsidP="00F30645">
      <w:pPr>
        <w:pStyle w:val="Prrafo"/>
        <w:numPr>
          <w:ilvl w:val="0"/>
          <w:numId w:val="2"/>
        </w:numPr>
        <w:ind w:left="0" w:hanging="567"/>
      </w:pPr>
      <w:r>
        <w:t>Como se observa de la síntesis de los argumentos hechos valer a lo largo del juicio de amparo, la materia de este asunto, en lo que compete a esta Suprema Corte, se limita a verificar la compatibilidad constitucional, en abstracto, del artículo 121 del Código Nacional de Procedimientos Penales.</w:t>
      </w:r>
    </w:p>
    <w:p w14:paraId="63A5BA73" w14:textId="08EA0F4A" w:rsidR="00F30645" w:rsidRDefault="00F30645" w:rsidP="00F30645">
      <w:pPr>
        <w:pStyle w:val="Prrafo"/>
        <w:numPr>
          <w:ilvl w:val="0"/>
          <w:numId w:val="2"/>
        </w:numPr>
        <w:ind w:left="0" w:hanging="567"/>
      </w:pPr>
      <w:r>
        <w:t>El quejoso hizo valer en sus conceptos de violación —y reitera en sus agravios— que ese artículo vulnera el principio de seguridad jurídica, la libertad de profesión</w:t>
      </w:r>
      <w:r w:rsidR="003E0E69">
        <w:t>,</w:t>
      </w:r>
      <w:r>
        <w:t xml:space="preserve"> </w:t>
      </w:r>
      <w:r w:rsidR="003E0E69">
        <w:t xml:space="preserve">así como </w:t>
      </w:r>
      <w:r>
        <w:t xml:space="preserve">la dignidad y honra que le corresponde como abogado defensor. Alega que la norma también es contraria al derecho de defensa adecuada, pues </w:t>
      </w:r>
      <w:r w:rsidRPr="0099625C">
        <w:t xml:space="preserve">faculta indebidamente al juez a intervenir en la designación que realiza la persona procesada respecto de su defensor y, </w:t>
      </w:r>
      <w:r w:rsidRPr="0099625C">
        <w:lastRenderedPageBreak/>
        <w:t>además, afecta derechos o intereses constitucionalmente protegidos de quien ejerce esa función, en particular su autonomía profesional, de los cuales —afirma— depende el correcto desempeño de su labor</w:t>
      </w:r>
      <w:r>
        <w:t xml:space="preserve"> y ejercicio de su derecho al trabajo</w:t>
      </w:r>
      <w:r w:rsidRPr="0099625C">
        <w:t>.</w:t>
      </w:r>
    </w:p>
    <w:p w14:paraId="67EEAD3C" w14:textId="77777777" w:rsidR="00F30645" w:rsidRDefault="00F30645" w:rsidP="00F30645">
      <w:pPr>
        <w:pStyle w:val="Prrafo"/>
        <w:numPr>
          <w:ilvl w:val="0"/>
          <w:numId w:val="2"/>
        </w:numPr>
        <w:ind w:left="0" w:hanging="567"/>
      </w:pPr>
      <w:r>
        <w:t>Vale la pena citar textualmente la disposición reclamada:</w:t>
      </w:r>
    </w:p>
    <w:p w14:paraId="4A78C05F" w14:textId="77777777" w:rsidR="00F30645" w:rsidRPr="00140B4B" w:rsidRDefault="00F30645" w:rsidP="00F30645">
      <w:pPr>
        <w:pStyle w:val="Prrafo"/>
        <w:spacing w:before="120" w:after="120" w:line="240" w:lineRule="auto"/>
        <w:ind w:left="567" w:right="567"/>
        <w:rPr>
          <w:b/>
          <w:bCs/>
        </w:rPr>
      </w:pPr>
      <w:r w:rsidRPr="00140B4B">
        <w:rPr>
          <w:b/>
          <w:bCs/>
        </w:rPr>
        <w:t>Artículo 121. Garantía de la defensa técnica</w:t>
      </w:r>
    </w:p>
    <w:p w14:paraId="1578D3BB" w14:textId="77777777" w:rsidR="00F30645" w:rsidRDefault="00F30645" w:rsidP="00F30645">
      <w:pPr>
        <w:pStyle w:val="Prrafo"/>
        <w:spacing w:before="120" w:after="120" w:line="240" w:lineRule="auto"/>
        <w:ind w:left="567" w:right="567"/>
      </w:pPr>
      <w:r>
        <w:t>Siempre que el Órgano jurisdiccional advierta que existe una manifiesta y sistemática incapacidad técnica del Defensor, prevendrá al imputado para que designe otro.</w:t>
      </w:r>
    </w:p>
    <w:p w14:paraId="575F70E4" w14:textId="77777777" w:rsidR="00F30645" w:rsidRDefault="00F30645" w:rsidP="00F30645">
      <w:pPr>
        <w:pStyle w:val="Prrafo"/>
        <w:spacing w:before="120" w:after="120" w:line="240" w:lineRule="auto"/>
        <w:ind w:left="567" w:right="567"/>
      </w:pPr>
      <w:r>
        <w:t>Si se trata de un Defensor privado, el imputado contará con tres días para designar un nuevo Defensor. Si prevenido el imputado, no se designa otro, un Defensor público será asignado para colaborar en su defensa.</w:t>
      </w:r>
    </w:p>
    <w:p w14:paraId="037AD15E" w14:textId="77777777" w:rsidR="00F30645" w:rsidRDefault="00F30645" w:rsidP="00F30645">
      <w:pPr>
        <w:pStyle w:val="Prrafo"/>
        <w:spacing w:before="120" w:after="120" w:line="240" w:lineRule="auto"/>
        <w:ind w:left="567" w:right="567"/>
      </w:pPr>
      <w:r>
        <w:t>Si se trata de un Defensor público, con independencia de la responsabilidad en que incurriere, se dará vista al superior jerárquico para los efectos de sustitución.</w:t>
      </w:r>
    </w:p>
    <w:p w14:paraId="19BEC444" w14:textId="77777777" w:rsidR="00F30645" w:rsidRPr="0099625C" w:rsidRDefault="00F30645" w:rsidP="00F30645">
      <w:pPr>
        <w:pStyle w:val="Prrafo"/>
        <w:spacing w:before="120" w:after="360" w:line="240" w:lineRule="auto"/>
        <w:ind w:left="567" w:right="567"/>
      </w:pPr>
      <w:r>
        <w:t>En ambos casos se otorgará un término que no excederá de diez días para que se desarrolle una defensa adecuada a partir del acto que suscitó el cambio.</w:t>
      </w:r>
    </w:p>
    <w:p w14:paraId="467C1242" w14:textId="7225164C" w:rsidR="00F30645" w:rsidRDefault="00F30645" w:rsidP="00F30645">
      <w:pPr>
        <w:pStyle w:val="Prrafo"/>
        <w:numPr>
          <w:ilvl w:val="0"/>
          <w:numId w:val="2"/>
        </w:numPr>
        <w:ind w:left="0" w:hanging="567"/>
      </w:pPr>
      <w:r>
        <w:t xml:space="preserve">Como se observa, la disposición contiene una garantía del derecho de defensa adecuada a observar por las </w:t>
      </w:r>
      <w:r w:rsidR="00F350FA">
        <w:t xml:space="preserve">personas </w:t>
      </w:r>
      <w:r>
        <w:t>juzgadoras, quienes son las encargadas de vigilar que el proceso se desarrolle debidamente.</w:t>
      </w:r>
    </w:p>
    <w:p w14:paraId="20D5589A" w14:textId="77777777" w:rsidR="00F30645" w:rsidRDefault="00F30645" w:rsidP="00F30645">
      <w:pPr>
        <w:pStyle w:val="Prrafo"/>
        <w:numPr>
          <w:ilvl w:val="0"/>
          <w:numId w:val="2"/>
        </w:numPr>
        <w:ind w:left="0" w:hanging="567"/>
      </w:pPr>
      <w:r>
        <w:t>El quejoso cuestiona el artículo porque considera que no contiene parámetros objetivos para, en su caso, remover a una persona que ejerce el cargo de defensor de una persona sujeta a proceso penal. Así, aunque el análisis de constitucionalidad del artículo debe sujetarse a un parámetro de regularidad relacionado con el derecho a la defensa adecuada, pues se trata de una garantía para éste, también se habrá de verificar si la aplicación de este artículo puede tener como resultado una afectación en la esfera jurídica de los abogados defensores que sean constitucionalmente inadmisibles. Concretamente, frente al honor y autonomía para el desempeño de su profesión. En particular, cuando se trata de personas en la práctica privada.</w:t>
      </w:r>
    </w:p>
    <w:p w14:paraId="33B4D1A1" w14:textId="77777777" w:rsidR="00F30645" w:rsidRDefault="00F30645" w:rsidP="00F30645">
      <w:pPr>
        <w:pStyle w:val="Prrafo"/>
        <w:numPr>
          <w:ilvl w:val="0"/>
          <w:numId w:val="2"/>
        </w:numPr>
        <w:ind w:left="0" w:hanging="567"/>
      </w:pPr>
      <w:r w:rsidRPr="0039164D">
        <w:t xml:space="preserve">En otros términos, corresponde examinar si la norma impugnada genera una afectación injustificada al honor o a la autonomía profesional de quienes son </w:t>
      </w:r>
      <w:r w:rsidRPr="0039164D">
        <w:lastRenderedPageBreak/>
        <w:t>removidos del cargo de defensor por decisión judicial, adoptada con el propósito de garantizar la eficacia de la defensa técnica.</w:t>
      </w:r>
    </w:p>
    <w:p w14:paraId="3ADAE47B" w14:textId="4DA9CD29" w:rsidR="00F30645" w:rsidRDefault="00F30645" w:rsidP="00F30645">
      <w:pPr>
        <w:pStyle w:val="Prrafo"/>
        <w:numPr>
          <w:ilvl w:val="0"/>
          <w:numId w:val="2"/>
        </w:numPr>
        <w:ind w:left="0" w:hanging="567"/>
      </w:pPr>
      <w:r>
        <w:t>Sin embargo, es importante hacer una precisión: el parámetro de regularidad al que está indudablemente sujeta la medida contenida en el artículo 121 es evidentemente el que corresponde al derecho de defensa adecuada. En este sentido, la cuestión a determinar pasa por preguntar si esa medida persigue un fin legítimo y si es adecuada, razonable y proporciona</w:t>
      </w:r>
      <w:r w:rsidR="00854552">
        <w:t>l</w:t>
      </w:r>
      <w:r>
        <w:t xml:space="preserve"> para lograrlo.</w:t>
      </w:r>
    </w:p>
    <w:p w14:paraId="7A7C1819" w14:textId="77777777" w:rsidR="00F30645" w:rsidRPr="005E3545" w:rsidRDefault="00F30645" w:rsidP="00F30645">
      <w:pPr>
        <w:pStyle w:val="Prrafo"/>
        <w:numPr>
          <w:ilvl w:val="0"/>
          <w:numId w:val="2"/>
        </w:numPr>
        <w:ind w:left="0" w:hanging="567"/>
      </w:pPr>
      <w:r>
        <w:t>Para dar respuesta al problema jurídico que presenta el asunto —la constitucionalidad de la medida prevista en el artículo 121 del Código Nacional de Procedimientos Penales—</w:t>
      </w:r>
      <w:r w:rsidRPr="008C6391">
        <w:t xml:space="preserve">, el análisis se dividirá en dos apartados. En primer lugar, se precisará el parámetro de regularidad constitucional aplicable al derecho a una defensa adecuada, con referencia a los </w:t>
      </w:r>
      <w:r w:rsidRPr="000B3E4E">
        <w:t>precedentes más relevantes en la materia (</w:t>
      </w:r>
      <w:r w:rsidRPr="00897683">
        <w:rPr>
          <w:color w:val="1F3864" w:themeColor="accent1" w:themeShade="80"/>
        </w:rPr>
        <w:t>A</w:t>
      </w:r>
      <w:r w:rsidRPr="000B3E4E">
        <w:t>).</w:t>
      </w:r>
      <w:r w:rsidRPr="008C6391">
        <w:t xml:space="preserve"> En segundo lugar, se </w:t>
      </w:r>
      <w:r>
        <w:t>confronta el contenido del artículo con ese parámetro para establecer precisamente el marco que debe servir de base para su aplicación (</w:t>
      </w:r>
      <w:r w:rsidRPr="00897683">
        <w:rPr>
          <w:color w:val="1F3864" w:themeColor="accent1" w:themeShade="80"/>
        </w:rPr>
        <w:t>B</w:t>
      </w:r>
      <w:r>
        <w:t>)</w:t>
      </w:r>
      <w:r w:rsidRPr="008C6391">
        <w:t>.</w:t>
      </w:r>
    </w:p>
    <w:p w14:paraId="05B579FC" w14:textId="77777777" w:rsidR="00F30645" w:rsidRPr="00897683" w:rsidRDefault="00F30645" w:rsidP="00F30645">
      <w:pPr>
        <w:pStyle w:val="Ttulo4"/>
      </w:pPr>
      <w:r w:rsidRPr="00897683">
        <w:t>A. Derecho a una defensa técnicamente adecuada</w:t>
      </w:r>
    </w:p>
    <w:p w14:paraId="1E15789D" w14:textId="29208787" w:rsidR="00F30645" w:rsidRDefault="00F30645" w:rsidP="00F30645">
      <w:pPr>
        <w:pStyle w:val="Prrafo"/>
        <w:numPr>
          <w:ilvl w:val="0"/>
          <w:numId w:val="2"/>
        </w:numPr>
        <w:ind w:left="0" w:hanging="567"/>
      </w:pPr>
      <w:r w:rsidRPr="00480E7E">
        <w:t xml:space="preserve">El derecho a una defensa adecuada está </w:t>
      </w:r>
      <w:r>
        <w:t>reconocido</w:t>
      </w:r>
      <w:r w:rsidRPr="00480E7E">
        <w:t xml:space="preserve"> en el artículo 20, apartado B, fracción VIII</w:t>
      </w:r>
      <w:r>
        <w:rPr>
          <w:rStyle w:val="Refdenotaalpie"/>
        </w:rPr>
        <w:footnoteReference w:id="9"/>
      </w:r>
      <w:r w:rsidRPr="00480E7E">
        <w:t xml:space="preserve">, de la Constitución </w:t>
      </w:r>
      <w:r>
        <w:t xml:space="preserve">Política de los Estados Unidos Mexicanos, pero encuentra respaldo también </w:t>
      </w:r>
      <w:r w:rsidRPr="00480E7E">
        <w:t>en el artículo 8.2 de la Convención Americana sobre Derechos Humanos (en adelante, CADH)</w:t>
      </w:r>
      <w:r>
        <w:t xml:space="preserve">. Además, se ha dicho que se </w:t>
      </w:r>
      <w:r w:rsidRPr="00480E7E">
        <w:t>relaciona con el artículo 14 de la propia Constitución</w:t>
      </w:r>
      <w:r w:rsidR="006F6B39">
        <w:t xml:space="preserve"> Federal</w:t>
      </w:r>
      <w:r w:rsidRPr="00480E7E">
        <w:t>, pues constituye una parte central del derecho a un debido proceso.</w:t>
      </w:r>
    </w:p>
    <w:p w14:paraId="38C0DE20" w14:textId="77777777" w:rsidR="00F30645" w:rsidRPr="00E467EA" w:rsidRDefault="00F30645" w:rsidP="00F30645">
      <w:pPr>
        <w:pStyle w:val="Prrafo"/>
        <w:numPr>
          <w:ilvl w:val="0"/>
          <w:numId w:val="2"/>
        </w:numPr>
        <w:ind w:left="0" w:hanging="567"/>
      </w:pPr>
      <w:r w:rsidRPr="00E467EA">
        <w:lastRenderedPageBreak/>
        <w:t>Según la doctrina de esta Suprema Corte, este derecho tiene dos dimensiones: una formal y una material. Sobre ambas se ha pronunciado la Corte</w:t>
      </w:r>
      <w:r>
        <w:t>, conforme se desarrolla a continuación.</w:t>
      </w:r>
    </w:p>
    <w:p w14:paraId="5A164937" w14:textId="77777777" w:rsidR="00F30645" w:rsidRPr="00E30A20" w:rsidRDefault="00F30645" w:rsidP="00F30645">
      <w:pPr>
        <w:pStyle w:val="Ttulo6"/>
      </w:pPr>
      <w:r w:rsidRPr="00E30A20">
        <w:t>Defensa adecuada formal</w:t>
      </w:r>
    </w:p>
    <w:p w14:paraId="2403A9C9" w14:textId="686FB15B" w:rsidR="00F30645" w:rsidRPr="004E344D" w:rsidRDefault="00F30645" w:rsidP="00F30645">
      <w:pPr>
        <w:pStyle w:val="Prrafo"/>
        <w:numPr>
          <w:ilvl w:val="0"/>
          <w:numId w:val="2"/>
        </w:numPr>
        <w:ind w:left="0" w:hanging="567"/>
      </w:pPr>
      <w:r>
        <w:t xml:space="preserve">Esta Suprema Corte ha interpretado que </w:t>
      </w:r>
      <w:r w:rsidRPr="00897683">
        <w:t>el debido proceso comprende las formalidades esenciales</w:t>
      </w:r>
      <w:r w:rsidRPr="00480E7E">
        <w:rPr>
          <w:lang w:val="es-ES"/>
        </w:rPr>
        <w:t xml:space="preserve"> del procedimiento, las cuales se dividen en dos especies: el “núcleo duro” y el “elenco de garantías mínimo”</w:t>
      </w:r>
      <w:r w:rsidRPr="00315011">
        <w:rPr>
          <w:rStyle w:val="Refdenotaalpie"/>
        </w:rPr>
        <w:footnoteReference w:id="10"/>
      </w:r>
      <w:r>
        <w:rPr>
          <w:lang w:val="es-ES"/>
        </w:rPr>
        <w:t xml:space="preserve">. </w:t>
      </w:r>
      <w:r w:rsidRPr="00803DA7">
        <w:rPr>
          <w:lang w:val="es-ES"/>
        </w:rPr>
        <w:t>El</w:t>
      </w:r>
      <w:r>
        <w:rPr>
          <w:lang w:val="es-ES"/>
        </w:rPr>
        <w:t xml:space="preserve"> primero, el</w:t>
      </w:r>
      <w:r w:rsidRPr="00803DA7">
        <w:rPr>
          <w:lang w:val="es-ES"/>
        </w:rPr>
        <w:t xml:space="preserve"> núcleo duro contiene las garantías del debido proceso que permiten a los ciudadanos ejercer sus defensas antes de que las autoridades modifiquen sus esferas jurídicas definitivamente. Dichas garantías son: </w:t>
      </w:r>
      <w:r w:rsidRPr="00803DA7">
        <w:rPr>
          <w:b/>
          <w:bCs/>
          <w:lang w:val="es-ES"/>
        </w:rPr>
        <w:t>(i)</w:t>
      </w:r>
      <w:r w:rsidRPr="00803DA7">
        <w:rPr>
          <w:lang w:val="es-ES"/>
        </w:rPr>
        <w:t xml:space="preserve"> la notificación del inicio del procedimiento; </w:t>
      </w:r>
      <w:r w:rsidRPr="00803DA7">
        <w:rPr>
          <w:b/>
          <w:bCs/>
          <w:lang w:val="es-ES"/>
        </w:rPr>
        <w:t>(ii)</w:t>
      </w:r>
      <w:r w:rsidRPr="00803DA7">
        <w:rPr>
          <w:lang w:val="es-ES"/>
        </w:rPr>
        <w:t xml:space="preserve"> la oportunidad de ofrecer y desahogar las pruebas en que se finque la defensa; </w:t>
      </w:r>
      <w:r w:rsidRPr="00803DA7">
        <w:rPr>
          <w:b/>
          <w:bCs/>
          <w:lang w:val="es-ES"/>
        </w:rPr>
        <w:t>(iii)</w:t>
      </w:r>
      <w:r w:rsidRPr="00803DA7">
        <w:rPr>
          <w:lang w:val="es-ES"/>
        </w:rPr>
        <w:t xml:space="preserve"> la oportunidad de alegar; y, </w:t>
      </w:r>
      <w:r w:rsidRPr="00803DA7">
        <w:rPr>
          <w:b/>
          <w:bCs/>
          <w:lang w:val="es-ES"/>
        </w:rPr>
        <w:t>(iv)</w:t>
      </w:r>
      <w:r w:rsidRPr="00803DA7">
        <w:rPr>
          <w:lang w:val="es-ES"/>
        </w:rPr>
        <w:t xml:space="preserve"> una resolución que dirima las cuestiones debatidas y cuya impugnación ha sido considerada por </w:t>
      </w:r>
      <w:r w:rsidR="007E7F8A">
        <w:rPr>
          <w:lang w:val="es-ES"/>
        </w:rPr>
        <w:t xml:space="preserve">la </w:t>
      </w:r>
      <w:r w:rsidR="009C6876">
        <w:rPr>
          <w:lang w:val="es-ES"/>
        </w:rPr>
        <w:t>extinta</w:t>
      </w:r>
      <w:r w:rsidRPr="00803DA7">
        <w:rPr>
          <w:lang w:val="es-ES"/>
        </w:rPr>
        <w:t xml:space="preserve"> Primera Sala como parte de esta formalidad.</w:t>
      </w:r>
    </w:p>
    <w:p w14:paraId="3B953F97" w14:textId="77777777" w:rsidR="00F30645" w:rsidRPr="004E344D" w:rsidRDefault="00F30645" w:rsidP="00F30645">
      <w:pPr>
        <w:pStyle w:val="Prrafo"/>
        <w:numPr>
          <w:ilvl w:val="0"/>
          <w:numId w:val="2"/>
        </w:numPr>
        <w:ind w:left="0" w:hanging="567"/>
      </w:pPr>
      <w:r w:rsidRPr="004E344D">
        <w:rPr>
          <w:lang w:val="es-ES"/>
        </w:rPr>
        <w:t>El conjunto identificado como “</w:t>
      </w:r>
      <w:r w:rsidRPr="004E344D">
        <w:rPr>
          <w:i/>
          <w:lang w:val="es-ES"/>
        </w:rPr>
        <w:t>garantías mínimas”</w:t>
      </w:r>
      <w:r w:rsidRPr="004E344D">
        <w:rPr>
          <w:lang w:val="es-ES"/>
        </w:rPr>
        <w:t xml:space="preserve"> incluye aquellas que corresponden a todas las personas, pero además abarca a aquellas personas en estado de vulnerabilidad que requieren un refuerzo a su derecho y un trato diferenciado. Por ejemplo, los grupos indígenas, que además del deber de estar asistidos por un licenciado en derecho deberán estar acompañados de un intérprete.</w:t>
      </w:r>
      <w:r w:rsidRPr="00175ABF">
        <w:rPr>
          <w:rStyle w:val="Refdenotaalpie"/>
          <w:lang w:val="es-ES"/>
        </w:rPr>
        <w:footnoteReference w:id="11"/>
      </w:r>
    </w:p>
    <w:p w14:paraId="67B546D7" w14:textId="77777777" w:rsidR="00F30645" w:rsidRPr="004670B1" w:rsidRDefault="00F30645" w:rsidP="00F30645">
      <w:pPr>
        <w:pStyle w:val="Prrafo"/>
        <w:numPr>
          <w:ilvl w:val="0"/>
          <w:numId w:val="2"/>
        </w:numPr>
        <w:ind w:left="0" w:hanging="567"/>
      </w:pPr>
      <w:r>
        <w:t>En ese sentido, e</w:t>
      </w:r>
      <w:r w:rsidRPr="004E344D">
        <w:rPr>
          <w:lang w:val="es-ES"/>
        </w:rPr>
        <w:t>l derecho a una defensa adecuada forma parte del “elenco de garantías mínimo” que debe tener toda persona, pues así se garantiza la observancia de las formalidades esenciales del procedimiento y, por lo tanto, su derecho de debido proceso.</w:t>
      </w:r>
      <w:r>
        <w:rPr>
          <w:rStyle w:val="Refdenotaalpie"/>
          <w:lang w:val="es-ES"/>
        </w:rPr>
        <w:footnoteReference w:id="12"/>
      </w:r>
    </w:p>
    <w:p w14:paraId="306B8EC8" w14:textId="06F7018C" w:rsidR="00F30645" w:rsidRDefault="00F30645" w:rsidP="00F30645">
      <w:pPr>
        <w:pStyle w:val="Prrafo"/>
        <w:numPr>
          <w:ilvl w:val="0"/>
          <w:numId w:val="2"/>
        </w:numPr>
        <w:ind w:left="0" w:hanging="567"/>
      </w:pPr>
      <w:r w:rsidRPr="004670B1">
        <w:rPr>
          <w:lang w:val="es-ES"/>
        </w:rPr>
        <w:lastRenderedPageBreak/>
        <w:t>Al resolver los amparos directos 8/2008</w:t>
      </w:r>
      <w:r w:rsidRPr="000D1708">
        <w:rPr>
          <w:vertAlign w:val="superscript"/>
          <w:lang w:val="es-ES"/>
        </w:rPr>
        <w:footnoteReference w:id="13"/>
      </w:r>
      <w:r w:rsidRPr="004670B1">
        <w:rPr>
          <w:lang w:val="es-ES"/>
        </w:rPr>
        <w:t xml:space="preserve">, </w:t>
      </w:r>
      <w:bookmarkStart w:id="0" w:name="_Hlk87262348"/>
      <w:r w:rsidRPr="004670B1">
        <w:rPr>
          <w:lang w:val="es-ES"/>
        </w:rPr>
        <w:t>9/2008</w:t>
      </w:r>
      <w:r w:rsidRPr="000D1708">
        <w:rPr>
          <w:vertAlign w:val="superscript"/>
          <w:lang w:val="es-ES"/>
        </w:rPr>
        <w:footnoteReference w:id="14"/>
      </w:r>
      <w:r w:rsidRPr="004670B1">
        <w:rPr>
          <w:lang w:val="es-ES"/>
        </w:rPr>
        <w:t>, 10/2008</w:t>
      </w:r>
      <w:r w:rsidRPr="000D1708">
        <w:rPr>
          <w:vertAlign w:val="superscript"/>
          <w:lang w:val="es-ES"/>
        </w:rPr>
        <w:footnoteReference w:id="15"/>
      </w:r>
      <w:r w:rsidRPr="004670B1">
        <w:rPr>
          <w:lang w:val="es-ES"/>
        </w:rPr>
        <w:t xml:space="preserve"> y 33/2008</w:t>
      </w:r>
      <w:r w:rsidRPr="000D1708">
        <w:rPr>
          <w:vertAlign w:val="superscript"/>
          <w:lang w:val="es-ES"/>
        </w:rPr>
        <w:footnoteReference w:id="16"/>
      </w:r>
      <w:r w:rsidRPr="004670B1">
        <w:rPr>
          <w:lang w:val="es-ES"/>
        </w:rPr>
        <w:t xml:space="preserve">, </w:t>
      </w:r>
      <w:bookmarkEnd w:id="0"/>
      <w:r w:rsidRPr="004670B1">
        <w:rPr>
          <w:lang w:val="es-ES"/>
        </w:rPr>
        <w:t>esta Suprema Corte determinó</w:t>
      </w:r>
      <w:r w:rsidRPr="004670B1">
        <w:t xml:space="preserve"> que el derecho a la defensa adecuada consiste en dar oportunidad a toda persona inculpada </w:t>
      </w:r>
      <w:r w:rsidR="00E54AA0">
        <w:t xml:space="preserve">a </w:t>
      </w:r>
      <w:r w:rsidRPr="004670B1">
        <w:t xml:space="preserve">que sea asistida por un defensor, quien deberá tener la posibilidad de aportar pruebas, promover medios de impugnación, exponer argumentos de derecho y utilizar </w:t>
      </w:r>
      <w:r w:rsidRPr="004670B1">
        <w:rPr>
          <w:lang w:val="es-ES"/>
        </w:rPr>
        <w:t>los</w:t>
      </w:r>
      <w:r w:rsidRPr="004670B1">
        <w:t xml:space="preserve"> beneficios procesales que la legislación correspondiente establezca para la defensa.</w:t>
      </w:r>
    </w:p>
    <w:p w14:paraId="29515EFB" w14:textId="77777777" w:rsidR="00F30645" w:rsidRPr="00452D12" w:rsidRDefault="00F30645" w:rsidP="00F30645">
      <w:pPr>
        <w:pStyle w:val="Prrafo"/>
        <w:numPr>
          <w:ilvl w:val="0"/>
          <w:numId w:val="2"/>
        </w:numPr>
        <w:ind w:left="0" w:hanging="567"/>
      </w:pPr>
      <w:r w:rsidRPr="004670B1">
        <w:rPr>
          <w:lang w:val="es-CR"/>
        </w:rPr>
        <w:t xml:space="preserve">En este orden de ideas, la entonces Primera Sala también ha sostenido que un componente central del debido proceso lo constituye el derecho a gozar de una defensa adecuada, porque de esta forma se obliga al Estado a tratar al individuo en todo momento como un verdadero </w:t>
      </w:r>
      <w:r w:rsidRPr="004670B1">
        <w:rPr>
          <w:bCs/>
          <w:iCs/>
          <w:lang w:val="es-CR"/>
        </w:rPr>
        <w:t>sujeto del proceso, en el más amplio sentido de este concepto, y no simplemente como objeto del mismo</w:t>
      </w:r>
      <w:r w:rsidRPr="0058674D">
        <w:rPr>
          <w:bCs/>
          <w:iCs/>
          <w:vertAlign w:val="superscript"/>
          <w:lang w:val="es-CR"/>
        </w:rPr>
        <w:footnoteReference w:id="17"/>
      </w:r>
      <w:r>
        <w:rPr>
          <w:bCs/>
          <w:iCs/>
          <w:lang w:val="es-CR"/>
        </w:rPr>
        <w:t>.</w:t>
      </w:r>
    </w:p>
    <w:p w14:paraId="31B5923C" w14:textId="5619772F" w:rsidR="00F30645" w:rsidRPr="00B55D88" w:rsidRDefault="00F30645" w:rsidP="00F30645">
      <w:pPr>
        <w:pStyle w:val="Prrafo"/>
        <w:numPr>
          <w:ilvl w:val="0"/>
          <w:numId w:val="2"/>
        </w:numPr>
        <w:ind w:left="0" w:hanging="567"/>
      </w:pPr>
      <w:r w:rsidRPr="00452D12">
        <w:rPr>
          <w:lang w:val="es-ES"/>
        </w:rPr>
        <w:t xml:space="preserve">Ahora bien, </w:t>
      </w:r>
      <w:r w:rsidRPr="00452D12">
        <w:t xml:space="preserve">para garantizar una defensa adecuada en los términos previstos por la Constitución </w:t>
      </w:r>
      <w:r w:rsidR="0038253F">
        <w:t xml:space="preserve">Federal </w:t>
      </w:r>
      <w:r w:rsidRPr="00452D12">
        <w:t>es necesario que se satisfagan distintos requisitos, entre ellos: la defensa debe recaer sobre una persona libremente elegida o, en su caso, en un defensor público; la defensa debe estar a cargo de una persona con licenciatura en derecho y cédula profesional; asimismo, deben verificarse ciertas condiciones para que un defensor esté en posibilidad de asesorar diligentemente al imputado.</w:t>
      </w:r>
    </w:p>
    <w:p w14:paraId="1DB7D37A" w14:textId="77777777" w:rsidR="00F30645" w:rsidRPr="009B6D58" w:rsidRDefault="00F30645" w:rsidP="00F30645">
      <w:pPr>
        <w:pStyle w:val="Ttulo7"/>
      </w:pPr>
      <w:r w:rsidRPr="009B6D58">
        <w:lastRenderedPageBreak/>
        <w:t>1. Derecho a elegir libremente a un defensor o a ser asistido por un defensor público</w:t>
      </w:r>
    </w:p>
    <w:p w14:paraId="3038B455" w14:textId="77777777" w:rsidR="00F30645" w:rsidRPr="005238FD" w:rsidRDefault="00F30645" w:rsidP="00F30645">
      <w:pPr>
        <w:pStyle w:val="Prrafo"/>
        <w:numPr>
          <w:ilvl w:val="0"/>
          <w:numId w:val="2"/>
        </w:numPr>
        <w:ind w:left="0" w:hanging="567"/>
        <w:rPr>
          <w:lang w:val="es-ES"/>
        </w:rPr>
      </w:pPr>
      <w:r w:rsidRPr="000533DB">
        <w:t xml:space="preserve">Como se mencionó previamente, </w:t>
      </w:r>
      <w:r w:rsidRPr="000533DB">
        <w:rPr>
          <w:lang w:val="es-CR"/>
        </w:rPr>
        <w:t xml:space="preserve">el debido proceso y el derecho a una defensa adecuada buscan que los individuos sean tratados por el Estado como verdaderos </w:t>
      </w:r>
      <w:r w:rsidRPr="007646FB">
        <w:rPr>
          <w:lang w:val="es-CR"/>
        </w:rPr>
        <w:t>sujetos</w:t>
      </w:r>
      <w:r w:rsidRPr="007646FB">
        <w:rPr>
          <w:iCs/>
          <w:lang w:val="es-CR"/>
        </w:rPr>
        <w:t xml:space="preserve"> del </w:t>
      </w:r>
      <w:r w:rsidRPr="005238FD">
        <w:rPr>
          <w:lang w:val="es-ES"/>
        </w:rPr>
        <w:t>proceso (en el más amplio sentido del concepto) y no simplemente como objetos del mismo.</w:t>
      </w:r>
    </w:p>
    <w:p w14:paraId="0A6ADF86" w14:textId="77777777" w:rsidR="00F30645" w:rsidRPr="005238FD" w:rsidRDefault="00F30645" w:rsidP="00F30645">
      <w:pPr>
        <w:pStyle w:val="Prrafo"/>
        <w:numPr>
          <w:ilvl w:val="0"/>
          <w:numId w:val="2"/>
        </w:numPr>
        <w:ind w:left="0" w:hanging="567"/>
        <w:rPr>
          <w:lang w:val="es-ES"/>
        </w:rPr>
      </w:pPr>
      <w:r w:rsidRPr="005238FD">
        <w:rPr>
          <w:lang w:val="es-ES"/>
        </w:rPr>
        <w:t>El tratamiento como sujetos del proceso se logra, entre otras formas, al permitir que la persona acusada sea quien elija libremente a su defensor. Se busca que la parte imputada autónomamente decida la persona o institución que considere adecuada para conducir su defensa.</w:t>
      </w:r>
    </w:p>
    <w:p w14:paraId="410DC576" w14:textId="0746BE29" w:rsidR="00F30645" w:rsidRDefault="00F30645" w:rsidP="00F30645">
      <w:pPr>
        <w:pStyle w:val="Prrafo"/>
        <w:numPr>
          <w:ilvl w:val="0"/>
          <w:numId w:val="2"/>
        </w:numPr>
        <w:ind w:left="0" w:hanging="567"/>
      </w:pPr>
      <w:r w:rsidRPr="005238FD">
        <w:rPr>
          <w:lang w:val="es-ES"/>
        </w:rPr>
        <w:t>En este orden de ideas, el artículo</w:t>
      </w:r>
      <w:r w:rsidRPr="002E352A">
        <w:t xml:space="preserve"> 20</w:t>
      </w:r>
      <w:r w:rsidR="0092799F">
        <w:t>, apartado B, fracción VIII</w:t>
      </w:r>
      <w:r w:rsidRPr="002E352A">
        <w:t xml:space="preserve"> de la Constitución </w:t>
      </w:r>
      <w:r>
        <w:t>Federal</w:t>
      </w:r>
      <w:r w:rsidRPr="002E352A">
        <w:t xml:space="preserve"> establece que toda persona imputada tendrá derecho a una defensa adecuada por abogado, al cual </w:t>
      </w:r>
      <w:r>
        <w:t>“</w:t>
      </w:r>
      <w:r w:rsidRPr="006279CB">
        <w:rPr>
          <w:iCs/>
        </w:rPr>
        <w:t>elegirá libremente</w:t>
      </w:r>
      <w:r w:rsidRPr="002E352A">
        <w:t xml:space="preserve"> incluso desde el momento de su detención</w:t>
      </w:r>
      <w:r>
        <w:t>”.</w:t>
      </w:r>
    </w:p>
    <w:p w14:paraId="485D1908" w14:textId="0A23B3B4" w:rsidR="00F30645" w:rsidRDefault="00F30645" w:rsidP="00F30645">
      <w:pPr>
        <w:pStyle w:val="Prrafo"/>
        <w:numPr>
          <w:ilvl w:val="0"/>
          <w:numId w:val="2"/>
        </w:numPr>
        <w:ind w:left="0" w:hanging="567"/>
      </w:pPr>
      <w:r w:rsidRPr="005238FD">
        <w:t xml:space="preserve">El derecho a elegir libremente a un defensor no se agota en la designación que se hace inicialmente. La voluntad de optar por uno u otro defensor se hace explícita en un primer momento, pero ésta no se extingue, sino que permanece latente. Se trata de un derecho que implícitamente se renueva en cada entrevista o audiencia en la que intervienen ambas partes procesales y deciden continuar su relación. Este derecho puede hacerse notar de nueva cuenta si el imputado decide redirigir el rumbo de la defensa y realiza un cambio de </w:t>
      </w:r>
      <w:r w:rsidR="005145AC">
        <w:t>persona abogada</w:t>
      </w:r>
      <w:r>
        <w:rPr>
          <w:rStyle w:val="Refdenotaalpie"/>
        </w:rPr>
        <w:footnoteReference w:id="18"/>
      </w:r>
      <w:r w:rsidR="006010D9">
        <w:t>.</w:t>
      </w:r>
    </w:p>
    <w:p w14:paraId="36962797" w14:textId="77777777" w:rsidR="00F30645" w:rsidRDefault="00F30645" w:rsidP="00F30645">
      <w:pPr>
        <w:pStyle w:val="Prrafo"/>
        <w:numPr>
          <w:ilvl w:val="0"/>
          <w:numId w:val="2"/>
        </w:numPr>
        <w:ind w:left="0" w:hanging="567"/>
      </w:pPr>
      <w:r w:rsidRPr="005238FD">
        <w:t xml:space="preserve">La facultad para elegir un defensor no es ilimitada. Como todos los derechos, cuenta con matices y restricciones. Por mencionar algunas modulaciones: la persona que se designe como defensor necesariamente debe ser licenciado en derecho; en caso de personas indígenas o extranjeros, la defensa debe </w:t>
      </w:r>
      <w:r w:rsidRPr="005238FD">
        <w:lastRenderedPageBreak/>
        <w:t>cubrir ciertos requisitos lingüísticos o culturales</w:t>
      </w:r>
      <w:r>
        <w:rPr>
          <w:rStyle w:val="Refdenotaalpie"/>
        </w:rPr>
        <w:footnoteReference w:id="19"/>
      </w:r>
      <w:r w:rsidRPr="005238FD">
        <w:t>; además, un mismo defensor no puede asistir a diversos coimputados cuando exista el riesgo de un conflicto de intereses.</w:t>
      </w:r>
    </w:p>
    <w:p w14:paraId="3979A3F9" w14:textId="77777777" w:rsidR="00F30645" w:rsidRDefault="00F30645" w:rsidP="00F30645">
      <w:pPr>
        <w:pStyle w:val="Prrafo"/>
        <w:numPr>
          <w:ilvl w:val="0"/>
          <w:numId w:val="2"/>
        </w:numPr>
        <w:ind w:left="0" w:hanging="567"/>
      </w:pPr>
      <w:r w:rsidRPr="005238FD">
        <w:t>Probablemente, la restricción más relevante es que no es optativo para la persona imputada llevar la defensa sin el acompañamiento de un defensor. Dentro del universo de opciones en la elección de una defensa, no se encuentra la posibilidad de prescindir o rechazar la asistencia de un abogado.</w:t>
      </w:r>
    </w:p>
    <w:p w14:paraId="0A945250" w14:textId="6DE373CB" w:rsidR="00F30645" w:rsidRDefault="00F30645" w:rsidP="00F30645">
      <w:pPr>
        <w:pStyle w:val="Prrafo"/>
        <w:numPr>
          <w:ilvl w:val="0"/>
          <w:numId w:val="2"/>
        </w:numPr>
        <w:ind w:left="0" w:hanging="567"/>
      </w:pPr>
      <w:r w:rsidRPr="009E7FB8">
        <w:t>Ante la necesidad de contar con un defensor para garantizar un debido proceso y dadas las dificultades o costos que esto puede implicar, la Constitución</w:t>
      </w:r>
      <w:r w:rsidR="00CC3D68">
        <w:t xml:space="preserve"> Federal</w:t>
      </w:r>
      <w:r w:rsidRPr="009E7FB8">
        <w:t xml:space="preserve"> agrega que: “s</w:t>
      </w:r>
      <w:r w:rsidRPr="009E7FB8">
        <w:rPr>
          <w:rFonts w:eastAsia="Calibri"/>
        </w:rPr>
        <w:t>i (el imputado) no quiere o no puede nombrar un abogado, después de haber sido requerido para hacerlo, el juez le designará un defensor público</w:t>
      </w:r>
      <w:r w:rsidRPr="009E7FB8">
        <w:t>”.</w:t>
      </w:r>
    </w:p>
    <w:p w14:paraId="77268C25" w14:textId="77777777" w:rsidR="00F30645" w:rsidRDefault="00F30645" w:rsidP="00F30645">
      <w:pPr>
        <w:pStyle w:val="Prrafo"/>
        <w:numPr>
          <w:ilvl w:val="0"/>
          <w:numId w:val="2"/>
        </w:numPr>
        <w:ind w:left="0" w:hanging="567"/>
      </w:pPr>
      <w:r w:rsidRPr="009E7FB8">
        <w:t>Cuando un defensor público es asignado, la parte procesada no manifiesta su voluntad de la misma forma en que ocurriría cuando se elige un defensor particular. Sin embargo, ello no significa que la parte imputada pierda protagonismo o control sobre ciertas decisiones de su defensa.</w:t>
      </w:r>
    </w:p>
    <w:p w14:paraId="1CDB536A" w14:textId="77777777" w:rsidR="00F30645" w:rsidRDefault="00F30645" w:rsidP="00F30645">
      <w:pPr>
        <w:pStyle w:val="Prrafo"/>
        <w:numPr>
          <w:ilvl w:val="0"/>
          <w:numId w:val="2"/>
        </w:numPr>
        <w:ind w:left="0" w:hanging="567"/>
      </w:pPr>
      <w:r w:rsidRPr="009E7FB8">
        <w:t xml:space="preserve">Como más adelante se explicará, el rol de las defensorías públicas está estrechamente ligado con la erradicación de desigualdades. Los defensores públicos no sólo asisten a un imputado frente a una acusación, sino que desarrollan una función social. Se pretende que sus servicios contrarresten la intervención selectiva del derecho penal y eviten que desigualdades socioeconómicas condicionen las posibilidades de defensa de las personas con menos recursos. Se busca que este tipo de instituciones garanticen un reconocimiento, audiencia o involucramiento a lo largo del proceso penal que, de otra forma, podrían ver disminuido. </w:t>
      </w:r>
    </w:p>
    <w:p w14:paraId="251BD99C" w14:textId="16B170A2" w:rsidR="00F30645" w:rsidRDefault="00F30645" w:rsidP="00F30645">
      <w:pPr>
        <w:pStyle w:val="Prrafo"/>
        <w:numPr>
          <w:ilvl w:val="0"/>
          <w:numId w:val="2"/>
        </w:numPr>
        <w:ind w:left="0" w:hanging="567"/>
      </w:pPr>
      <w:r w:rsidRPr="009E7FB8">
        <w:lastRenderedPageBreak/>
        <w:t>Por lo tanto, si bien la designación de un</w:t>
      </w:r>
      <w:r w:rsidR="00873FE8">
        <w:t xml:space="preserve">a persona </w:t>
      </w:r>
      <w:r w:rsidRPr="009E7FB8">
        <w:t>defensor</w:t>
      </w:r>
      <w:r w:rsidR="00873FE8">
        <w:t>a</w:t>
      </w:r>
      <w:r w:rsidRPr="009E7FB8">
        <w:t xml:space="preserve"> públic</w:t>
      </w:r>
      <w:r w:rsidR="00873FE8">
        <w:t>a</w:t>
      </w:r>
      <w:r w:rsidRPr="009E7FB8">
        <w:t xml:space="preserve"> puede (en ciertos casos) ser una decisión subrogada por parte del Estado, con ello se busca que la parte imputada </w:t>
      </w:r>
      <w:r w:rsidRPr="009E7FB8">
        <w:rPr>
          <w:lang w:val="es-ES"/>
        </w:rPr>
        <w:t>—</w:t>
      </w:r>
      <w:r w:rsidRPr="009E7FB8">
        <w:t>quien no puede hacerse de un defensor particular</w:t>
      </w:r>
      <w:r w:rsidRPr="009E7FB8">
        <w:rPr>
          <w:lang w:val="es-ES"/>
        </w:rPr>
        <w:t>—</w:t>
      </w:r>
      <w:r w:rsidRPr="009E7FB8">
        <w:t xml:space="preserve"> reciba la misma atención, el mismo respeto y trato que hubiera prestado un defensor libremente elegido. En otras palabras, se justifica que las autoridades asuman la facultad de elegir a un defensor, porque se espera que la alternativa (la asignación de un defensor público) se equipar</w:t>
      </w:r>
      <w:r w:rsidR="003460A3">
        <w:t>e</w:t>
      </w:r>
      <w:r w:rsidRPr="009E7FB8">
        <w:t xml:space="preserve"> al defensor que una persona elegiría, pero no está en condiciones de pagar.</w:t>
      </w:r>
    </w:p>
    <w:p w14:paraId="3877EFD1" w14:textId="77777777" w:rsidR="00F30645" w:rsidRPr="00692840" w:rsidRDefault="00F30645" w:rsidP="00F30645">
      <w:pPr>
        <w:pStyle w:val="Prrafo"/>
        <w:numPr>
          <w:ilvl w:val="0"/>
          <w:numId w:val="2"/>
        </w:numPr>
        <w:ind w:left="0" w:hanging="567"/>
      </w:pPr>
      <w:r w:rsidRPr="00692840">
        <w:t>Ahora bien, ya sea que la defensa de una persona recaiga en un defensor público o privado, en ambos casos se debe acreditar que cuente con la calidad de licenciado en derecho y cédula profesional.</w:t>
      </w:r>
    </w:p>
    <w:p w14:paraId="6C37FCF7" w14:textId="77777777" w:rsidR="00F30645" w:rsidRPr="00F766B7" w:rsidRDefault="00F30645" w:rsidP="00F30645">
      <w:pPr>
        <w:pStyle w:val="Ttulo7"/>
      </w:pPr>
      <w:r w:rsidRPr="00F766B7">
        <w:t>2</w:t>
      </w:r>
      <w:r>
        <w:t>.</w:t>
      </w:r>
      <w:r w:rsidRPr="00F766B7">
        <w:t xml:space="preserve"> Derecho a ser asistido por una persona con licenciatura en derecho y cédula profesional</w:t>
      </w:r>
    </w:p>
    <w:p w14:paraId="3AF079FB" w14:textId="77777777" w:rsidR="00F30645" w:rsidRDefault="00F30645" w:rsidP="00F30645">
      <w:pPr>
        <w:pStyle w:val="Prrafo"/>
        <w:numPr>
          <w:ilvl w:val="0"/>
          <w:numId w:val="2"/>
        </w:numPr>
        <w:ind w:left="0" w:hanging="567"/>
      </w:pPr>
      <w:r w:rsidRPr="00F766B7">
        <w:t xml:space="preserve">Al delinear las cualidades que debe tener la defensa de un imputado, </w:t>
      </w:r>
      <w:r>
        <w:t xml:space="preserve">esta Suprema Corte </w:t>
      </w:r>
      <w:r w:rsidRPr="00F766B7">
        <w:t xml:space="preserve">ha enfatizado la necesidad de que dicha defensa corra a cargo de una persona con </w:t>
      </w:r>
      <w:r w:rsidRPr="00692840">
        <w:t>licenciatura en derecho y cédula profesional.</w:t>
      </w:r>
    </w:p>
    <w:p w14:paraId="36845B8A" w14:textId="1186B878" w:rsidR="00F30645" w:rsidRPr="007A77B2" w:rsidRDefault="00F30645" w:rsidP="00F30645">
      <w:pPr>
        <w:pStyle w:val="Prrafo"/>
        <w:numPr>
          <w:ilvl w:val="0"/>
          <w:numId w:val="2"/>
        </w:numPr>
        <w:ind w:left="0" w:hanging="567"/>
      </w:pPr>
      <w:r>
        <w:t>P</w:t>
      </w:r>
      <w:r w:rsidRPr="00CA6E13">
        <w:t xml:space="preserve">revio </w:t>
      </w:r>
      <w:r w:rsidRPr="00692840">
        <w:rPr>
          <w:lang w:val="es-ES"/>
        </w:rPr>
        <w:t>a la reforma constitucional de 18 de junio de 2008, el artículo 20 de la Constitución Política de los Estados Unidos Mexicanos</w:t>
      </w:r>
      <w:r w:rsidRPr="00C211E4">
        <w:rPr>
          <w:rStyle w:val="Refdenotaalpie"/>
          <w:lang w:val="es-ES"/>
        </w:rPr>
        <w:footnoteReference w:id="20"/>
      </w:r>
      <w:r w:rsidRPr="00692840">
        <w:rPr>
          <w:lang w:val="es-ES"/>
        </w:rPr>
        <w:t xml:space="preserve"> permitía que el imputado se defendiera por sí mismo, por medio de una persona de confianza, o bien por medio de un abogado defensor.</w:t>
      </w:r>
      <w:r>
        <w:rPr>
          <w:rStyle w:val="Refdenotaalpie"/>
          <w:lang w:val="es-ES"/>
        </w:rPr>
        <w:footnoteReference w:id="21"/>
      </w:r>
      <w:r>
        <w:t xml:space="preserve"> Sin embargo, e</w:t>
      </w:r>
      <w:r w:rsidRPr="00692840">
        <w:rPr>
          <w:lang w:val="es-ES"/>
        </w:rPr>
        <w:t xml:space="preserve">n el proceso legislativo de </w:t>
      </w:r>
      <w:r w:rsidR="0017246E">
        <w:rPr>
          <w:lang w:val="es-ES"/>
        </w:rPr>
        <w:t>dicha enmienda constitucional</w:t>
      </w:r>
      <w:r w:rsidRPr="00692840">
        <w:rPr>
          <w:lang w:val="es-ES"/>
        </w:rPr>
        <w:t xml:space="preserve">, el Congreso de la Unión se separó de lo establecido en la Convención Americana de Derechos </w:t>
      </w:r>
      <w:r w:rsidRPr="00692840">
        <w:rPr>
          <w:lang w:val="es-ES"/>
        </w:rPr>
        <w:lastRenderedPageBreak/>
        <w:t>Humanos</w:t>
      </w:r>
      <w:r w:rsidRPr="00DA1C4C">
        <w:rPr>
          <w:rStyle w:val="Refdenotaalpie"/>
          <w:lang w:val="es-ES"/>
        </w:rPr>
        <w:footnoteReference w:id="22"/>
      </w:r>
      <w:r w:rsidRPr="00692840">
        <w:rPr>
          <w:lang w:val="es-ES"/>
        </w:rPr>
        <w:t xml:space="preserve"> y en el Pacto Internacional de Derechos Civiles y Políticos</w:t>
      </w:r>
      <w:r w:rsidRPr="00DA1C4C">
        <w:rPr>
          <w:rStyle w:val="Refdenotaalpie"/>
          <w:lang w:val="es-ES"/>
        </w:rPr>
        <w:footnoteReference w:id="23"/>
      </w:r>
      <w:r w:rsidRPr="00692840">
        <w:rPr>
          <w:lang w:val="es-ES"/>
        </w:rPr>
        <w:t xml:space="preserve"> al restringir el universo de posibles defensores a aquellos que sean licenciados en derecho. De esta manera, el artículo 20, apartado B, fracción VIII, de la Constitución Política de los Estados Unidos Mexicanos</w:t>
      </w:r>
      <w:r w:rsidRPr="00DA1C4C">
        <w:rPr>
          <w:rStyle w:val="Refdenotaalpie"/>
          <w:lang w:val="es-ES"/>
        </w:rPr>
        <w:footnoteReference w:id="24"/>
      </w:r>
      <w:r w:rsidRPr="00692840">
        <w:rPr>
          <w:lang w:val="es-ES"/>
        </w:rPr>
        <w:t xml:space="preserve"> prevé el derecho fundamental de todos los imputados a ser defendidos por un abogado</w:t>
      </w:r>
      <w:r w:rsidRPr="00DA1C4C">
        <w:rPr>
          <w:rStyle w:val="Refdenotaalpie"/>
          <w:lang w:val="es-ES"/>
        </w:rPr>
        <w:footnoteReference w:id="25"/>
      </w:r>
      <w:r>
        <w:rPr>
          <w:lang w:val="es-ES"/>
        </w:rPr>
        <w:t>.</w:t>
      </w:r>
    </w:p>
    <w:p w14:paraId="0EB8904E" w14:textId="764FFF75" w:rsidR="00F30645" w:rsidRDefault="00F30645" w:rsidP="00F30645">
      <w:pPr>
        <w:pStyle w:val="Prrafo"/>
        <w:numPr>
          <w:ilvl w:val="0"/>
          <w:numId w:val="2"/>
        </w:numPr>
        <w:ind w:left="0" w:hanging="567"/>
      </w:pPr>
      <w:r w:rsidRPr="007A77B2">
        <w:t xml:space="preserve">Así, este </w:t>
      </w:r>
      <w:r w:rsidR="002D7A0A">
        <w:t>Alto T</w:t>
      </w:r>
      <w:r w:rsidRPr="007A77B2">
        <w:t xml:space="preserve">ribunal ha concluido que la parte imputada debe ser representada por una </w:t>
      </w:r>
      <w:r w:rsidRPr="007A77B2">
        <w:rPr>
          <w:bCs/>
        </w:rPr>
        <w:t>persona con licenciatura en derecho,</w:t>
      </w:r>
      <w:r w:rsidRPr="007A77B2">
        <w:t xml:space="preserve"> pues de este modo contará con la capacidad técnica para asesorar y apreciar lo que jurídicamente le es conveniente al inculpado. Estas características no se satisfacen con la sola asistencia de una persona de confianza, de ahí la necesidad de contar con un profesionista en derecho</w:t>
      </w:r>
      <w:r>
        <w:rPr>
          <w:rStyle w:val="Refdenotaalpie"/>
        </w:rPr>
        <w:footnoteReference w:id="26"/>
      </w:r>
      <w:r>
        <w:t>.</w:t>
      </w:r>
    </w:p>
    <w:p w14:paraId="5984CBA3" w14:textId="44FF7F6B" w:rsidR="00F30645" w:rsidRPr="007A77B2" w:rsidRDefault="00F30645" w:rsidP="00F30645">
      <w:pPr>
        <w:pStyle w:val="Prrafo"/>
        <w:numPr>
          <w:ilvl w:val="0"/>
          <w:numId w:val="2"/>
        </w:numPr>
        <w:ind w:left="0" w:hanging="567"/>
      </w:pPr>
      <w:r w:rsidRPr="007A77B2">
        <w:lastRenderedPageBreak/>
        <w:t>Esta conclusión ha sido reiterada en diversos precedentes. Por ejemplo, en</w:t>
      </w:r>
      <w:r w:rsidRPr="007A77B2">
        <w:rPr>
          <w:lang w:val="es-ES"/>
        </w:rPr>
        <w:t xml:space="preserve"> los amparos directos en revisión </w:t>
      </w:r>
      <w:bookmarkStart w:id="1" w:name="_Hlk87262759"/>
      <w:r w:rsidRPr="007A77B2">
        <w:rPr>
          <w:lang w:val="es-ES"/>
        </w:rPr>
        <w:t>844/2014</w:t>
      </w:r>
      <w:r w:rsidRPr="00DB24CB">
        <w:rPr>
          <w:rStyle w:val="Refdenotaalpie"/>
          <w:lang w:val="es-ES"/>
        </w:rPr>
        <w:footnoteReference w:id="27"/>
      </w:r>
      <w:r w:rsidRPr="007A77B2">
        <w:rPr>
          <w:lang w:val="es-ES"/>
        </w:rPr>
        <w:t>, 3048/2014</w:t>
      </w:r>
      <w:r w:rsidRPr="00DB24CB">
        <w:rPr>
          <w:rStyle w:val="Refdenotaalpie"/>
          <w:lang w:val="es-ES"/>
        </w:rPr>
        <w:footnoteReference w:id="28"/>
      </w:r>
      <w:r w:rsidRPr="007A77B2">
        <w:rPr>
          <w:lang w:val="es-ES"/>
        </w:rPr>
        <w:t xml:space="preserve"> y 3250/201</w:t>
      </w:r>
      <w:r w:rsidR="00C0070B">
        <w:rPr>
          <w:lang w:val="es-ES"/>
        </w:rPr>
        <w:t>3</w:t>
      </w:r>
      <w:r w:rsidRPr="00DB24CB">
        <w:rPr>
          <w:rStyle w:val="Refdenotaalpie"/>
          <w:lang w:val="es-ES"/>
        </w:rPr>
        <w:footnoteReference w:id="29"/>
      </w:r>
      <w:r w:rsidRPr="007A77B2">
        <w:rPr>
          <w:lang w:val="es-ES"/>
        </w:rPr>
        <w:t xml:space="preserve">, </w:t>
      </w:r>
      <w:bookmarkEnd w:id="1"/>
      <w:r w:rsidRPr="007A77B2">
        <w:rPr>
          <w:lang w:val="es-ES"/>
        </w:rPr>
        <w:t xml:space="preserve">la </w:t>
      </w:r>
      <w:r w:rsidR="003C5524">
        <w:rPr>
          <w:lang w:val="es-ES"/>
        </w:rPr>
        <w:t xml:space="preserve">extinta Primera </w:t>
      </w:r>
      <w:r w:rsidRPr="007A77B2">
        <w:rPr>
          <w:lang w:val="es-ES"/>
        </w:rPr>
        <w:t>Sala resolvió que la asistencia técnica proporcionada a los imputados debe ser por persona con calidad de licenciado en derecho; de lo contrario, existirá una violación al derecho de defensa adecuada.</w:t>
      </w:r>
    </w:p>
    <w:p w14:paraId="56851B1C" w14:textId="5FAA2A1E" w:rsidR="00F30645" w:rsidRDefault="00F30645" w:rsidP="00F30645">
      <w:pPr>
        <w:pStyle w:val="Prrafo"/>
        <w:numPr>
          <w:ilvl w:val="0"/>
          <w:numId w:val="2"/>
        </w:numPr>
        <w:ind w:left="0" w:hanging="567"/>
      </w:pPr>
      <w:r w:rsidRPr="007A77B2">
        <w:t xml:space="preserve">Debido a la interrelación que existe entre el derecho a una defensa adecuada y el debido proceso, </w:t>
      </w:r>
      <w:r w:rsidR="00E96D80">
        <w:t xml:space="preserve">esta </w:t>
      </w:r>
      <w:r>
        <w:t>Suprema Corte</w:t>
      </w:r>
      <w:r w:rsidRPr="007A77B2">
        <w:t xml:space="preserve"> ha resuelto que la defensa proporcionada por alguien que no cuente con la calidad de licenciado en derecho </w:t>
      </w:r>
      <w:r w:rsidRPr="007A77B2">
        <w:rPr>
          <w:lang w:val="es-ES"/>
        </w:rPr>
        <w:t>—</w:t>
      </w:r>
      <w:r w:rsidRPr="007A77B2">
        <w:t>en cualquier etapa procedimental</w:t>
      </w:r>
      <w:r w:rsidRPr="007A77B2">
        <w:rPr>
          <w:lang w:val="es-ES"/>
        </w:rPr>
        <w:t>—</w:t>
      </w:r>
      <w:r w:rsidRPr="007A77B2">
        <w:t xml:space="preserve"> no sólo constituye una violación al derecho de defensa </w:t>
      </w:r>
      <w:r w:rsidR="00E96D80">
        <w:t xml:space="preserve">adecuada </w:t>
      </w:r>
      <w:r w:rsidRPr="007A77B2">
        <w:t>del inculpado, sino que también representa una violación al derecho humano de debido proceso.</w:t>
      </w:r>
    </w:p>
    <w:p w14:paraId="4B6DD46B" w14:textId="08F6BB0F" w:rsidR="00F30645" w:rsidRDefault="00F30645" w:rsidP="00F30645">
      <w:pPr>
        <w:pStyle w:val="Prrafo"/>
        <w:numPr>
          <w:ilvl w:val="0"/>
          <w:numId w:val="2"/>
        </w:numPr>
        <w:ind w:left="0" w:hanging="567"/>
      </w:pPr>
      <w:r w:rsidRPr="007C7EC6">
        <w:t xml:space="preserve">De forma correlativa al reconocimiento de este requisito por parte de la defensa, </w:t>
      </w:r>
      <w:r w:rsidR="00610CA9">
        <w:t xml:space="preserve">esta </w:t>
      </w:r>
      <w:r>
        <w:t>Suprema Corte</w:t>
      </w:r>
      <w:r w:rsidRPr="007C7EC6">
        <w:t xml:space="preserve"> ha descrito la obligación que tienen los defensores de exhibir su cédula profesional y el deber por parte de la autoridad judicial de verificar y constatar que el abogado defensor cuente con la calidad del licenciado en derecho</w:t>
      </w:r>
      <w:r>
        <w:rPr>
          <w:rStyle w:val="Refdenotaalpie"/>
        </w:rPr>
        <w:footnoteReference w:id="30"/>
      </w:r>
      <w:r>
        <w:t>.</w:t>
      </w:r>
    </w:p>
    <w:p w14:paraId="4F7ADF24" w14:textId="3ACC79AF" w:rsidR="00F30645" w:rsidRDefault="00F30645" w:rsidP="00F30645">
      <w:pPr>
        <w:pStyle w:val="Prrafo"/>
        <w:numPr>
          <w:ilvl w:val="0"/>
          <w:numId w:val="2"/>
        </w:numPr>
        <w:ind w:left="0" w:hanging="567"/>
      </w:pPr>
      <w:r w:rsidRPr="007C7EC6">
        <w:t xml:space="preserve">Al detallar el cumplimiento de este deber, </w:t>
      </w:r>
      <w:r w:rsidR="005A4A54">
        <w:t>este Alto Tribunal</w:t>
      </w:r>
      <w:r w:rsidRPr="007C7EC6">
        <w:t xml:space="preserve"> ha explicado que las credenciales de una persona como licenciada en derecho no deben presumirse. </w:t>
      </w:r>
      <w:r>
        <w:t>E</w:t>
      </w:r>
      <w:r w:rsidRPr="007C7EC6">
        <w:t>ste tipo de inferencias no son válidas si no existe sustento alguno de esa formación.</w:t>
      </w:r>
      <w:r>
        <w:rPr>
          <w:rStyle w:val="Refdenotaalpie"/>
        </w:rPr>
        <w:footnoteReference w:id="31"/>
      </w:r>
    </w:p>
    <w:p w14:paraId="37CF52DA" w14:textId="3C2CFDE5" w:rsidR="00F30645" w:rsidRDefault="00F30645" w:rsidP="00F30645">
      <w:pPr>
        <w:pStyle w:val="Prrafo"/>
        <w:numPr>
          <w:ilvl w:val="0"/>
          <w:numId w:val="2"/>
        </w:numPr>
        <w:ind w:left="0" w:hanging="567"/>
      </w:pPr>
      <w:r>
        <w:lastRenderedPageBreak/>
        <w:t>I</w:t>
      </w:r>
      <w:r w:rsidRPr="007C7EC6">
        <w:t xml:space="preserve">ncluso en el caso de defensores públicos donde la normatividad correspondiente </w:t>
      </w:r>
      <w:r w:rsidR="00345AD7">
        <w:t>exige</w:t>
      </w:r>
      <w:r w:rsidRPr="007C7EC6">
        <w:t xml:space="preserve"> como requisito para ejercer esa función contar con la cédula profesional de licenciado en derecho y se argumente que correspondió a dicha dependencia verificar esa situación, no es válido presumir que dichos defensores sean licenciados en derecho. Por el contrario, esa cualidad debe quedar plenamente acreditada.</w:t>
      </w:r>
      <w:r>
        <w:rPr>
          <w:rStyle w:val="Refdenotaalpie"/>
        </w:rPr>
        <w:footnoteReference w:id="32"/>
      </w:r>
    </w:p>
    <w:p w14:paraId="27AA48D1" w14:textId="34386DE2" w:rsidR="00F30645" w:rsidRDefault="00F30645" w:rsidP="00F30645">
      <w:pPr>
        <w:pStyle w:val="Prrafo"/>
        <w:numPr>
          <w:ilvl w:val="0"/>
          <w:numId w:val="2"/>
        </w:numPr>
        <w:ind w:left="0" w:hanging="567"/>
      </w:pPr>
      <w:r w:rsidRPr="000871D4">
        <w:t xml:space="preserve">En el mismo orden de ideas, en las contradicciones de tesis 405/2017 y 1/2020, esta Suprema Corte resolvió que, a fin de garantizar el derecho </w:t>
      </w:r>
      <w:r w:rsidR="00345AD7">
        <w:t xml:space="preserve">a </w:t>
      </w:r>
      <w:r w:rsidRPr="000871D4">
        <w:t>una defensa adecuada en un proceso penal acusatorio, el defensor del imputado debe acreditar su calidad de licenciado en derecho con el registro previo de su cédula profesional en los sistemas de registro o ante los empleados judiciales designados para tal efecto. Dicha acreditación debe constar en la videograbación de la audiencia (tanto inicial como de juicio oral) y la autoridad judicial debe verificar y constatar que los datos son verídicos</w:t>
      </w:r>
      <w:r>
        <w:rPr>
          <w:rStyle w:val="Refdenotaalpie"/>
        </w:rPr>
        <w:footnoteReference w:id="33"/>
      </w:r>
      <w:r w:rsidRPr="000871D4">
        <w:t>.</w:t>
      </w:r>
    </w:p>
    <w:p w14:paraId="4AB848AD" w14:textId="258C4282" w:rsidR="00F30645" w:rsidRPr="0080219F" w:rsidRDefault="00F30645" w:rsidP="00F30645">
      <w:pPr>
        <w:pStyle w:val="Prrafo"/>
        <w:numPr>
          <w:ilvl w:val="0"/>
          <w:numId w:val="2"/>
        </w:numPr>
        <w:ind w:left="0" w:hanging="567"/>
      </w:pPr>
      <w:r>
        <w:t xml:space="preserve">Los pronunciamientos de </w:t>
      </w:r>
      <w:r w:rsidR="00EB2158">
        <w:t xml:space="preserve">esta Suprema </w:t>
      </w:r>
      <w:r>
        <w:t xml:space="preserve">Corte derivan del análisis minucioso de </w:t>
      </w:r>
      <w:r w:rsidRPr="00113EF0">
        <w:t>las obligaciones de juzgadores y defensores previstas en el Código Nacional de Procedimientos Penales.</w:t>
      </w:r>
      <w:r>
        <w:t xml:space="preserve"> Se destacaron </w:t>
      </w:r>
      <w:r w:rsidRPr="00113EF0">
        <w:rPr>
          <w:color w:val="000000" w:themeColor="text1"/>
          <w:lang w:val="es-ES"/>
        </w:rPr>
        <w:t>las obligaciones de los juzgadores para respetar el derecho de defensa adecuada</w:t>
      </w:r>
      <w:r>
        <w:rPr>
          <w:color w:val="000000" w:themeColor="text1"/>
          <w:lang w:val="es-ES"/>
        </w:rPr>
        <w:t>, entre las cuales se encuentra la de asegurar</w:t>
      </w:r>
      <w:r w:rsidRPr="00113EF0">
        <w:rPr>
          <w:color w:val="000000"/>
          <w:lang w:val="es-ES"/>
        </w:rPr>
        <w:t xml:space="preserve"> que se satisfacen las condiciones que posibilitan </w:t>
      </w:r>
      <w:r w:rsidRPr="00113EF0">
        <w:rPr>
          <w:color w:val="000000"/>
          <w:lang w:val="es-ES"/>
        </w:rPr>
        <w:lastRenderedPageBreak/>
        <w:t>la defensa adecuada, incluyendo, que el imputado sea asistido por un</w:t>
      </w:r>
      <w:r w:rsidR="00197C9C">
        <w:rPr>
          <w:color w:val="000000"/>
          <w:lang w:val="es-ES"/>
        </w:rPr>
        <w:t xml:space="preserve">a persona </w:t>
      </w:r>
      <w:r w:rsidRPr="00113EF0">
        <w:rPr>
          <w:color w:val="000000"/>
          <w:lang w:val="es-ES"/>
        </w:rPr>
        <w:t>defensor</w:t>
      </w:r>
      <w:r w:rsidR="00197C9C">
        <w:rPr>
          <w:color w:val="000000"/>
          <w:lang w:val="es-ES"/>
        </w:rPr>
        <w:t xml:space="preserve">a </w:t>
      </w:r>
      <w:r w:rsidRPr="00C664AB">
        <w:rPr>
          <w:rStyle w:val="Refdenotaalpie"/>
          <w:color w:val="000000"/>
          <w:lang w:val="es-ES"/>
        </w:rPr>
        <w:footnoteReference w:id="34"/>
      </w:r>
      <w:r w:rsidRPr="00113EF0">
        <w:rPr>
          <w:color w:val="000000"/>
          <w:lang w:val="es-ES"/>
        </w:rPr>
        <w:t>.</w:t>
      </w:r>
    </w:p>
    <w:p w14:paraId="1AC8EB05" w14:textId="77777777" w:rsidR="00F30645" w:rsidRPr="0080219F" w:rsidRDefault="00F30645" w:rsidP="00F30645">
      <w:pPr>
        <w:pStyle w:val="Prrafo"/>
        <w:numPr>
          <w:ilvl w:val="0"/>
          <w:numId w:val="2"/>
        </w:numPr>
        <w:ind w:left="0" w:hanging="567"/>
      </w:pPr>
      <w:r w:rsidRPr="00383B87">
        <w:t>Por tanto, como se resolvió en la contradicción de tesis 1/2020, una form</w:t>
      </w:r>
      <w:r w:rsidRPr="0080219F">
        <w:rPr>
          <w:color w:val="000000" w:themeColor="text1"/>
          <w:lang w:val="es-ES"/>
        </w:rPr>
        <w:t>a o medio legal para hacer cumplir el derecho a ser defendido por un licenciado en derecho será la obligación de los jueces de verificar las credenciales de los defensores en la audiencia de juicio oral.</w:t>
      </w:r>
    </w:p>
    <w:p w14:paraId="28ECCDF3" w14:textId="77777777" w:rsidR="00F30645" w:rsidRPr="000533DB" w:rsidRDefault="00F30645" w:rsidP="00F30645">
      <w:pPr>
        <w:pStyle w:val="Ttulo7"/>
      </w:pPr>
      <w:r w:rsidRPr="000533DB">
        <w:t>3</w:t>
      </w:r>
      <w:r>
        <w:t>.</w:t>
      </w:r>
      <w:r w:rsidRPr="000533DB">
        <w:t xml:space="preserve"> Condiciones para que un defensor esté en posibilidad de asesorar diligentemente al imputado</w:t>
      </w:r>
    </w:p>
    <w:p w14:paraId="1FA5A06C" w14:textId="77777777" w:rsidR="00F30645" w:rsidRPr="00383B87" w:rsidRDefault="00F30645" w:rsidP="00F30645">
      <w:pPr>
        <w:pStyle w:val="Prrafo"/>
        <w:numPr>
          <w:ilvl w:val="0"/>
          <w:numId w:val="2"/>
        </w:numPr>
        <w:ind w:left="0" w:hanging="567"/>
      </w:pPr>
      <w:r>
        <w:t xml:space="preserve">En apartados previos hemos enfatizado la importancia de contar con un defensor libremente elegido o, en su caso, que el imputado reciba los servicios de un defensor público. Asimismo, se ha destacado la relevancia </w:t>
      </w:r>
      <w:r w:rsidRPr="00F766B7">
        <w:t xml:space="preserve">de que la defensa corra a cargo de una persona con licenciatura en derecho y cédula profesional. Sin desconocer la necesidad de satisfacer los requisitos previamente </w:t>
      </w:r>
      <w:r w:rsidRPr="0080219F">
        <w:rPr>
          <w:color w:val="000000" w:themeColor="text1"/>
          <w:lang w:val="es-ES"/>
        </w:rPr>
        <w:t xml:space="preserve">expuestos, contar con la asistencia de una persona con licenciatura en derecho y cédula profesional no es suficiente para garantizar una defensa </w:t>
      </w:r>
      <w:r w:rsidRPr="00383B87">
        <w:t>adecuada.</w:t>
      </w:r>
    </w:p>
    <w:p w14:paraId="30080B1A" w14:textId="77777777" w:rsidR="00F30645" w:rsidRDefault="00F30645" w:rsidP="00F30645">
      <w:pPr>
        <w:pStyle w:val="Prrafo"/>
        <w:numPr>
          <w:ilvl w:val="0"/>
          <w:numId w:val="2"/>
        </w:numPr>
        <w:ind w:left="0" w:hanging="567"/>
      </w:pPr>
      <w:r w:rsidRPr="00383B87">
        <w:t>Esta Suprema Corte ha explicado que la defensa adecuada no debe ser un mero requisito</w:t>
      </w:r>
      <w:r w:rsidRPr="00CE4303">
        <w:t xml:space="preserve"> formal, sino que requiere la participación efectiva de la parte imputada y su defensa en el procedimiento.</w:t>
      </w:r>
      <w:r>
        <w:t xml:space="preserve"> </w:t>
      </w:r>
      <w:r w:rsidRPr="00CE4303">
        <w:t>Por ello, se ha enfatizado que la persona detenida puede ejercer el derecho a defenderse desde que es puesto a disposición del ministerio público y durante la etapa del procedimiento penal. Desde ese momento, la persona detenida cuenta con el derecho a que su defensa, entendida como asesoría legal, esté presente físicamente y en posibilidad de brindarle una asesoría adecuada</w:t>
      </w:r>
      <w:r w:rsidRPr="002819EA">
        <w:rPr>
          <w:rStyle w:val="Refdenotaalpie"/>
        </w:rPr>
        <w:footnoteReference w:id="35"/>
      </w:r>
      <w:r>
        <w:t>.</w:t>
      </w:r>
    </w:p>
    <w:p w14:paraId="3F9EC34E" w14:textId="77777777" w:rsidR="00F30645" w:rsidRDefault="00F30645" w:rsidP="00F30645">
      <w:pPr>
        <w:pStyle w:val="Prrafo"/>
        <w:numPr>
          <w:ilvl w:val="0"/>
          <w:numId w:val="2"/>
        </w:numPr>
        <w:ind w:left="0" w:hanging="567"/>
      </w:pPr>
      <w:r>
        <w:lastRenderedPageBreak/>
        <w:t>Se explicó</w:t>
      </w:r>
      <w:r w:rsidRPr="00383B87">
        <w:t xml:space="preserve"> la importancia de otorgar un tiempo y los medios necesarios para la preparación de una defensa.</w:t>
      </w:r>
      <w:r>
        <w:t xml:space="preserve"> A</w:t>
      </w:r>
      <w:r w:rsidRPr="00C664AB">
        <w:t>l resolver la contradicción de tesis 160/2006-PS</w:t>
      </w:r>
      <w:r w:rsidRPr="00A23688">
        <w:rPr>
          <w:vertAlign w:val="superscript"/>
        </w:rPr>
        <w:footnoteReference w:id="36"/>
      </w:r>
      <w:r w:rsidRPr="00C664AB">
        <w:t xml:space="preserve">, </w:t>
      </w:r>
      <w:r>
        <w:t xml:space="preserve">se dijo </w:t>
      </w:r>
      <w:r w:rsidRPr="00C664AB">
        <w:t>que la designación oficiosa de un defensor público violaba el derecho de defensa adecuada, si ésta se hacía únicamente para llevar a cabo una audiencia, sin que el defensor recién nombrado pudiera enterarse de los pormenores del caso, imponerse de las actuaciones, pruebas y argumentos, o tener contacto con la persona procesada.</w:t>
      </w:r>
    </w:p>
    <w:p w14:paraId="48B75F87" w14:textId="110BEB1C" w:rsidR="00F30645" w:rsidRDefault="00F30645" w:rsidP="00F30645">
      <w:pPr>
        <w:pStyle w:val="Prrafo"/>
        <w:numPr>
          <w:ilvl w:val="0"/>
          <w:numId w:val="2"/>
        </w:numPr>
        <w:ind w:left="0" w:hanging="567"/>
      </w:pPr>
      <w:r w:rsidRPr="00463A92">
        <w:t xml:space="preserve">En </w:t>
      </w:r>
      <w:r>
        <w:t xml:space="preserve">ese </w:t>
      </w:r>
      <w:r w:rsidRPr="00463A92">
        <w:t xml:space="preserve">mismo precedente, </w:t>
      </w:r>
      <w:r>
        <w:t xml:space="preserve">se precisó </w:t>
      </w:r>
      <w:r w:rsidRPr="00463A92">
        <w:t xml:space="preserve">que para respetar la voluntad de la persona procesada de nombrar al defensor que </w:t>
      </w:r>
      <w:r w:rsidR="0078430D">
        <w:t xml:space="preserve">desee </w:t>
      </w:r>
      <w:r w:rsidRPr="00463A92">
        <w:t xml:space="preserve">y </w:t>
      </w:r>
      <w:r w:rsidR="0078430D">
        <w:t xml:space="preserve">así </w:t>
      </w:r>
      <w:r w:rsidRPr="00463A92">
        <w:t>protegerl</w:t>
      </w:r>
      <w:r w:rsidR="0078430D">
        <w:t>a</w:t>
      </w:r>
      <w:r w:rsidRPr="00463A92">
        <w:t xml:space="preserve"> para que no </w:t>
      </w:r>
      <w:r w:rsidR="0078430D">
        <w:t xml:space="preserve">quede </w:t>
      </w:r>
      <w:r w:rsidRPr="00463A92">
        <w:t xml:space="preserve">en estado de vulnerabilidad, debía concedérsele tanto la posibilidad de </w:t>
      </w:r>
      <w:r w:rsidR="00805567">
        <w:t>designar</w:t>
      </w:r>
      <w:r w:rsidRPr="00463A92">
        <w:t xml:space="preserve"> a la persona que </w:t>
      </w:r>
      <w:r w:rsidR="00805567">
        <w:t>considere</w:t>
      </w:r>
      <w:r w:rsidRPr="00463A92">
        <w:t>, así como el tiempo y los medios para preparar su defensa.</w:t>
      </w:r>
    </w:p>
    <w:p w14:paraId="3DD88FDD" w14:textId="77777777" w:rsidR="00F30645" w:rsidRDefault="00F30645" w:rsidP="00F30645">
      <w:pPr>
        <w:pStyle w:val="Prrafo"/>
        <w:numPr>
          <w:ilvl w:val="0"/>
          <w:numId w:val="2"/>
        </w:numPr>
        <w:ind w:left="0" w:hanging="567"/>
      </w:pPr>
      <w:r>
        <w:t>E</w:t>
      </w:r>
      <w:r w:rsidRPr="00E63FF6">
        <w:t>n el amparo directo en revisión 4374/2018</w:t>
      </w:r>
      <w:r w:rsidRPr="00C664AB">
        <w:rPr>
          <w:rStyle w:val="Refdenotaalpie"/>
        </w:rPr>
        <w:footnoteReference w:id="37"/>
      </w:r>
      <w:r w:rsidRPr="00E63FF6">
        <w:t xml:space="preserve">, </w:t>
      </w:r>
      <w:r>
        <w:t xml:space="preserve">también se </w:t>
      </w:r>
      <w:r w:rsidRPr="00E63FF6">
        <w:t>explicó que, ante la designación oficiosa de un defensor público con motivo del abandono de un defensor previo, la autoridad judicial debe verificar que se reúnan ciertas condiciones para que la intervención del abogado recién nombrado sea efectiva.</w:t>
      </w:r>
      <w:r>
        <w:rPr>
          <w:rFonts w:eastAsia="Times New Roman"/>
          <w:lang w:val="es-ES_tradnl" w:eastAsia="es-MX"/>
        </w:rPr>
        <w:t xml:space="preserve"> S</w:t>
      </w:r>
      <w:r w:rsidRPr="00FE377C">
        <w:t xml:space="preserve">e destacó que la doctrina internacional y nacional reconoce entre </w:t>
      </w:r>
      <w:r>
        <w:t>otras</w:t>
      </w:r>
      <w:r w:rsidRPr="00FE377C">
        <w:t xml:space="preserve"> cond</w:t>
      </w:r>
      <w:r w:rsidRPr="00E63FF6">
        <w:t>iciones: (i) la comunicación con el imputado para conocer su versión de los hechos y estar en posibilidad de estructurar la estrategia defensiva y aportar medios de prueba pertinentes; (ii) acceso irrestricto a las constancias y registros del caso; (iii) tiempo suficiente para imponerse de esos elementos; (iv) citación a las diligencias en las que deba intervenir; y (v) espacios para ofrecer argumentos en defensa de los intereses de su representado.</w:t>
      </w:r>
    </w:p>
    <w:p w14:paraId="3813F89D" w14:textId="77777777" w:rsidR="00F30645" w:rsidRDefault="00F30645" w:rsidP="00F30645">
      <w:pPr>
        <w:pStyle w:val="Prrafo"/>
        <w:numPr>
          <w:ilvl w:val="0"/>
          <w:numId w:val="2"/>
        </w:numPr>
        <w:ind w:left="0" w:hanging="567"/>
      </w:pPr>
      <w:r>
        <w:t xml:space="preserve">Así, </w:t>
      </w:r>
      <w:r w:rsidRPr="00E63FF6">
        <w:t xml:space="preserve">las condiciones para la preparación de una defensa son instrumentales a la satisfacción del derecho a una defensa adecuada. </w:t>
      </w:r>
      <w:r>
        <w:t>Esas condiciones</w:t>
      </w:r>
      <w:r w:rsidRPr="00E63FF6">
        <w:t xml:space="preserve"> deben verificarse para así estar en aptitud de exigir al defensor el cumplimiento de un estándar mínimo de diligencia en los deberes de la defensa.</w:t>
      </w:r>
    </w:p>
    <w:p w14:paraId="71356504" w14:textId="77777777" w:rsidR="00F30645" w:rsidRDefault="00F30645" w:rsidP="00F30645">
      <w:pPr>
        <w:pStyle w:val="Prrafo"/>
        <w:numPr>
          <w:ilvl w:val="0"/>
          <w:numId w:val="2"/>
        </w:numPr>
        <w:ind w:left="0" w:hanging="567"/>
      </w:pPr>
      <w:r>
        <w:lastRenderedPageBreak/>
        <w:t xml:space="preserve">Para definir esas condiciones </w:t>
      </w:r>
      <w:r w:rsidRPr="00324499">
        <w:t xml:space="preserve">deben proveerse al defensor a efecto de que exista el mínimo de diligencia esperado, </w:t>
      </w:r>
      <w:r w:rsidRPr="008B53A2">
        <w:t>es necesario atender: (a) al contexto procesal en el que debe intervenir o fase del procedimiento penal en la que debe actuar, y (b) al objetivo pretendido o más favorable a los intereses de la persona a la que proporciona sus servici</w:t>
      </w:r>
      <w:r w:rsidRPr="00324499">
        <w:t>os.</w:t>
      </w:r>
    </w:p>
    <w:p w14:paraId="28713D52" w14:textId="3E13B09B" w:rsidR="00F30645" w:rsidRDefault="00BB6D0D" w:rsidP="00F30645">
      <w:pPr>
        <w:pStyle w:val="Prrafo"/>
        <w:numPr>
          <w:ilvl w:val="0"/>
          <w:numId w:val="2"/>
        </w:numPr>
        <w:ind w:left="0" w:hanging="567"/>
      </w:pPr>
      <w:r>
        <w:t>E</w:t>
      </w:r>
      <w:r w:rsidR="00F30645" w:rsidRPr="008B53A2">
        <w:t>l Tribunal Europeo de Derechos Humanos ha establecido que la falta de un tiempo para entrevistarse y consultar a su defensor implica una violación al derecho a un debido proceso, aun cuando no se haya solicitado expresamente aplazar el debate</w:t>
      </w:r>
      <w:r w:rsidR="00F30645" w:rsidRPr="00F766B7">
        <w:rPr>
          <w:rStyle w:val="Refdenotaalpie"/>
        </w:rPr>
        <w:footnoteReference w:id="38"/>
      </w:r>
      <w:r w:rsidR="00F30645" w:rsidRPr="008B53A2">
        <w:t xml:space="preserve">. </w:t>
      </w:r>
      <w:r w:rsidR="00F30645">
        <w:t>E</w:t>
      </w:r>
      <w:r w:rsidR="00F30645" w:rsidRPr="008B53A2">
        <w:t>s inconcebible que un abogado pueda asistir a su cliente de forma idónea, sin una consulta previa entre ellos</w:t>
      </w:r>
      <w:r w:rsidR="00F30645" w:rsidRPr="00F766B7">
        <w:rPr>
          <w:rStyle w:val="Refdenotaalpie"/>
        </w:rPr>
        <w:footnoteReference w:id="39"/>
      </w:r>
      <w:r w:rsidR="00F30645">
        <w:t xml:space="preserve">, pues, </w:t>
      </w:r>
      <w:r w:rsidR="00F30645" w:rsidRPr="008B53A2">
        <w:t>sin ese tipo de comunicación, la parte imputada no cuenta con las facilidades necesarias para preparar su defensa</w:t>
      </w:r>
      <w:r w:rsidR="00F30645" w:rsidRPr="00F766B7">
        <w:rPr>
          <w:rStyle w:val="Refdenotaalpie"/>
        </w:rPr>
        <w:footnoteReference w:id="40"/>
      </w:r>
      <w:r w:rsidR="00F30645" w:rsidRPr="008B53A2">
        <w:t>.</w:t>
      </w:r>
    </w:p>
    <w:p w14:paraId="1B4A37CD" w14:textId="2C370D7F" w:rsidR="00F30645" w:rsidRDefault="00F30645" w:rsidP="00F30645">
      <w:pPr>
        <w:pStyle w:val="Prrafo"/>
        <w:numPr>
          <w:ilvl w:val="0"/>
          <w:numId w:val="2"/>
        </w:numPr>
        <w:ind w:left="0" w:hanging="567"/>
      </w:pPr>
      <w:r>
        <w:t xml:space="preserve">El mismo </w:t>
      </w:r>
      <w:r w:rsidRPr="00E439F8">
        <w:t>Tribunal Europeo</w:t>
      </w:r>
      <w:r>
        <w:t xml:space="preserve"> ha dicho que</w:t>
      </w:r>
      <w:r w:rsidRPr="00E439F8">
        <w:t xml:space="preserve"> definir el tiempo y las necesidades adecuadas para prepararse se debe</w:t>
      </w:r>
      <w:r w:rsidR="00BB6D0D">
        <w:t>n</w:t>
      </w:r>
      <w:r w:rsidRPr="00E439F8">
        <w:t xml:space="preserve"> evaluar a la luz del caso concreto</w:t>
      </w:r>
      <w:r w:rsidRPr="00F766B7">
        <w:rPr>
          <w:rStyle w:val="Refdenotaalpie"/>
        </w:rPr>
        <w:footnoteReference w:id="41"/>
      </w:r>
      <w:r w:rsidRPr="00E439F8">
        <w:t>. Se debe logar un balance entre la conclusión del proceso dentro de un tiempo razonable y la suma de derechos que implica la correcta administración de justicia</w:t>
      </w:r>
      <w:r w:rsidRPr="00F766B7">
        <w:rPr>
          <w:rStyle w:val="Refdenotaalpie"/>
        </w:rPr>
        <w:footnoteReference w:id="42"/>
      </w:r>
      <w:r w:rsidRPr="00E439F8">
        <w:t>. Además, se debe tomar en cuenta la gravedad y complejidad del caso para definir el tiempo adecuado para la preparación de una defensa</w:t>
      </w:r>
      <w:r w:rsidRPr="00F766B7">
        <w:rPr>
          <w:rStyle w:val="Refdenotaalpie"/>
        </w:rPr>
        <w:footnoteReference w:id="43"/>
      </w:r>
      <w:r w:rsidRPr="00E439F8">
        <w:t>.</w:t>
      </w:r>
    </w:p>
    <w:p w14:paraId="094B721E" w14:textId="77777777" w:rsidR="00F30645" w:rsidRDefault="00F30645" w:rsidP="00F30645">
      <w:pPr>
        <w:pStyle w:val="Prrafo"/>
        <w:numPr>
          <w:ilvl w:val="0"/>
          <w:numId w:val="2"/>
        </w:numPr>
        <w:ind w:left="0" w:hanging="567"/>
      </w:pPr>
      <w:r w:rsidRPr="00E439F8">
        <w:t>Conforme a lo expuesto a lo largo de este apartado, el derecho a una defensa adecuada es un componente esencial para que se siga un debido proceso. Para lograr ese objetivo, dicha defensa debe ser conducida por un defensor elegido libremente o, en su caso, por un defensor público; además, la persona encargada de la defensa debe contar con una licenciatura en derecho; por último, la defensa debe haber contado con un tiempo y condiciones mínimas para prepararse.</w:t>
      </w:r>
    </w:p>
    <w:p w14:paraId="0536F68A" w14:textId="77777777" w:rsidR="00BA7B70" w:rsidRDefault="00BA7B70" w:rsidP="00F30645">
      <w:pPr>
        <w:pStyle w:val="Ttulo6"/>
      </w:pPr>
    </w:p>
    <w:p w14:paraId="2E6596AE" w14:textId="477F99AA" w:rsidR="00F30645" w:rsidRDefault="00F30645" w:rsidP="00F30645">
      <w:pPr>
        <w:pStyle w:val="Ttulo6"/>
      </w:pPr>
      <w:r w:rsidRPr="00814B79">
        <w:lastRenderedPageBreak/>
        <w:t>Defens</w:t>
      </w:r>
      <w:r>
        <w:t>a</w:t>
      </w:r>
      <w:r w:rsidRPr="00814B79">
        <w:t xml:space="preserve"> adecuada material</w:t>
      </w:r>
    </w:p>
    <w:p w14:paraId="0A526A61" w14:textId="77777777" w:rsidR="00F30645" w:rsidRDefault="00F30645" w:rsidP="00F30645">
      <w:pPr>
        <w:pStyle w:val="Prrafo"/>
        <w:numPr>
          <w:ilvl w:val="0"/>
          <w:numId w:val="2"/>
        </w:numPr>
        <w:ind w:left="0" w:hanging="567"/>
      </w:pPr>
      <w:r w:rsidRPr="00CA42E2">
        <w:t>En los amparos directos en revisión 1182/2018 y 1183/2018</w:t>
      </w:r>
      <w:r>
        <w:rPr>
          <w:rStyle w:val="Refdenotaalpie"/>
        </w:rPr>
        <w:footnoteReference w:id="44"/>
      </w:r>
      <w:r w:rsidRPr="00CA42E2">
        <w:t xml:space="preserve">, </w:t>
      </w:r>
      <w:r>
        <w:t>se</w:t>
      </w:r>
      <w:r w:rsidRPr="00CA42E2">
        <w:t xml:space="preserve"> presentó una nueva aproximación para atender violaciones al derecho a una defensa adecuada. Este enfoque implicó reconocer que el derecho a gozar de una defensa técnica material forma parte del derecho a una defensa adecuada. Asimismo, </w:t>
      </w:r>
      <w:r>
        <w:t xml:space="preserve">se </w:t>
      </w:r>
      <w:r w:rsidRPr="00CA42E2">
        <w:t xml:space="preserve">delineó el alcance de este derecho para ambos sistemas procesales penales. También se aclaró si era o no procedente el control por parte de los jueces para garantizar el cumplimiento de esta nueva faceta del derecho. Finalmente, se establecieron directrices para evaluar si el derecho a gozar de una defensa adecuada a favor del inculpado en su vertiente material ha sido vulnerado. </w:t>
      </w:r>
    </w:p>
    <w:p w14:paraId="16C7C490" w14:textId="367B1DE8" w:rsidR="00F30645" w:rsidRDefault="00F30645" w:rsidP="00F30645">
      <w:pPr>
        <w:pStyle w:val="Prrafo"/>
        <w:numPr>
          <w:ilvl w:val="0"/>
          <w:numId w:val="2"/>
        </w:numPr>
        <w:ind w:left="0" w:hanging="567"/>
      </w:pPr>
      <w:r w:rsidRPr="00993A47">
        <w:t xml:space="preserve">En los precedentes indicados, la </w:t>
      </w:r>
      <w:r w:rsidR="00BB6D0D">
        <w:t xml:space="preserve">extinta Primera </w:t>
      </w:r>
      <w:r w:rsidRPr="00993A47">
        <w:t xml:space="preserve">Sala explicó que una verdadera defensa adecuada no puede limitarse a los aspectos meramente procesales o de trámite. Bajo una nueva reflexión, se explicó que una genuina defensa adecuada debe involucrar las medidas y gestiones necesarias para garantizar que el imputado tenga en su defensor a una persona capacitada para defenderlo de cualquier imputación o acusación, o bien, para impulsar cualquier aspecto que le pudiera ser benéfico. </w:t>
      </w:r>
    </w:p>
    <w:p w14:paraId="08CC7A12" w14:textId="35A84F5F" w:rsidR="00F30645" w:rsidRDefault="00F30645" w:rsidP="00F30645">
      <w:pPr>
        <w:pStyle w:val="Prrafo"/>
        <w:numPr>
          <w:ilvl w:val="0"/>
          <w:numId w:val="2"/>
        </w:numPr>
        <w:ind w:left="0" w:hanging="567"/>
      </w:pPr>
      <w:r>
        <w:t xml:space="preserve">En esa ocasión, </w:t>
      </w:r>
      <w:r w:rsidR="00BB6D0D">
        <w:t xml:space="preserve">esta </w:t>
      </w:r>
      <w:r>
        <w:t xml:space="preserve">Suprema Corte </w:t>
      </w:r>
      <w:r w:rsidRPr="00993A47">
        <w:t>sostuvo que el derecho a gozar de una defensa adecuada en su aspecto material consiste en la satisfacción por parte del abogado defensor de un estándar mínimo de diligencia en el cumplimiento de sus deberes profesionales. Estos deberes consisten en proteger y promover los intereses del inculpado de acuerdo con las circunstancias fácticas (pruebas, hechos, etc.) y normativas (posibilidades jurídicas como recursos, beneficios, etc.) del caso. Con la precisión que, una vez satisfecho ese estándar mínimo, el juez no puede controlar la bondad, eficacia de la estrategia defensiva adoptada o el resultado de ésta.</w:t>
      </w:r>
    </w:p>
    <w:p w14:paraId="2773A908" w14:textId="77777777" w:rsidR="00F30645" w:rsidRDefault="00F30645" w:rsidP="00F30645">
      <w:pPr>
        <w:pStyle w:val="Prrafo"/>
        <w:numPr>
          <w:ilvl w:val="0"/>
          <w:numId w:val="2"/>
        </w:numPr>
        <w:ind w:left="0" w:hanging="567"/>
      </w:pPr>
      <w:r>
        <w:lastRenderedPageBreak/>
        <w:t>Con</w:t>
      </w:r>
      <w:r w:rsidRPr="00993A47">
        <w:t xml:space="preserve"> esta nueva perspectiva, se resolvió que parte del núcleo esencial del derecho a gozar de una defensa adecuada implica que la defensa proporcionada al imputado sea material. Por lo tanto, los defensores deben actuar diligentemente, es decir, intervenir técnicamente no sólo para asegurar que se respeten los derechos del imputado, sino para que las decisiones proferidas en el curso del procedimiento penal se encuentren ajustadas a derecho.</w:t>
      </w:r>
    </w:p>
    <w:p w14:paraId="1B285CFE" w14:textId="7B25BBFB" w:rsidR="00F30645" w:rsidRDefault="00F30645" w:rsidP="00F30645">
      <w:pPr>
        <w:pStyle w:val="Prrafo"/>
        <w:numPr>
          <w:ilvl w:val="0"/>
          <w:numId w:val="2"/>
        </w:numPr>
        <w:ind w:left="0" w:hanging="567"/>
      </w:pPr>
      <w:r w:rsidRPr="00993A47">
        <w:t xml:space="preserve">Tras determinar que la defensa material forma parte del derecho a contar con una defensa adecuada dentro del procedimiento penal, la </w:t>
      </w:r>
      <w:r w:rsidR="00573017">
        <w:t xml:space="preserve">extinta Primera </w:t>
      </w:r>
      <w:r w:rsidRPr="00993A47">
        <w:t>Sala aclaró que los jueces deben revisar que la defensa proporcionada al imputado cumpla con su aspecto material.</w:t>
      </w:r>
    </w:p>
    <w:p w14:paraId="768441E1" w14:textId="77777777" w:rsidR="00F30645" w:rsidRDefault="00F30645" w:rsidP="00F30645">
      <w:pPr>
        <w:pStyle w:val="Prrafo"/>
        <w:numPr>
          <w:ilvl w:val="0"/>
          <w:numId w:val="2"/>
        </w:numPr>
        <w:ind w:left="0" w:hanging="567"/>
      </w:pPr>
      <w:r w:rsidRPr="00993A47">
        <w:t>Según</w:t>
      </w:r>
      <w:r>
        <w:t xml:space="preserve"> ese criterio</w:t>
      </w:r>
      <w:r w:rsidRPr="00993A47">
        <w:t xml:space="preserve">, los juzgadores deben evaluar la defensa −particular o de oficio− proporcionada al imputado. Particularmente, cuando el incumplimiento de los deberes del abogado dentro del procedimiento penal sea manifiesto o evidente. </w:t>
      </w:r>
      <w:r>
        <w:t>Ca</w:t>
      </w:r>
      <w:r w:rsidRPr="00993A47">
        <w:t>recería de sentido que la defensa material forme parte del derecho a una defensa adecuada, si dentro del procedimiento penal no existe un mecanismo de control que permita garantizarle mínimamente al inculpado que su abogado tiene los conocimientos y capacidad necesarios para defenderlo adecuadamente.</w:t>
      </w:r>
    </w:p>
    <w:p w14:paraId="4AE04B20" w14:textId="77777777" w:rsidR="00F30645" w:rsidRPr="006E3619" w:rsidRDefault="00F30645" w:rsidP="00F30645">
      <w:pPr>
        <w:pStyle w:val="Prrafo"/>
        <w:numPr>
          <w:ilvl w:val="0"/>
          <w:numId w:val="2"/>
        </w:numPr>
        <w:ind w:left="0" w:hanging="567"/>
      </w:pPr>
      <w:r>
        <w:t>También se expusieron</w:t>
      </w:r>
      <w:r w:rsidRPr="00993A47">
        <w:t xml:space="preserve"> cuáles son las circunstancias que se deben evaluar o los parámetros a seguir, en aras de verificar si la actuación de un defensor implicó una vulneración al derecho a gozar de una defensa materialmente adecuada.</w:t>
      </w:r>
      <w:r>
        <w:t xml:space="preserve"> </w:t>
      </w:r>
      <w:r w:rsidRPr="002E4FD0">
        <w:rPr>
          <w:color w:val="000000"/>
        </w:rPr>
        <w:t>En principio, se precisó que</w:t>
      </w:r>
      <w:r w:rsidRPr="006E3619">
        <w:t xml:space="preserve"> no toda deficiencia o error en la conducción de la defensa implica una vulneración al derecho a gozar de una defensa adecuada en su aspecto material</w:t>
      </w:r>
      <w:r w:rsidRPr="0090120A">
        <w:rPr>
          <w:rStyle w:val="Refdenotaalpie"/>
          <w:lang w:val="es-CR"/>
        </w:rPr>
        <w:footnoteReference w:id="45"/>
      </w:r>
      <w:r w:rsidRPr="006E3619">
        <w:t xml:space="preserve">. </w:t>
      </w:r>
      <w:r w:rsidRPr="002E4FD0">
        <w:rPr>
          <w:lang w:val="es-CR"/>
        </w:rPr>
        <w:t xml:space="preserve">Una discrepancia no sustancial </w:t>
      </w:r>
      <w:r w:rsidRPr="002E4FD0">
        <w:rPr>
          <w:lang w:val="es-CR"/>
        </w:rPr>
        <w:lastRenderedPageBreak/>
        <w:t>con la estrategia de defensa o el resultado desfavorable del proceso penal respecto a los intereses del inculpado [que haya sido condenado], no es, por sí misma, razón suficiente para afirmar que se vulneró el derecho en cuestión. En cambio, se debe comprobar o demostrar una negligencia inexcusable o una falla manifiesta</w:t>
      </w:r>
      <w:r w:rsidRPr="0090120A">
        <w:rPr>
          <w:rStyle w:val="Refdenotaalpie"/>
          <w:lang w:val="es-ES"/>
        </w:rPr>
        <w:footnoteReference w:id="46"/>
      </w:r>
      <w:r w:rsidRPr="002E4FD0">
        <w:rPr>
          <w:lang w:val="es-CR"/>
        </w:rPr>
        <w:t>.</w:t>
      </w:r>
    </w:p>
    <w:p w14:paraId="19AEE42B" w14:textId="203F031D" w:rsidR="00F30645" w:rsidRDefault="00F30645" w:rsidP="00F30645">
      <w:pPr>
        <w:pStyle w:val="Prrafo"/>
        <w:numPr>
          <w:ilvl w:val="0"/>
          <w:numId w:val="2"/>
        </w:numPr>
        <w:ind w:left="0" w:hanging="567"/>
      </w:pPr>
      <w:r w:rsidRPr="006E3619">
        <w:t xml:space="preserve">Ahora bien, como circunstancias a evaluar para determinar si el derecho a una defensa materialmente adecuada fue vulnerado, la </w:t>
      </w:r>
      <w:r w:rsidR="009E34CB">
        <w:t xml:space="preserve">extinta Primera </w:t>
      </w:r>
      <w:r w:rsidRPr="006E3619">
        <w:t>Sala estableció las siguientes: a) fallas ajenas a la voluntad del imputado; b) que las fallas o deficiencias en la defensa no sean consecuencia de la estrategia planteada por la defensa; c) impacto en el sentido del fallo.</w:t>
      </w:r>
    </w:p>
    <w:p w14:paraId="6573FB6B" w14:textId="77777777" w:rsidR="00F30645" w:rsidRDefault="00F30645" w:rsidP="00F30645">
      <w:pPr>
        <w:pStyle w:val="Prrafo"/>
        <w:numPr>
          <w:ilvl w:val="0"/>
          <w:numId w:val="2"/>
        </w:numPr>
        <w:ind w:left="0" w:hanging="567"/>
      </w:pPr>
      <w:r w:rsidRPr="006E3619">
        <w:t>En relación con el primer rubro, las fallas ajenas a la voluntad del imputado, se dijo que los juzgadores deben corroborar que las supuestas deficiencias se deban a la auténtica incompetencia o negligencia del defensor y no a una intención del inculpado y/o su defensa de dilatar, entorpecer o evadir indebidamente el proceso. En este sentido, la citada deficiencia debe provenir de causas ajenas a la voluntad del imputado</w:t>
      </w:r>
    </w:p>
    <w:p w14:paraId="2D8121BF" w14:textId="77777777" w:rsidR="00F30645" w:rsidRDefault="00F30645" w:rsidP="00F30645">
      <w:pPr>
        <w:pStyle w:val="Prrafo"/>
        <w:numPr>
          <w:ilvl w:val="0"/>
          <w:numId w:val="2"/>
        </w:numPr>
        <w:ind w:left="0" w:hanging="567"/>
      </w:pPr>
      <w:r w:rsidRPr="006E3619">
        <w:t>Como indicio de una genuina violación, se mencionó la queja o el intento de cambio del defensor por parte del inculpado. Ante este supuesto,</w:t>
      </w:r>
      <w:r>
        <w:t xml:space="preserve"> se</w:t>
      </w:r>
      <w:r w:rsidRPr="006E3619">
        <w:t xml:space="preserve"> explicó que corresponde al juez </w:t>
      </w:r>
      <w:r>
        <w:t>—</w:t>
      </w:r>
      <w:r w:rsidRPr="006E3619">
        <w:t>como rector del proceso</w:t>
      </w:r>
      <w:r>
        <w:t>—</w:t>
      </w:r>
      <w:r w:rsidRPr="006E3619">
        <w:t xml:space="preserve"> verificar si esas quejas corresponden efectivamente al incumplimiento del estándar mínimo de los deberes de la defensa o no.</w:t>
      </w:r>
    </w:p>
    <w:p w14:paraId="4DF8691D" w14:textId="77777777" w:rsidR="00F30645" w:rsidRDefault="00F30645" w:rsidP="00F30645">
      <w:pPr>
        <w:pStyle w:val="Prrafo"/>
        <w:numPr>
          <w:ilvl w:val="0"/>
          <w:numId w:val="2"/>
        </w:numPr>
        <w:ind w:left="0" w:hanging="567"/>
      </w:pPr>
      <w:r w:rsidRPr="006E3619">
        <w:t xml:space="preserve">En cuanto al segundo rubro, la estrategia de la defensa y su relación con las fallas alegadas como negligencias notorias, </w:t>
      </w:r>
      <w:r>
        <w:t>se hicieron</w:t>
      </w:r>
      <w:r w:rsidRPr="006E3619">
        <w:t xml:space="preserve"> varias aclaraciones y precisiones.</w:t>
      </w:r>
    </w:p>
    <w:p w14:paraId="4DE55760" w14:textId="77777777" w:rsidR="00F30645" w:rsidRDefault="00F30645" w:rsidP="00F30645">
      <w:pPr>
        <w:pStyle w:val="Prrafo"/>
        <w:numPr>
          <w:ilvl w:val="0"/>
          <w:numId w:val="2"/>
        </w:numPr>
        <w:ind w:left="0" w:hanging="567"/>
      </w:pPr>
      <w:r>
        <w:t>U</w:t>
      </w:r>
      <w:r w:rsidRPr="006E3619">
        <w:t xml:space="preserve">na estrategia defensiva es un plan diseñado e implementado por la defensa con la finalidad de proteger los intereses del inculpado, de acuerdo con el </w:t>
      </w:r>
      <w:r w:rsidRPr="006E3619">
        <w:lastRenderedPageBreak/>
        <w:t>contexto fáctico (pruebas, hechos, etc.) y normativo (posibilidades jurídicas como recursos, beneficios, etc.) del caso.</w:t>
      </w:r>
    </w:p>
    <w:p w14:paraId="7255CF8B" w14:textId="77777777" w:rsidR="00F30645" w:rsidRDefault="00F30645" w:rsidP="00F30645">
      <w:pPr>
        <w:pStyle w:val="Prrafo"/>
        <w:numPr>
          <w:ilvl w:val="0"/>
          <w:numId w:val="2"/>
        </w:numPr>
        <w:ind w:left="0" w:hanging="567"/>
      </w:pPr>
      <w:r w:rsidRPr="006E3619">
        <w:t xml:space="preserve">En este sentido, se concluyó que son las actuaciones </w:t>
      </w:r>
      <w:r>
        <w:t>—</w:t>
      </w:r>
      <w:r w:rsidRPr="006E3619">
        <w:t>acción u omisión</w:t>
      </w:r>
      <w:r>
        <w:t>—</w:t>
      </w:r>
      <w:r w:rsidRPr="006E3619">
        <w:t xml:space="preserve"> del defensor que bajo ningún punto de vista razonable jurídicamente pueda ser considerada como parte de una estrategia defensiva (a la luz del contexto fáctico/normativo del caso) las que deban considerarse como una manifiesta y notoria violación de los deberes de la defensa y, por ende, como una violación del aspecto material del derecho a la defensa adecuada.</w:t>
      </w:r>
    </w:p>
    <w:p w14:paraId="6108073F" w14:textId="77777777" w:rsidR="00F30645" w:rsidRDefault="00F30645" w:rsidP="00F30645">
      <w:pPr>
        <w:pStyle w:val="Prrafo"/>
        <w:numPr>
          <w:ilvl w:val="0"/>
          <w:numId w:val="2"/>
        </w:numPr>
        <w:ind w:left="0" w:hanging="567"/>
      </w:pPr>
      <w:r>
        <w:t>Con</w:t>
      </w:r>
      <w:r w:rsidRPr="006E3619">
        <w:t xml:space="preserve"> esta lógica, se indicó que la distinción entre una estrategia de defensa y una violación a los derechos del inculpado dependerá necesariamente del contexto </w:t>
      </w:r>
      <w:r>
        <w:t>—</w:t>
      </w:r>
      <w:r w:rsidRPr="006E3619">
        <w:t>fáctico/normativo</w:t>
      </w:r>
      <w:r>
        <w:t>—</w:t>
      </w:r>
      <w:r w:rsidRPr="006E3619">
        <w:t xml:space="preserve"> de cada caso. Por ejemplo, si conforme al caso concreto, es evidente que se requiere o no actividad probatoria para defender los intereses del inculpado en determinado contexto; si es evidente que se requiere o no la interposición de un recurso para tal fin en ese contexto; si es evidente que se requiere o no la actividad argumentativa del abogado para tal fin en ese contexto, etcétera.</w:t>
      </w:r>
    </w:p>
    <w:p w14:paraId="0C0AF08E" w14:textId="77777777" w:rsidR="00F30645" w:rsidRDefault="00F30645" w:rsidP="00F30645">
      <w:pPr>
        <w:pStyle w:val="Prrafo"/>
        <w:numPr>
          <w:ilvl w:val="0"/>
          <w:numId w:val="2"/>
        </w:numPr>
        <w:ind w:left="0" w:hanging="567"/>
      </w:pPr>
      <w:r w:rsidRPr="006E3619">
        <w:t xml:space="preserve">Sin desconocer que el análisis deba hacerse en función de las circunstancias de cada caso, </w:t>
      </w:r>
      <w:r>
        <w:t xml:space="preserve">se adelantaron igualmente </w:t>
      </w:r>
      <w:r w:rsidRPr="006E3619">
        <w:t>algunos supuestos indicativos de manifiesta incapacidad técnica por parte de un defensor</w:t>
      </w:r>
      <w:r>
        <w:t>. Por ejemplo</w:t>
      </w:r>
      <w:r w:rsidRPr="00E24C92">
        <w:t xml:space="preserve">: 1) </w:t>
      </w:r>
      <w:r>
        <w:t xml:space="preserve">la </w:t>
      </w:r>
      <w:r w:rsidRPr="00E24C92">
        <w:t xml:space="preserve">ausencia sin justificación evidente de pruebas; 2) </w:t>
      </w:r>
      <w:r>
        <w:t xml:space="preserve">el </w:t>
      </w:r>
      <w:r w:rsidRPr="00E24C92">
        <w:t xml:space="preserve">silencio inexplicable de la defensa; 3) </w:t>
      </w:r>
      <w:r>
        <w:t xml:space="preserve">la </w:t>
      </w:r>
      <w:r w:rsidRPr="00E24C92">
        <w:t xml:space="preserve">ausencia de interposición de recursos; 4) </w:t>
      </w:r>
      <w:r>
        <w:t xml:space="preserve">la </w:t>
      </w:r>
      <w:r w:rsidRPr="00E24C92">
        <w:t xml:space="preserve">omisión de asesoría; 5) </w:t>
      </w:r>
      <w:r>
        <w:t xml:space="preserve">el </w:t>
      </w:r>
      <w:r w:rsidRPr="00E24C92">
        <w:t xml:space="preserve">desconocimiento técnico del procedimiento penal del abogado; 6) </w:t>
      </w:r>
      <w:r>
        <w:t xml:space="preserve">la </w:t>
      </w:r>
      <w:r w:rsidRPr="00E24C92">
        <w:t xml:space="preserve">ausencia o abandono total de la defensa. En todos los casos, según la etapa que corresponda y </w:t>
      </w:r>
      <w:r>
        <w:t>según las reglas d</w:t>
      </w:r>
      <w:r w:rsidRPr="00E24C92">
        <w:t xml:space="preserve">el sistema de justicia penal </w:t>
      </w:r>
      <w:r>
        <w:t>que se instaure.</w:t>
      </w:r>
    </w:p>
    <w:p w14:paraId="1ABB23F2" w14:textId="77777777" w:rsidR="00F30645" w:rsidRDefault="00F30645" w:rsidP="00F30645">
      <w:pPr>
        <w:pStyle w:val="Prrafo"/>
        <w:numPr>
          <w:ilvl w:val="0"/>
          <w:numId w:val="2"/>
        </w:numPr>
        <w:ind w:left="0" w:hanging="567"/>
      </w:pPr>
      <w:r>
        <w:t>En</w:t>
      </w:r>
      <w:r w:rsidRPr="00E24C92">
        <w:t xml:space="preserve"> el mismo rubro de estrategias de la defensa, </w:t>
      </w:r>
      <w:r>
        <w:t xml:space="preserve">se </w:t>
      </w:r>
      <w:r w:rsidRPr="00E24C92">
        <w:t xml:space="preserve">reconoció que cada abogado es autónomo en el diseño de la defensa a seguir a favor del inculpado, pues un mismo caso puede ofrecer diversas estrategias metodológicas. Por ello, se explicó que el silencio o la inactividad del inculpado o su defensor puede ser interpretado como una estrategia legítima de defensa, derivada de una táctica defensiva ponderada y examinada </w:t>
      </w:r>
      <w:r w:rsidRPr="00E24C92">
        <w:lastRenderedPageBreak/>
        <w:t>cuidadosamente por el propio defensor. Sobre todo, si conforme al principio de presunción de inocencia, es al Ministerio Público a quien le corresponde demostrar el delito y la responsabilidad plena del inculpado.</w:t>
      </w:r>
    </w:p>
    <w:p w14:paraId="185EC2C6" w14:textId="77777777" w:rsidR="00F30645" w:rsidRDefault="00F30645" w:rsidP="00F30645">
      <w:pPr>
        <w:pStyle w:val="Prrafo"/>
        <w:numPr>
          <w:ilvl w:val="0"/>
          <w:numId w:val="2"/>
        </w:numPr>
        <w:ind w:left="0" w:hanging="567"/>
      </w:pPr>
      <w:r w:rsidRPr="00E24C92">
        <w:t>De esta forma,</w:t>
      </w:r>
      <w:r>
        <w:t xml:space="preserve"> se </w:t>
      </w:r>
      <w:r w:rsidRPr="00E24C92">
        <w:t>reconoció que el silencio o la nula actividad probatoria por parte de la defensa puede ser interpretada como una estrategia legítima de éste a favor de los intereses de su coinculpado. Sin embargo, se enfatizó que el órgano jurisdiccional correspondiente debe examinar cuidadosamente que ese curso de acción no derive del descuido, apatía, falta de diligencia, conocimiento de la materia o desinterés evidente por parte del defensor.</w:t>
      </w:r>
    </w:p>
    <w:p w14:paraId="0662E0D4" w14:textId="77777777" w:rsidR="00F30645" w:rsidRDefault="00F30645" w:rsidP="00F30645">
      <w:pPr>
        <w:pStyle w:val="Prrafo"/>
        <w:numPr>
          <w:ilvl w:val="0"/>
          <w:numId w:val="2"/>
        </w:numPr>
        <w:ind w:left="0" w:hanging="567"/>
      </w:pPr>
      <w:r w:rsidRPr="00E24C92">
        <w:t>Como aclaración adicional,</w:t>
      </w:r>
      <w:r>
        <w:t xml:space="preserve"> se</w:t>
      </w:r>
      <w:r w:rsidRPr="00E24C92">
        <w:t xml:space="preserve"> puntualizó que, al verificar si se vulneró el derecho a contar con una defensa material, se deben valorar cuestiones de hecho más que de fondo. Dicho de otro modo, no se evalúa la estrategia de la defensa, sino la actitud del abogado frente al proceso penal. </w:t>
      </w:r>
    </w:p>
    <w:p w14:paraId="1A57CFA7" w14:textId="77777777" w:rsidR="00F30645" w:rsidRDefault="00F30645" w:rsidP="00F30645">
      <w:pPr>
        <w:pStyle w:val="Prrafo"/>
        <w:numPr>
          <w:ilvl w:val="0"/>
          <w:numId w:val="2"/>
        </w:numPr>
        <w:ind w:left="0" w:hanging="567"/>
      </w:pPr>
      <w:r w:rsidRPr="00E24C92">
        <w:t>De esta forma, los tribunales colegiados no deben examinar si las pruebas ofertadas fueron suficientes o conducentes para demostrar la versión de la defensa, o bien, si el interrogatorio o contrainterrogatorio de la defensa en las diligencias respectivas fue lo suficientemente eficaz, esto es, el resultado de ésta. Emprender este tipo de análisis implicaría valorar aspectos ajenos al arbitrio del juez y que corresponden al fondo del asunto. Aspectos que de ser analizados se trastocaría el principio de imparcialidad judicial.</w:t>
      </w:r>
    </w:p>
    <w:p w14:paraId="35C5FAB5" w14:textId="77777777" w:rsidR="00F30645" w:rsidRDefault="00F30645" w:rsidP="00F30645">
      <w:pPr>
        <w:pStyle w:val="Prrafo"/>
        <w:numPr>
          <w:ilvl w:val="0"/>
          <w:numId w:val="2"/>
        </w:numPr>
        <w:ind w:left="0" w:hanging="567"/>
      </w:pPr>
      <w:r w:rsidRPr="00E24C92">
        <w:t xml:space="preserve">En cambio, se puede hacer notar la ausencia absoluta de pruebas sin justificación alguna; que todas las pruebas que ofreciera la defensa sean inconducentes; que no se ofreciera la única conducente; que al momento de formular el interrogatorio o contrainterrogatorio respectivo sea evidente la falta de pericia del abogado o patente su desconocimiento del caso; o bien, la ausencia absoluta de interposición de recursos. En estos supuestos </w:t>
      </w:r>
      <w:r>
        <w:t>la jueza estaría obligada a</w:t>
      </w:r>
      <w:r w:rsidRPr="00E24C92">
        <w:t xml:space="preserve"> ejercer el control respectivo y si no lo realiza se tendría por actualizada una violación al derecho humano de defensa adecuada en su vertiente material.</w:t>
      </w:r>
    </w:p>
    <w:p w14:paraId="072FBEB6" w14:textId="77777777" w:rsidR="00F30645" w:rsidRDefault="00F30645" w:rsidP="00F30645">
      <w:pPr>
        <w:pStyle w:val="Prrafo"/>
        <w:numPr>
          <w:ilvl w:val="0"/>
          <w:numId w:val="2"/>
        </w:numPr>
        <w:ind w:left="0" w:hanging="567"/>
      </w:pPr>
      <w:r w:rsidRPr="00E24C92">
        <w:t xml:space="preserve">En relación con el rubro restante, impacto de la falla o negligencia notoria en el sentido del fallo, se dijo que el juzgador o el órgano de amparo deben </w:t>
      </w:r>
      <w:r w:rsidRPr="00E24C92">
        <w:lastRenderedPageBreak/>
        <w:t>verificar si la negligencia notoria tuvo o puede tener un efecto decisivo y en perjuicio del imputado.</w:t>
      </w:r>
    </w:p>
    <w:p w14:paraId="4DB3EE22" w14:textId="77777777" w:rsidR="00F30645" w:rsidRDefault="00F30645" w:rsidP="00F30645">
      <w:pPr>
        <w:pStyle w:val="Prrafo"/>
        <w:numPr>
          <w:ilvl w:val="0"/>
          <w:numId w:val="2"/>
        </w:numPr>
        <w:ind w:left="0" w:hanging="567"/>
      </w:pPr>
      <w:r>
        <w:t>F</w:t>
      </w:r>
      <w:r w:rsidRPr="00E24C92">
        <w:t xml:space="preserve">inalmente, </w:t>
      </w:r>
      <w:r>
        <w:t>se</w:t>
      </w:r>
      <w:r w:rsidRPr="00E24C92">
        <w:t xml:space="preserve"> explicó cómo deben proceder </w:t>
      </w:r>
      <w:r>
        <w:t xml:space="preserve">las juezas </w:t>
      </w:r>
      <w:r w:rsidRPr="00E24C92">
        <w:t>del procedimiento y los tribunales colegiados cuando adviertan transgresiones al derecho en estudio.</w:t>
      </w:r>
    </w:p>
    <w:p w14:paraId="0AC37A07" w14:textId="42AEAC68" w:rsidR="00F30645" w:rsidRDefault="00F30645" w:rsidP="00F30645">
      <w:pPr>
        <w:pStyle w:val="Prrafo"/>
        <w:numPr>
          <w:ilvl w:val="0"/>
          <w:numId w:val="2"/>
        </w:numPr>
        <w:ind w:left="0" w:hanging="567"/>
      </w:pPr>
      <w:r w:rsidRPr="00136DCC">
        <w:t xml:space="preserve">De acuerdo con </w:t>
      </w:r>
      <w:r w:rsidR="009E34CB">
        <w:t xml:space="preserve">esta </w:t>
      </w:r>
      <w:r>
        <w:t>Suprema Corte</w:t>
      </w:r>
      <w:r w:rsidRPr="00136DCC">
        <w:t>, si durante el procedimiento penal el juzgador advierte algunas de las citadas fallas o deficiencias por parte del letrado que le permitan sostener válidamente que se está vulnerando el derecho del imputado a contar con una defensa adecuada en su vertiente material, en estos supuestos el juez deberá informar al inculpado de tal circunstancia.</w:t>
      </w:r>
    </w:p>
    <w:p w14:paraId="082D12B2" w14:textId="77777777" w:rsidR="00F30645" w:rsidRDefault="00F30645" w:rsidP="00F30645">
      <w:pPr>
        <w:pStyle w:val="Prrafo"/>
        <w:numPr>
          <w:ilvl w:val="0"/>
          <w:numId w:val="2"/>
        </w:numPr>
        <w:ind w:left="0" w:hanging="567"/>
      </w:pPr>
      <w:r w:rsidRPr="00136DCC">
        <w:t>Si el inculpado decide cambiar el abogado</w:t>
      </w:r>
      <w:r>
        <w:t>, la jueza</w:t>
      </w:r>
      <w:r w:rsidRPr="00136DCC">
        <w:t xml:space="preserve"> deberá ordenar que se le designe uno nuevo en tratándose del defensor de oficio, o bien, preguntarle cuál designará, si se trata de un</w:t>
      </w:r>
      <w:r>
        <w:t>a</w:t>
      </w:r>
      <w:r w:rsidRPr="00136DCC">
        <w:t xml:space="preserve"> defensor</w:t>
      </w:r>
      <w:r>
        <w:t>a</w:t>
      </w:r>
      <w:r w:rsidRPr="00136DCC">
        <w:t xml:space="preserve"> particular. En el caso del primero, el juez deberá informar a la autoridad respectiva </w:t>
      </w:r>
      <w:r>
        <w:t>—</w:t>
      </w:r>
      <w:r w:rsidRPr="00136DCC">
        <w:t>defensoría pública</w:t>
      </w:r>
      <w:r>
        <w:t>—</w:t>
      </w:r>
      <w:r w:rsidRPr="00136DCC">
        <w:t xml:space="preserve">, las fallas del </w:t>
      </w:r>
      <w:r>
        <w:t>defensor</w:t>
      </w:r>
      <w:r w:rsidRPr="00136DCC">
        <w:t xml:space="preserve"> oficial y las razones de su cambio, para que </w:t>
      </w:r>
      <w:r>
        <w:t>ese instituto</w:t>
      </w:r>
      <w:r w:rsidRPr="00136DCC">
        <w:t xml:space="preserve"> actúe según corresponda.</w:t>
      </w:r>
    </w:p>
    <w:p w14:paraId="4432FA53" w14:textId="77777777" w:rsidR="00F30645" w:rsidRDefault="00F30645" w:rsidP="00F30645">
      <w:pPr>
        <w:pStyle w:val="Prrafo"/>
        <w:numPr>
          <w:ilvl w:val="0"/>
          <w:numId w:val="2"/>
        </w:numPr>
        <w:ind w:left="0" w:hanging="567"/>
      </w:pPr>
      <w:r w:rsidRPr="00136DCC">
        <w:t>Al efectuarse el cambio de defensor, deberá otorgarse al inculpado y su nuevo abogado el tiempo suficiente para preparar nuevamente su defensa y así subsanar las fallas o deficiencias que se hubieran presentado, atendiendo a las circunstancias del caso concreto, en aras de evitar que el derecho a contar con una defensa adecuada se vea nuevamente vulnerado.</w:t>
      </w:r>
    </w:p>
    <w:p w14:paraId="72BA1CD0" w14:textId="77777777" w:rsidR="00F30645" w:rsidRPr="00E439F8" w:rsidRDefault="00F30645" w:rsidP="00F30645">
      <w:pPr>
        <w:pStyle w:val="Ttulo4"/>
      </w:pPr>
      <w:r w:rsidRPr="00E439F8">
        <w:t>B. Análisis de</w:t>
      </w:r>
      <w:r>
        <w:t xml:space="preserve"> </w:t>
      </w:r>
      <w:r w:rsidRPr="00E439F8">
        <w:t>c</w:t>
      </w:r>
      <w:r>
        <w:t>onstitucionalidad del artículo 121 del CNPP y su estándar de aplicación a la luz del derecho de defensa adecuada</w:t>
      </w:r>
    </w:p>
    <w:p w14:paraId="68F04F85" w14:textId="77777777" w:rsidR="00F30645" w:rsidRPr="00F47496" w:rsidRDefault="00F30645" w:rsidP="00F30645">
      <w:pPr>
        <w:pStyle w:val="Prrafo"/>
        <w:numPr>
          <w:ilvl w:val="0"/>
          <w:numId w:val="2"/>
        </w:numPr>
        <w:ind w:left="0" w:hanging="567"/>
      </w:pPr>
      <w:r>
        <w:t xml:space="preserve">En resumen, </w:t>
      </w:r>
      <w:r w:rsidRPr="00F47496">
        <w:t xml:space="preserve">las obligaciones de la autoridad jurisdiccional consisten en: 1) no obstruir su materialización (como ocurre cuando niega el derecho a una entrevista previa y en privado o interfiere y obstaculiza la participación efectiva del asesor), y 2) asegurarse, con todos los medios legales a su alcance, que se satisfacen las condiciones que posibilitan la defensa </w:t>
      </w:r>
      <w:r w:rsidRPr="00F47496">
        <w:lastRenderedPageBreak/>
        <w:t>adecuada, sin que esto signifique que esté en condiciones de revisar la forma en la que los defensores efectivamente logran su cometido, pues excedería las facultades que tiene a su cargo para vigilar que en el proceso se garantice una defensa adecuada</w:t>
      </w:r>
      <w:r w:rsidRPr="00D20B6A">
        <w:rPr>
          <w:vertAlign w:val="superscript"/>
        </w:rPr>
        <w:footnoteReference w:id="47"/>
      </w:r>
      <w:r w:rsidRPr="00F47496">
        <w:t>.</w:t>
      </w:r>
    </w:p>
    <w:p w14:paraId="66279A2C" w14:textId="02B31542" w:rsidR="00F30645" w:rsidRDefault="00F30645" w:rsidP="00F30645">
      <w:pPr>
        <w:pStyle w:val="Prrafo"/>
        <w:numPr>
          <w:ilvl w:val="0"/>
          <w:numId w:val="2"/>
        </w:numPr>
        <w:ind w:left="0" w:hanging="567"/>
      </w:pPr>
      <w:r>
        <w:t xml:space="preserve">Del parámetro desarrollado se desprende una serie de obligaciones que se imponen a la juzgadora para vigilar que durante el proceso se cumpla debidamente con el derecho a una defensa adecuada, tanto en su vertiente técnica o formal como en su vertiente material. Es precisamente a esta última que responde la garantía contenida en el artículo 121 </w:t>
      </w:r>
      <w:r w:rsidR="00B5193B">
        <w:t>del Código Naci</w:t>
      </w:r>
      <w:r w:rsidR="003314B3">
        <w:t>o</w:t>
      </w:r>
      <w:r w:rsidR="00B5193B">
        <w:t xml:space="preserve">nal de Procedimientos Penales, </w:t>
      </w:r>
      <w:r>
        <w:t>cuya constitucionalidad es cuestionada en este asunto.</w:t>
      </w:r>
    </w:p>
    <w:p w14:paraId="185289AA" w14:textId="77777777" w:rsidR="00F30645" w:rsidRDefault="00F30645" w:rsidP="00F30645">
      <w:pPr>
        <w:pStyle w:val="Prrafo"/>
        <w:numPr>
          <w:ilvl w:val="0"/>
          <w:numId w:val="2"/>
        </w:numPr>
        <w:ind w:left="0" w:hanging="567"/>
      </w:pPr>
      <w:r>
        <w:t>En efecto, la disposición establece el deber de la juzgadora de advertir a la persona imputada cuando advierta que su defensa no se desempeña de forma adecuada.</w:t>
      </w:r>
    </w:p>
    <w:p w14:paraId="31780604" w14:textId="77777777" w:rsidR="00F30645" w:rsidRPr="00595F80" w:rsidRDefault="00F30645" w:rsidP="00F30645">
      <w:pPr>
        <w:pStyle w:val="Prrafo"/>
        <w:numPr>
          <w:ilvl w:val="0"/>
          <w:numId w:val="2"/>
        </w:numPr>
        <w:ind w:left="0" w:hanging="567"/>
      </w:pPr>
      <w:r>
        <w:t xml:space="preserve">Mucho se ha insistido en que la vigilancia de </w:t>
      </w:r>
      <w:r w:rsidRPr="001230C8">
        <w:t>este derecho no puede llegar al extremo de asignar al juzgador la carga de evaluar los métodos que la defensa de la persona imputada emplea para lograr su cometido de representación</w:t>
      </w:r>
      <w:r>
        <w:t>. E</w:t>
      </w:r>
      <w:r w:rsidRPr="001230C8">
        <w:t>scapa a la función jurisdiccional el examen sobre si éste efectivamente llevará a cabo la estrategia más afín a los intereses de la persona imputada. Sobre todo, porque los órganos jurisdiccionales no pueden constituirse en juez y parte para revisar la actividad o inactividad de la defensa e impulsar el procedimiento</w:t>
      </w:r>
      <w:r w:rsidRPr="00D20B6A">
        <w:rPr>
          <w:vertAlign w:val="superscript"/>
        </w:rPr>
        <w:footnoteReference w:id="48"/>
      </w:r>
      <w:r w:rsidRPr="001230C8">
        <w:t>.</w:t>
      </w:r>
    </w:p>
    <w:p w14:paraId="648B9753" w14:textId="77777777" w:rsidR="00F30645" w:rsidRDefault="00F30645" w:rsidP="00F30645">
      <w:pPr>
        <w:pStyle w:val="Prrafo"/>
        <w:numPr>
          <w:ilvl w:val="0"/>
          <w:numId w:val="2"/>
        </w:numPr>
        <w:ind w:left="0" w:hanging="567"/>
      </w:pPr>
      <w:r w:rsidRPr="00AA6EF4">
        <w:t>El proceso penal acusatorio —como se determinó al resolver el amparo directo en revisión 2590/2016</w:t>
      </w:r>
      <w:r w:rsidRPr="00D20B6A">
        <w:rPr>
          <w:vertAlign w:val="superscript"/>
        </w:rPr>
        <w:footnoteReference w:id="49"/>
      </w:r>
      <w:r w:rsidRPr="00AA6EF4">
        <w:t xml:space="preserve">— se caracteriza por la división de funciones </w:t>
      </w:r>
      <w:r w:rsidRPr="00AA6EF4">
        <w:lastRenderedPageBreak/>
        <w:t>de los actores esenciales del proceso, de tal manera que el juez debe actuar con imparcialidad y objetividad frente al juicio que se somete a su conocimiento. Por tanto, no puede sustituirse en la defensa llevada a cabo por el abogado.</w:t>
      </w:r>
    </w:p>
    <w:p w14:paraId="5A393D1E" w14:textId="77777777" w:rsidR="00F30645" w:rsidRDefault="00F30645" w:rsidP="00F30645">
      <w:pPr>
        <w:pStyle w:val="Prrafo"/>
        <w:numPr>
          <w:ilvl w:val="0"/>
          <w:numId w:val="2"/>
        </w:numPr>
        <w:ind w:left="0" w:hanging="567"/>
      </w:pPr>
      <w:r w:rsidRPr="00C75965">
        <w:t>Por ello, hay una diferencia crucial entre la posibilidad del juez de sustituirse en el rol del abogado (cuestión que sería inadmisible) y su deber de resguardar el equilibrio entre las partes, es decir, cerciorarse de que el inculpado está siendo efectivamente asesorado para combatir a su acusador en condiciones de igualdad.</w:t>
      </w:r>
    </w:p>
    <w:p w14:paraId="60EA8C4D" w14:textId="77777777" w:rsidR="00F30645" w:rsidRDefault="00F30645" w:rsidP="00F30645">
      <w:pPr>
        <w:pStyle w:val="Prrafo"/>
        <w:numPr>
          <w:ilvl w:val="0"/>
          <w:numId w:val="2"/>
        </w:numPr>
        <w:ind w:left="0" w:hanging="567"/>
      </w:pPr>
      <w:r w:rsidRPr="00C75965">
        <w:t>Esto no implica otra cosa que evaluar si el defensor cuenta con las aptitudes formales y materiales necesarias para diseñar una estrategia de defensa informada, basada en los intereses reales de su presentado, cualquiera que ésta sea.</w:t>
      </w:r>
    </w:p>
    <w:p w14:paraId="21154F19" w14:textId="77777777" w:rsidR="00F30645" w:rsidRDefault="00F30645" w:rsidP="00F30645">
      <w:pPr>
        <w:pStyle w:val="Prrafo"/>
        <w:numPr>
          <w:ilvl w:val="0"/>
          <w:numId w:val="2"/>
        </w:numPr>
        <w:ind w:left="0" w:hanging="567"/>
      </w:pPr>
      <w:r w:rsidRPr="00C75965">
        <w:t>La igualdad procesal es uno de los principios rectores del proceso penal. Cuando una persona inculpada no está siendo protegida por su defensa, es claro que ella no está participando en condiciones de igualdad; y, por tanto, no es posible asumir que sus posibilidades para vencer a la parte acusadora son genuinas</w:t>
      </w:r>
      <w:r>
        <w:t>.</w:t>
      </w:r>
    </w:p>
    <w:p w14:paraId="498845DA" w14:textId="77777777" w:rsidR="00F30645" w:rsidRPr="00A15ADD" w:rsidRDefault="00F30645" w:rsidP="00F30645">
      <w:pPr>
        <w:pStyle w:val="Prrafo"/>
        <w:numPr>
          <w:ilvl w:val="0"/>
          <w:numId w:val="2"/>
        </w:numPr>
        <w:ind w:left="0" w:hanging="567"/>
      </w:pPr>
      <w:r w:rsidRPr="00A15ADD">
        <w:t>Por ello, el nivel de escrutinio judicial respecto al defensor debe ser altamente deferente</w:t>
      </w:r>
      <w:r w:rsidRPr="00054F9B">
        <w:rPr>
          <w:rStyle w:val="Refdenotaalpie"/>
        </w:rPr>
        <w:footnoteReference w:id="50"/>
      </w:r>
      <w:r w:rsidRPr="00A15ADD">
        <w:t xml:space="preserve">. </w:t>
      </w:r>
      <w:r>
        <w:t>Para</w:t>
      </w:r>
      <w:r w:rsidRPr="00A15ADD">
        <w:t xml:space="preserve"> lograr una valoración justa sobre el desempeño de un defensor, se requiere eliminar el efecto distorsionador que puede darse al evaluar un juicio en retrospectiva</w:t>
      </w:r>
      <w:r>
        <w:t xml:space="preserve"> —en función del resultado—</w:t>
      </w:r>
      <w:r w:rsidRPr="00A15ADD">
        <w:t xml:space="preserve">. Se debe partir, entonces, de una fuerte presunción en el sentido de que el desempeño de la </w:t>
      </w:r>
      <w:r w:rsidRPr="00A15ADD">
        <w:lastRenderedPageBreak/>
        <w:t>defensa cae dentro del amplio margen de modos razonables de ejercer la defensa</w:t>
      </w:r>
      <w:r w:rsidRPr="00054F9B">
        <w:rPr>
          <w:rStyle w:val="Refdenotaalpie"/>
        </w:rPr>
        <w:footnoteReference w:id="51"/>
      </w:r>
      <w:r>
        <w:t>.</w:t>
      </w:r>
    </w:p>
    <w:p w14:paraId="0BEC98E3" w14:textId="77777777" w:rsidR="00F30645" w:rsidRPr="00054F9B" w:rsidRDefault="00F30645" w:rsidP="00F30645">
      <w:pPr>
        <w:pStyle w:val="Ttulo6"/>
      </w:pPr>
      <w:r w:rsidRPr="00054F9B">
        <w:t xml:space="preserve">Estándar que condiciona la debida aplicación del artículo 121 del Código Nacional de Procedimientos Penales. </w:t>
      </w:r>
    </w:p>
    <w:p w14:paraId="0EB1E408" w14:textId="77777777" w:rsidR="00F30645" w:rsidRDefault="00F30645" w:rsidP="00F30645">
      <w:pPr>
        <w:pStyle w:val="Prrafo"/>
        <w:numPr>
          <w:ilvl w:val="0"/>
          <w:numId w:val="2"/>
        </w:numPr>
        <w:ind w:left="0" w:hanging="567"/>
      </w:pPr>
      <w:r>
        <w:t>De acuerdo con la norma impugnada, la condición que faculta al órgano jurisdiccional para prevenir al imputado con el objeto de que designe a un nuevo defensor es la siguiente: se debe advertir “</w:t>
      </w:r>
      <w:r w:rsidRPr="008A1F3D">
        <w:t>una manifiesta y sistemática incapacidad técnica</w:t>
      </w:r>
      <w:r>
        <w:t xml:space="preserve">”. </w:t>
      </w:r>
    </w:p>
    <w:p w14:paraId="5985B6C9" w14:textId="77777777" w:rsidR="00F30645" w:rsidRDefault="00F30645" w:rsidP="00F30645">
      <w:pPr>
        <w:pStyle w:val="Prrafo"/>
        <w:numPr>
          <w:ilvl w:val="0"/>
          <w:numId w:val="2"/>
        </w:numPr>
        <w:ind w:left="0" w:hanging="567"/>
      </w:pPr>
      <w:r>
        <w:t xml:space="preserve">A juicio de esta Suprema Corte, esa incapacidad técnica, manifiesta y sistemática, se puede constatar </w:t>
      </w:r>
      <w:r w:rsidRPr="00054F9B">
        <w:t>cuando</w:t>
      </w:r>
      <w:r>
        <w:t>,</w:t>
      </w:r>
      <w:r w:rsidRPr="00054F9B">
        <w:t xml:space="preserve"> mediante signos o datos inequí</w:t>
      </w:r>
      <w:r>
        <w:t>vocamente objetivos, se desprende</w:t>
      </w:r>
      <w:r w:rsidRPr="00054F9B">
        <w:t xml:space="preserve"> una deficiencia relevante o falta de capacidad técnica en el manejo de las técnicas de litigación inherentes a la etapa procesal de que se trate. Esto ocurrirá cuando resulte evidente que el defensor no está capacitado para el manejo del sistema penal acusatorio. </w:t>
      </w:r>
    </w:p>
    <w:p w14:paraId="79C2197A" w14:textId="12AA90F0" w:rsidR="00F30645" w:rsidRPr="00054F9B" w:rsidRDefault="00F30645" w:rsidP="00F30645">
      <w:pPr>
        <w:pStyle w:val="Prrafo"/>
        <w:numPr>
          <w:ilvl w:val="0"/>
          <w:numId w:val="2"/>
        </w:numPr>
        <w:ind w:left="0" w:hanging="567"/>
      </w:pPr>
      <w:r>
        <w:t xml:space="preserve"> Para </w:t>
      </w:r>
      <w:r w:rsidRPr="00402265">
        <w:t xml:space="preserve">ello, la autoridad judicial debe advertir abierta ineptitud para manejar técnicas relacionadas con la incorporación al juicio de documentos, objetos y otros elementos de convicción, o signos objetivos que le dejen ver una falta de conocimiento de los plazos y la lógica de las etapas que rigen en el proceso penal; o bien, cuando —sin causa justificada—omita la interposición </w:t>
      </w:r>
      <w:r w:rsidR="004632CF">
        <w:t xml:space="preserve">de los </w:t>
      </w:r>
      <w:r w:rsidRPr="00402265">
        <w:t>recursos procedentes en contra de las resoluciones que afecten los derechos de la persona imputada</w:t>
      </w:r>
      <w:r>
        <w:t>.</w:t>
      </w:r>
    </w:p>
    <w:p w14:paraId="26586312" w14:textId="7031B65B" w:rsidR="00F30645" w:rsidRPr="00120D58" w:rsidRDefault="00F30645" w:rsidP="00F30645">
      <w:pPr>
        <w:pStyle w:val="Prrafo"/>
        <w:numPr>
          <w:ilvl w:val="0"/>
          <w:numId w:val="2"/>
        </w:numPr>
        <w:ind w:left="0" w:hanging="567"/>
      </w:pPr>
      <w:r>
        <w:lastRenderedPageBreak/>
        <w:t>E</w:t>
      </w:r>
      <w:r w:rsidRPr="00120D58">
        <w:t xml:space="preserve">l estándar que permite </w:t>
      </w:r>
      <w:r>
        <w:t>a la persona juzgadora</w:t>
      </w:r>
      <w:r w:rsidRPr="00120D58">
        <w:t xml:space="preserve"> intervenir para equilibrar a las partes </w:t>
      </w:r>
      <w:r>
        <w:t>debe ser sumamente</w:t>
      </w:r>
      <w:r w:rsidRPr="00120D58">
        <w:t xml:space="preserve"> deferente con la estrategia del defensor. Por el principio de independencia e imparcialidad que debe distinguir la labor del juez, éste no puede intervenir en la designación libre e informada que hace la persona procesada respecto a su defens</w:t>
      </w:r>
      <w:r>
        <w:t>a</w:t>
      </w:r>
      <w:r w:rsidRPr="00120D58">
        <w:t>, a menos que detecte una negligencia grosera y ostensiblemente adversa a</w:t>
      </w:r>
      <w:r>
        <w:t xml:space="preserve"> sus intereses. Es sólo entonces cuando resulta </w:t>
      </w:r>
      <w:r w:rsidRPr="00120D58">
        <w:t>necesario acudir a la medida más gravosa: revocar el mandamiento en aras de proteger el debido proceso y evitar la condena de un</w:t>
      </w:r>
      <w:r>
        <w:t xml:space="preserve">a persona </w:t>
      </w:r>
      <w:r w:rsidRPr="00120D58">
        <w:t>inocente.</w:t>
      </w:r>
    </w:p>
    <w:p w14:paraId="27DD65DC" w14:textId="77777777" w:rsidR="00F30645" w:rsidRDefault="00F30645" w:rsidP="00F30645">
      <w:pPr>
        <w:pStyle w:val="Prrafo"/>
        <w:numPr>
          <w:ilvl w:val="0"/>
          <w:numId w:val="2"/>
        </w:numPr>
        <w:ind w:left="0" w:hanging="567"/>
      </w:pPr>
      <w:r>
        <w:t>En otras palabras, s</w:t>
      </w:r>
      <w:r w:rsidRPr="00054F9B">
        <w:t xml:space="preserve">i no parece haber una discordancia grave, manifiesta y relevante entre los intereses del inculpado y el desempeño de su defensor, opera una presunción en el sentido de que su actuar obedece a una estrategia consciente e informada, lo que a su vez obligaría </w:t>
      </w:r>
      <w:r>
        <w:t>a la persona juzgadora</w:t>
      </w:r>
      <w:r w:rsidRPr="00054F9B">
        <w:t xml:space="preserve"> a mostrar deferencia con ella.</w:t>
      </w:r>
      <w:r>
        <w:t xml:space="preserve"> </w:t>
      </w:r>
      <w:r w:rsidRPr="003D2504">
        <w:t>El mero desacuerdo que el juzgador pudiera tener en términos jurídicos con la estrategia elegida por el defensor jamás puede dar lugar a reponer un procedimiento o revocar el nombramiento.</w:t>
      </w:r>
    </w:p>
    <w:p w14:paraId="739964DD" w14:textId="7B89E8CA" w:rsidR="00F30645" w:rsidRDefault="00F30645" w:rsidP="00F30645">
      <w:pPr>
        <w:pStyle w:val="Prrafo"/>
        <w:numPr>
          <w:ilvl w:val="0"/>
          <w:numId w:val="2"/>
        </w:numPr>
        <w:ind w:left="0" w:hanging="567"/>
      </w:pPr>
      <w:r w:rsidRPr="003D2504">
        <w:t xml:space="preserve">Por otro lado, el ejercicio consciente del derecho a no autoincriminarse (y la elección de una estrategia anclada en ello), tampoco puede ser considerada una falta inequívoca e inexcusable. La Corte Constitucional </w:t>
      </w:r>
      <w:r w:rsidR="000E5C20">
        <w:t>de Colombia</w:t>
      </w:r>
      <w:r w:rsidRPr="00054F9B">
        <w:rPr>
          <w:vertAlign w:val="superscript"/>
        </w:rPr>
        <w:footnoteReference w:id="52"/>
      </w:r>
      <w:r w:rsidRPr="003D2504">
        <w:t xml:space="preserve"> ha abordado esta distinción de modo especialmente claro. A su juicio, es necesario distinguir entre el silencio como estrategia diseñada de manera reflexiva y el silencio como consecuencia de la negligencia en el cumplimiento de los deberes del abogado defensor </w:t>
      </w:r>
      <w:r>
        <w:t>—</w:t>
      </w:r>
      <w:r w:rsidRPr="003D2504">
        <w:t>omisiones o fallas graves que permitan concluir que no se brindó una asistencia adecuada al imputado</w:t>
      </w:r>
      <w:r>
        <w:t>—</w:t>
      </w:r>
      <w:r w:rsidRPr="003D2504">
        <w:t xml:space="preserve"> lo que sí se traduciría en una violación al derecho de defensa adecuada efectiva.</w:t>
      </w:r>
    </w:p>
    <w:p w14:paraId="5EBF581C" w14:textId="77777777" w:rsidR="00F30645" w:rsidRDefault="00F30645" w:rsidP="00F30645">
      <w:pPr>
        <w:pStyle w:val="Prrafo"/>
        <w:numPr>
          <w:ilvl w:val="0"/>
          <w:numId w:val="2"/>
        </w:numPr>
        <w:ind w:left="0" w:hanging="567"/>
      </w:pPr>
      <w:r w:rsidRPr="00FD5702">
        <w:t xml:space="preserve">El órgano jurisdiccional que instruye la audiencia cuenta con herramientas necesarias para establecer esas diferencias y disipar cualquier duda </w:t>
      </w:r>
      <w:r w:rsidRPr="00FD5702">
        <w:lastRenderedPageBreak/>
        <w:t>mediante la elaboración de preguntas tanto para el inculpado como para el defensor y, de este modo, constatar si ciertas actitudes aparentemente pasivas son parte de una estrategia de defensa.</w:t>
      </w:r>
    </w:p>
    <w:p w14:paraId="6DA424AD" w14:textId="77777777" w:rsidR="00F30645" w:rsidRDefault="00F30645" w:rsidP="00F30645">
      <w:pPr>
        <w:pStyle w:val="Prrafo"/>
        <w:numPr>
          <w:ilvl w:val="0"/>
          <w:numId w:val="2"/>
        </w:numPr>
        <w:ind w:left="0" w:hanging="567"/>
      </w:pPr>
      <w:r>
        <w:t xml:space="preserve">Este </w:t>
      </w:r>
      <w:r w:rsidRPr="00FD5702">
        <w:t>estándar obliga a considerar que la negligencia merecedora de control judicial debe ser manifiesta y ostensible, por lo que la pasividad, en sí misma, no es el signo inequívoco que activa la supervisión judicial, sino la notoria y sistemática incapacidad que el defensor muestra para llevar el caso.</w:t>
      </w:r>
    </w:p>
    <w:p w14:paraId="4D200060" w14:textId="77777777" w:rsidR="00F30645" w:rsidRDefault="00F30645" w:rsidP="00F30645">
      <w:pPr>
        <w:pStyle w:val="Prrafo"/>
        <w:numPr>
          <w:ilvl w:val="0"/>
          <w:numId w:val="2"/>
        </w:numPr>
        <w:ind w:left="0" w:hanging="567"/>
      </w:pPr>
      <w:r w:rsidRPr="00AA15A3">
        <w:t xml:space="preserve">Es de crucial importancia aclarar que el mecanismo del artículo 121 del Código </w:t>
      </w:r>
      <w:r>
        <w:t xml:space="preserve">Nacional </w:t>
      </w:r>
      <w:r w:rsidRPr="00AA15A3">
        <w:t>de Procedimientos Penales no puede ser utilizado con el propósito de generar un efecto inhibitorio en las personas procesadas, de tal suerte que se les desincentive para elegir a quien la parte acusadora percibe como un rival difícil. Esta facultad tampoco puede ser utilizada como un castigo o un reproche a la actividad combativa de un defensor o para inhibir el uso de técnicas litigiosas desafiantes.</w:t>
      </w:r>
    </w:p>
    <w:p w14:paraId="5FBB42B5" w14:textId="77777777" w:rsidR="00F30645" w:rsidRDefault="00F30645" w:rsidP="00F30645">
      <w:pPr>
        <w:pStyle w:val="Prrafo"/>
        <w:numPr>
          <w:ilvl w:val="0"/>
          <w:numId w:val="2"/>
        </w:numPr>
        <w:ind w:left="0" w:hanging="567"/>
      </w:pPr>
      <w:r w:rsidRPr="00AA15A3">
        <w:t>La función de esta norma es cuidar el debido proceso y el ejercicio de la defensa adecuada, por lo que cualquier intención de utilizarla como un mecanismo para censurar ciertas actitudes combativas o tácticas argumentativas legítimas, también resultaría en una clara violación al derecho a la defensa adecuada y a los intereses constitucionalmente protegidos en favor del abogado defensor (su honor y autonomía profesional).</w:t>
      </w:r>
    </w:p>
    <w:p w14:paraId="2DFAFFCF" w14:textId="77777777" w:rsidR="00F30645" w:rsidRDefault="00F30645" w:rsidP="00F30645">
      <w:pPr>
        <w:pStyle w:val="Prrafo"/>
        <w:numPr>
          <w:ilvl w:val="0"/>
          <w:numId w:val="2"/>
        </w:numPr>
        <w:ind w:left="0" w:hanging="567"/>
      </w:pPr>
      <w:r w:rsidRPr="00AA15A3">
        <w:t xml:space="preserve">Aunque a los ojos del juzgador la estrategia de la defensa parezca infructuosa, carente de probabilidades de éxito, no ortodoxa, desafiante, terca, o incluso inútilmente dilatoria, nada de ello basta para desconocer la voluntad por virtud de la cual las personas inculpadas han designado, de manera autónoma e informada, a su defensor. Esas </w:t>
      </w:r>
      <w:r w:rsidRPr="00AA15A3">
        <w:rPr>
          <w:iCs/>
        </w:rPr>
        <w:t>no</w:t>
      </w:r>
      <w:r w:rsidRPr="00AA15A3">
        <w:t xml:space="preserve"> son razones justificadas para intervenir en una decisión que, como alega el quejoso, corresponde ejercer primordialmente a quien es sometido al proceso penal.</w:t>
      </w:r>
    </w:p>
    <w:p w14:paraId="11346AD0" w14:textId="77777777" w:rsidR="00F30645" w:rsidRDefault="00F30645" w:rsidP="00F30645">
      <w:pPr>
        <w:pStyle w:val="Prrafo"/>
        <w:numPr>
          <w:ilvl w:val="0"/>
          <w:numId w:val="2"/>
        </w:numPr>
        <w:ind w:left="0" w:hanging="567"/>
      </w:pPr>
      <w:r w:rsidRPr="00AA15A3">
        <w:t xml:space="preserve">De este modo, la autoridad judicial no puede intervenir mientras la estrategia litigiosa elegida por la defensa tenga fundamento en la técnica legal y jurisprudencialmente aceptada, en prácticas permisibles dentro de los márgenes razonables de interpretación sobre lo que esa “técnica” significa o, </w:t>
      </w:r>
      <w:r w:rsidRPr="00AA15A3">
        <w:lastRenderedPageBreak/>
        <w:t>incluso, cuando se apoye en nociones que válidamente admitan cuestionamiento, disenso y redefinición.</w:t>
      </w:r>
    </w:p>
    <w:p w14:paraId="22F27366" w14:textId="77777777" w:rsidR="00F30645" w:rsidRDefault="00F30645" w:rsidP="00F30645">
      <w:pPr>
        <w:pStyle w:val="Prrafo"/>
        <w:numPr>
          <w:ilvl w:val="0"/>
          <w:numId w:val="2"/>
        </w:numPr>
        <w:ind w:left="0" w:hanging="567"/>
      </w:pPr>
      <w:r w:rsidRPr="00794017">
        <w:t>Respecto a este punto, es necesario recordar que todas las normas de un sistema jurídico son, por definición, susceptibles de interpretación, en menor y mayor grado, porque el lenguaje que les da expresión necesariamente presenta vicios naturales. La ambigüedad y vaguedad que le son propias obligan a los operadores a acudir a técnicas de interpretación no siempre coincidentes, mucho más cuando las categorías de un sistema (como las del modelo penal acusatorio) se encuentran en etapa de definición, evolución y consolidación.</w:t>
      </w:r>
    </w:p>
    <w:p w14:paraId="4A41CE9F" w14:textId="77777777" w:rsidR="00F30645" w:rsidRDefault="00F30645" w:rsidP="00F30645">
      <w:pPr>
        <w:pStyle w:val="Prrafo"/>
        <w:numPr>
          <w:ilvl w:val="0"/>
          <w:numId w:val="2"/>
        </w:numPr>
        <w:ind w:left="0" w:hanging="567"/>
      </w:pPr>
      <w:r w:rsidRPr="00794017">
        <w:t xml:space="preserve">Los escenarios que son resultado del dinamismo inherente a la práctica litigiosa y a la interpretación jurídica no deben confundirse con aquellos caracterizados por una defensa inepta y abiertamente adversa a los intereses de quienes están </w:t>
      </w:r>
      <w:r>
        <w:t>en juicio</w:t>
      </w:r>
      <w:r w:rsidRPr="00794017">
        <w:t>.</w:t>
      </w:r>
    </w:p>
    <w:p w14:paraId="59A076F0" w14:textId="77777777" w:rsidR="00F30645" w:rsidRDefault="00F30645" w:rsidP="00F30645">
      <w:pPr>
        <w:pStyle w:val="Prrafo"/>
        <w:numPr>
          <w:ilvl w:val="0"/>
          <w:numId w:val="2"/>
        </w:numPr>
        <w:ind w:left="0" w:hanging="567"/>
      </w:pPr>
      <w:r w:rsidRPr="00794017">
        <w:t>Por</w:t>
      </w:r>
      <w:r>
        <w:t xml:space="preserve"> </w:t>
      </w:r>
      <w:r w:rsidRPr="00402265">
        <w:t>otro lado, el órgano jurisdiccional tiene que ser especialmente cauto al utilizar la facultad prevista por el artículo 121 del Código Nacional de Procedimientos Penales. El ejercicio de esa facultad no puede ser resultado de una petición de la contraparte de la defensa, pues por un lado es un deber de la autoridad jurisdiccional vigilar el desarrollo adecuado del proceso y, por el otro, cuando sea la contraparte —la Fiscalía, por ejemplo— quien exprese su interés en que la revocación de la defensa ocurra, debe levantar alertas sobre los posibles incentivos para maximizar las posibilidades de una sentencia condenatoria. Así, cualquier petición por la contraparte de la defensa —puesto que el propio imputado sí podría solicitarla— que estuviese dirigida a la aplicación del artículo 121 del Código Nacional de Procedimientos Penales, es decir, a la revocación del cargo del defensor, tiene que despertar en la autoridad judicial una sana suspicacia sobre las motivaciones que le dan origen y debiera ser, por tanto, desechada de plano</w:t>
      </w:r>
      <w:r>
        <w:t>.</w:t>
      </w:r>
    </w:p>
    <w:p w14:paraId="7BFFB278" w14:textId="77777777" w:rsidR="00F30645" w:rsidRDefault="00F30645" w:rsidP="00F30645">
      <w:pPr>
        <w:pStyle w:val="Prrafo"/>
        <w:numPr>
          <w:ilvl w:val="0"/>
          <w:numId w:val="2"/>
        </w:numPr>
        <w:ind w:left="0" w:hanging="567"/>
      </w:pPr>
      <w:r w:rsidRPr="00794017">
        <w:t xml:space="preserve">Ahora, en caso de que el juzgador concluyera que sí está frente a una incapacidad técnica sistemática y manifiesta, deberá motivar esa decisión con base en el estándar aquí elaborado, dirigirse al imputado e informarle </w:t>
      </w:r>
      <w:r w:rsidRPr="00794017">
        <w:lastRenderedPageBreak/>
        <w:t>dicha circunstancia, explicándole que tiene derecho a nombrar a otra defensora, en virtud de que ese proceder puede afectar materialmente su derecho de defensa adecuada y trascender al resultado del fallo en su perjuicio. En caso de que la persona inculpada no pudiera o no quisiera elegir a alguna defensora particular, el juzgador tendría que asignarle a otra defensora pública. Así, la autoridad judicial deberá privilegiar, en principio, el derecho del imputado para nombrar libremente a un defensor de su confianza.</w:t>
      </w:r>
    </w:p>
    <w:p w14:paraId="1B6EAB45" w14:textId="77777777" w:rsidR="00F30645" w:rsidRDefault="00F30645" w:rsidP="00F30645">
      <w:pPr>
        <w:pStyle w:val="Prrafo"/>
        <w:numPr>
          <w:ilvl w:val="0"/>
          <w:numId w:val="2"/>
        </w:numPr>
        <w:ind w:left="0" w:hanging="567"/>
      </w:pPr>
      <w:r w:rsidRPr="00794017">
        <w:t xml:space="preserve">Incluso, el artículo 121 del Código Nacional de Procedimientos Penales obliga al juzgador a prevenir al imputado tan pronto obtiene convicción de que el defensor ha mostrado una incapacidad técnica manifiesta y sistemática. </w:t>
      </w:r>
      <w:r>
        <w:t>Pero</w:t>
      </w:r>
      <w:r w:rsidRPr="00794017">
        <w:t>, antes de tomar cualquier decisión sobre la aplicabilidad de esta norma, el juez debe tomar en cuenta actos o expresiones de la persona inculpada que pudieran indicar su voluntad respecto a la designación de la persona que lo defiende y el grado de información con el que parece haber contado durante la designación. Es decir, la autoridad judicial no puede revocar el cargo de defensor en una mera decisión unilateral y sin previamente haber escuchado a la parte afectada, es decir, al imputado.</w:t>
      </w:r>
    </w:p>
    <w:p w14:paraId="7FAD2B56" w14:textId="77777777" w:rsidR="00F30645" w:rsidRDefault="00F30645" w:rsidP="00F30645">
      <w:pPr>
        <w:pStyle w:val="Prrafo"/>
        <w:numPr>
          <w:ilvl w:val="0"/>
          <w:numId w:val="2"/>
        </w:numPr>
        <w:ind w:left="0" w:hanging="567"/>
      </w:pPr>
      <w:r w:rsidRPr="00794017">
        <w:t xml:space="preserve">Se insiste, por el principio de imparcialidad que debe inspirar las actuaciones de todo juzgador, debe mostrar un grado importante de deferencia a la estrategia deliberada de la defensa, esté articulada en los términos que esté. Cualquier revocación del cargo que no se adecúe </w:t>
      </w:r>
      <w:r>
        <w:t>a este</w:t>
      </w:r>
      <w:r w:rsidRPr="00794017">
        <w:t xml:space="preserve"> estándar </w:t>
      </w:r>
      <w:r>
        <w:t xml:space="preserve">se traduciría en </w:t>
      </w:r>
      <w:r w:rsidRPr="00794017">
        <w:t>una violación del derecho a la defensa adecuada.</w:t>
      </w:r>
    </w:p>
    <w:p w14:paraId="31648811" w14:textId="77777777" w:rsidR="00F30645" w:rsidRDefault="00F30645" w:rsidP="00F30645">
      <w:pPr>
        <w:pStyle w:val="Prrafo"/>
        <w:numPr>
          <w:ilvl w:val="0"/>
          <w:numId w:val="2"/>
        </w:numPr>
        <w:ind w:left="0" w:hanging="567"/>
      </w:pPr>
      <w:r>
        <w:t>Además, por el impacto de la revocación, la aplicación indebida de esta disposición podría tener también consecuencias en la esfera jurídica propia del defensor; al margen del resultado en el proceso. Cuando se trata de una defensa pública, por una parte, la persona podría estar sujeta incluso a una responsabilidad administrativa.</w:t>
      </w:r>
    </w:p>
    <w:p w14:paraId="78C4B788" w14:textId="77777777" w:rsidR="00F30645" w:rsidRDefault="00F30645" w:rsidP="00F30645">
      <w:pPr>
        <w:pStyle w:val="Prrafo"/>
        <w:numPr>
          <w:ilvl w:val="0"/>
          <w:numId w:val="2"/>
        </w:numPr>
        <w:ind w:left="0" w:hanging="567"/>
      </w:pPr>
      <w:r>
        <w:t xml:space="preserve">Pero </w:t>
      </w:r>
      <w:r w:rsidRPr="00402265">
        <w:t xml:space="preserve">tratándose de una defensa privada, esto podría resultar perjudicial para el honor y la imagen profesional de la persona, de la cual puede depender su libre ejercicio de la profesión. Tratándose de una persona quien se ha </w:t>
      </w:r>
      <w:r w:rsidRPr="00402265">
        <w:lastRenderedPageBreak/>
        <w:t>preparado profesionalmente para ejercer como abogado defensor, la inaplicación indebida o arbitraria no resultaría en un aspecto menor; el abuso de la facultad ciertamente puede dar lugar a una afectación importante y constitucionalmente inadmisible en esa persona, e incluso en la corporación de la que forma parte</w:t>
      </w:r>
      <w:r w:rsidRPr="008459EA">
        <w:t>.</w:t>
      </w:r>
    </w:p>
    <w:p w14:paraId="2DC1E7ED" w14:textId="77777777" w:rsidR="00F30645" w:rsidRDefault="00F30645" w:rsidP="00F30645">
      <w:pPr>
        <w:pStyle w:val="Prrafo"/>
        <w:numPr>
          <w:ilvl w:val="0"/>
          <w:numId w:val="2"/>
        </w:numPr>
        <w:ind w:left="0" w:hanging="567"/>
      </w:pPr>
      <w:r>
        <w:t xml:space="preserve">El </w:t>
      </w:r>
      <w:r w:rsidRPr="00402265">
        <w:t>uso inapropiado de esta facultad también podría generar un efecto inhibitorio respecto a las técnicas que los abogados defensores estimen jurídicamente pertinente cuestionar. Esto afectaría la autonomía profesional con la que deben contar para ejercer su función adecuadamente, es decir, para (como dice el quejoso) incluso plantear cuestionamientos complejos o que pudieran resultar incómodos para las partes</w:t>
      </w:r>
      <w:r>
        <w:t>.</w:t>
      </w:r>
    </w:p>
    <w:p w14:paraId="02EB2AF8" w14:textId="77777777" w:rsidR="00F30645" w:rsidRDefault="00F30645" w:rsidP="00F30645">
      <w:pPr>
        <w:pStyle w:val="Prrafo"/>
        <w:numPr>
          <w:ilvl w:val="0"/>
          <w:numId w:val="2"/>
        </w:numPr>
        <w:ind w:left="0" w:hanging="567"/>
      </w:pPr>
      <w:r w:rsidRPr="008459EA">
        <w:t>En otras palabras, el artículo 121 del Código Nacional de Procedimientos Penales debe ser aplicado con cautela y claridad argumentativa, siempre procurando velar por todos los bienes jurídicos en juego ante la posible revocación del cargo</w:t>
      </w:r>
      <w:r>
        <w:t>.</w:t>
      </w:r>
    </w:p>
    <w:p w14:paraId="12DC2498" w14:textId="77777777" w:rsidR="00F30645" w:rsidRDefault="00F30645" w:rsidP="00F30645">
      <w:pPr>
        <w:pStyle w:val="Prrafo"/>
        <w:numPr>
          <w:ilvl w:val="0"/>
          <w:numId w:val="2"/>
        </w:numPr>
        <w:ind w:left="0" w:hanging="567"/>
      </w:pPr>
      <w:r w:rsidRPr="00427599">
        <w:rPr>
          <w:lang w:eastAsia="es-ES"/>
        </w:rPr>
        <w:t>En</w:t>
      </w:r>
      <w:r>
        <w:rPr>
          <w:lang w:eastAsia="es-ES"/>
        </w:rPr>
        <w:t xml:space="preserve"> </w:t>
      </w:r>
      <w:r w:rsidRPr="00A40B7F">
        <w:rPr>
          <w:lang w:eastAsia="es-ES"/>
        </w:rPr>
        <w:t>conclusión, esta Suprema Corte reconoce que la norma impugnada es constitucional, cuando es entendida a la luz del principio de imparcialidad y del derecho a la defensa adecuada, en los términos que se han desarrollado. Sin embargo, si la autoridad judicial decide revocar el cargo al defensor sin demostrar, de manera fundada y motivada, la existencia de una negligencia ostensible, que cumpla con el estándar aquí desarrollado, entonces su aplicación resultaría constitucionalmente inadmisible</w:t>
      </w:r>
      <w:r w:rsidRPr="00C50B87">
        <w:t>.</w:t>
      </w:r>
    </w:p>
    <w:p w14:paraId="7C6C17F5" w14:textId="427C6C7C" w:rsidR="00C50B87" w:rsidRPr="00C50B87" w:rsidRDefault="00F30645" w:rsidP="00F30645">
      <w:pPr>
        <w:pStyle w:val="Prrafo"/>
        <w:numPr>
          <w:ilvl w:val="0"/>
          <w:numId w:val="2"/>
        </w:numPr>
        <w:ind w:left="0" w:hanging="567"/>
      </w:pPr>
      <w:r>
        <w:t>En esos términos, corresponde al tribunal colegiado resolver en relación con el acto de aplicación que el quejoso ha impugnado. A la luz del parámetro desarrollado, deberá valorar la actuación del juez del proceso al ejercer la facultad contenida en el artículo 121 estudiado, así como la consecuencia adoptada al designar una defensa coadyuvante. Esta valoración debe ser independiente y deferente a las estrategias y realizarse al margen del resultado al que se llegó en el proceso al que se sujetó el imputado de cuya defensa se encargó.</w:t>
      </w:r>
    </w:p>
    <w:p w14:paraId="5FA8BD4A" w14:textId="27C7026C" w:rsidR="00446261" w:rsidRPr="00F30645" w:rsidRDefault="00FE05B1" w:rsidP="00446261">
      <w:pPr>
        <w:pStyle w:val="Ttulo3"/>
        <w:numPr>
          <w:ilvl w:val="0"/>
          <w:numId w:val="19"/>
        </w:numPr>
        <w:rPr>
          <w:lang w:val="es-ES"/>
        </w:rPr>
      </w:pPr>
      <w:r w:rsidRPr="00633699">
        <w:rPr>
          <w:lang w:val="es-ES"/>
        </w:rPr>
        <w:lastRenderedPageBreak/>
        <w:t>DECISIÓN</w:t>
      </w:r>
    </w:p>
    <w:p w14:paraId="2518E77C" w14:textId="5CA17521" w:rsidR="00A13E62" w:rsidRPr="00446261" w:rsidRDefault="00867431" w:rsidP="00446261">
      <w:pPr>
        <w:pStyle w:val="Prrafo"/>
        <w:numPr>
          <w:ilvl w:val="0"/>
          <w:numId w:val="2"/>
        </w:numPr>
        <w:ind w:left="0" w:hanging="567"/>
      </w:pPr>
      <w:r w:rsidRPr="00446261">
        <w:rPr>
          <w:lang w:eastAsia="es-ES"/>
        </w:rPr>
        <w:t>Del parámetro respecto del derecho a la defensa adecuada</w:t>
      </w:r>
      <w:r w:rsidR="00AF78FC" w:rsidRPr="00446261">
        <w:rPr>
          <w:lang w:eastAsia="es-ES"/>
        </w:rPr>
        <w:t xml:space="preserve"> desarrollado</w:t>
      </w:r>
      <w:r w:rsidRPr="00446261">
        <w:rPr>
          <w:lang w:eastAsia="es-ES"/>
        </w:rPr>
        <w:t xml:space="preserve">, se concluye </w:t>
      </w:r>
      <w:r w:rsidR="00A13E62" w:rsidRPr="00446261">
        <w:rPr>
          <w:lang w:eastAsia="es-ES"/>
        </w:rPr>
        <w:t>que el artículo 121 del Código Nacional de Procedimientos Penales es constitucional</w:t>
      </w:r>
      <w:r w:rsidR="007D6D3F" w:rsidRPr="00446261">
        <w:rPr>
          <w:lang w:eastAsia="es-ES"/>
        </w:rPr>
        <w:t>; sin embargo, esto no excluye la posibilidad de que aplicado en un caso concreto, pueda</w:t>
      </w:r>
      <w:r w:rsidR="00DD7DEB" w:rsidRPr="00446261">
        <w:rPr>
          <w:lang w:eastAsia="es-ES"/>
        </w:rPr>
        <w:t xml:space="preserve"> producir una afectación constitucionalmente inadmisible en la esfera jurídica de las personas, por lo que</w:t>
      </w:r>
      <w:r w:rsidR="00DD7DEB" w:rsidRPr="00446261">
        <w:t xml:space="preserve"> </w:t>
      </w:r>
      <w:r w:rsidR="00A13E62" w:rsidRPr="00446261">
        <w:t>se reserva jurisdicción al tribunal colegiado competente para que se pronuncie sobre los agravios que expuso el recurrente en materia de legalidad</w:t>
      </w:r>
      <w:r w:rsidR="0093159A" w:rsidRPr="00446261">
        <w:t xml:space="preserve"> al combatir el acto de aplicación reclamado</w:t>
      </w:r>
      <w:r w:rsidR="00A13E62" w:rsidRPr="00446261">
        <w:t xml:space="preserve">. Al </w:t>
      </w:r>
      <w:r w:rsidR="0093159A" w:rsidRPr="00446261">
        <w:t xml:space="preserve">estudiar estas cuestiones, el tribunal colegiado deberá </w:t>
      </w:r>
      <w:r w:rsidR="00A13E62" w:rsidRPr="00446261">
        <w:t xml:space="preserve">partir de la interpretación que </w:t>
      </w:r>
      <w:r w:rsidR="0093159A" w:rsidRPr="00446261">
        <w:t xml:space="preserve">se ha desarrollado en </w:t>
      </w:r>
      <w:r w:rsidR="00A13E62" w:rsidRPr="00446261">
        <w:t xml:space="preserve">esta </w:t>
      </w:r>
      <w:r w:rsidR="0093159A" w:rsidRPr="00446261">
        <w:t>resolución y determinar, con libertad de jurisdicción, lo correspondiente.</w:t>
      </w:r>
    </w:p>
    <w:p w14:paraId="47753459" w14:textId="77777777" w:rsidR="00A13E62" w:rsidRPr="00A664DC" w:rsidRDefault="00A13E62" w:rsidP="00A13E62">
      <w:pPr>
        <w:pStyle w:val="corte4fondo"/>
        <w:widowControl w:val="0"/>
        <w:tabs>
          <w:tab w:val="left" w:pos="0"/>
        </w:tabs>
        <w:spacing w:before="240" w:after="240"/>
        <w:ind w:firstLine="0"/>
        <w:rPr>
          <w:rFonts w:cs="Arial"/>
          <w:sz w:val="26"/>
          <w:szCs w:val="26"/>
        </w:rPr>
      </w:pPr>
      <w:r w:rsidRPr="00A664DC">
        <w:rPr>
          <w:rFonts w:cs="Arial"/>
          <w:sz w:val="26"/>
          <w:szCs w:val="26"/>
        </w:rPr>
        <w:t>Por todo lo expuesto y fundado, se resuelve:</w:t>
      </w:r>
    </w:p>
    <w:p w14:paraId="38B90A63" w14:textId="3561AA6E" w:rsidR="0030096A" w:rsidRPr="0058361A" w:rsidRDefault="00A13E62" w:rsidP="00E30939">
      <w:pPr>
        <w:spacing w:before="120" w:after="120" w:line="360" w:lineRule="auto"/>
        <w:ind w:firstLine="567"/>
        <w:rPr>
          <w:rFonts w:eastAsia="Calibri"/>
          <w:sz w:val="26"/>
          <w:szCs w:val="26"/>
        </w:rPr>
      </w:pPr>
      <w:r w:rsidRPr="0058361A">
        <w:rPr>
          <w:rFonts w:eastAsia="Calibri"/>
          <w:b/>
          <w:sz w:val="26"/>
          <w:szCs w:val="26"/>
        </w:rPr>
        <w:t xml:space="preserve">PRIMERO. </w:t>
      </w:r>
      <w:r w:rsidRPr="0058361A">
        <w:rPr>
          <w:rFonts w:eastAsia="Calibri"/>
          <w:sz w:val="26"/>
          <w:szCs w:val="26"/>
        </w:rPr>
        <w:t xml:space="preserve">En </w:t>
      </w:r>
      <w:r w:rsidR="0030096A">
        <w:rPr>
          <w:rFonts w:eastAsia="Calibri"/>
          <w:sz w:val="26"/>
          <w:szCs w:val="26"/>
        </w:rPr>
        <w:t>la materia</w:t>
      </w:r>
      <w:r w:rsidRPr="0058361A">
        <w:rPr>
          <w:rFonts w:eastAsia="Calibri"/>
          <w:sz w:val="26"/>
          <w:szCs w:val="26"/>
        </w:rPr>
        <w:t xml:space="preserve"> competencia de </w:t>
      </w:r>
      <w:r w:rsidR="00784C4F">
        <w:rPr>
          <w:rFonts w:eastAsia="Calibri"/>
          <w:sz w:val="26"/>
          <w:szCs w:val="26"/>
        </w:rPr>
        <w:t>este Tribunal Pleno</w:t>
      </w:r>
      <w:r w:rsidRPr="0058361A">
        <w:rPr>
          <w:rFonts w:eastAsia="Calibri"/>
          <w:sz w:val="26"/>
          <w:szCs w:val="26"/>
        </w:rPr>
        <w:t>,</w:t>
      </w:r>
      <w:r w:rsidRPr="0058361A">
        <w:rPr>
          <w:rFonts w:eastAsia="Calibri"/>
          <w:b/>
          <w:sz w:val="26"/>
          <w:szCs w:val="26"/>
        </w:rPr>
        <w:t xml:space="preserve"> </w:t>
      </w:r>
      <w:r w:rsidRPr="0058361A">
        <w:rPr>
          <w:rFonts w:eastAsia="Calibri"/>
          <w:sz w:val="26"/>
          <w:szCs w:val="26"/>
        </w:rPr>
        <w:t>se revoca la sentencia recurrida.</w:t>
      </w:r>
    </w:p>
    <w:p w14:paraId="5B0A1C98" w14:textId="641C58BF" w:rsidR="0030096A" w:rsidRDefault="00A13E62" w:rsidP="00E30939">
      <w:pPr>
        <w:spacing w:before="120" w:after="120" w:line="360" w:lineRule="auto"/>
        <w:ind w:firstLine="567"/>
        <w:rPr>
          <w:rFonts w:eastAsia="Calibri"/>
          <w:sz w:val="26"/>
          <w:szCs w:val="26"/>
        </w:rPr>
      </w:pPr>
      <w:r w:rsidRPr="0058361A">
        <w:rPr>
          <w:rFonts w:eastAsia="Calibri"/>
          <w:b/>
          <w:sz w:val="26"/>
          <w:szCs w:val="26"/>
        </w:rPr>
        <w:t xml:space="preserve">SEGUNDO. </w:t>
      </w:r>
      <w:r w:rsidR="0030096A" w:rsidRPr="0030096A">
        <w:rPr>
          <w:rFonts w:eastAsia="Calibri"/>
          <w:bCs/>
          <w:sz w:val="26"/>
          <w:szCs w:val="26"/>
        </w:rPr>
        <w:t>La</w:t>
      </w:r>
      <w:r w:rsidR="0030096A">
        <w:rPr>
          <w:rFonts w:eastAsia="Calibri"/>
          <w:b/>
          <w:sz w:val="26"/>
          <w:szCs w:val="26"/>
        </w:rPr>
        <w:t xml:space="preserve"> </w:t>
      </w:r>
      <w:r w:rsidR="0030096A">
        <w:rPr>
          <w:rFonts w:eastAsia="Calibri"/>
          <w:sz w:val="26"/>
          <w:szCs w:val="26"/>
        </w:rPr>
        <w:t>Justicia de la Unión no ampara ni protege al quejoso en contra del artículo 121 del Código Nacional de Procedimientos Penales.</w:t>
      </w:r>
    </w:p>
    <w:p w14:paraId="2F715F73" w14:textId="3FA9D89C" w:rsidR="00A13E62" w:rsidRPr="0058361A" w:rsidRDefault="0030096A" w:rsidP="00E30939">
      <w:pPr>
        <w:spacing w:before="120" w:after="120" w:line="360" w:lineRule="auto"/>
        <w:ind w:firstLine="567"/>
        <w:rPr>
          <w:rFonts w:eastAsia="Calibri"/>
          <w:sz w:val="26"/>
          <w:szCs w:val="26"/>
        </w:rPr>
      </w:pPr>
      <w:r>
        <w:rPr>
          <w:rFonts w:eastAsia="Calibri"/>
          <w:b/>
          <w:sz w:val="26"/>
          <w:szCs w:val="26"/>
        </w:rPr>
        <w:t>TERCERO.</w:t>
      </w:r>
      <w:r>
        <w:rPr>
          <w:rFonts w:eastAsia="Calibri"/>
          <w:sz w:val="26"/>
          <w:szCs w:val="26"/>
        </w:rPr>
        <w:t xml:space="preserve"> Se reserva </w:t>
      </w:r>
      <w:r w:rsidR="00A13E62" w:rsidRPr="0058361A">
        <w:rPr>
          <w:rFonts w:eastAsia="Calibri"/>
          <w:sz w:val="26"/>
          <w:szCs w:val="26"/>
        </w:rPr>
        <w:t xml:space="preserve">jurisdicción al </w:t>
      </w:r>
      <w:r w:rsidR="008C4A9C" w:rsidRPr="008C4A9C">
        <w:rPr>
          <w:sz w:val="26"/>
          <w:szCs w:val="26"/>
        </w:rPr>
        <w:t>Cuarto Tribunal Colegiado en Materia Penal del Tercer Circuito</w:t>
      </w:r>
      <w:r w:rsidR="00A13E62" w:rsidRPr="0058361A">
        <w:rPr>
          <w:rFonts w:eastAsia="Calibri"/>
          <w:sz w:val="26"/>
          <w:szCs w:val="26"/>
        </w:rPr>
        <w:t xml:space="preserve">, </w:t>
      </w:r>
      <w:r w:rsidR="00A13E62" w:rsidRPr="0058361A">
        <w:rPr>
          <w:rFonts w:eastAsia="Calibri"/>
          <w:sz w:val="26"/>
          <w:szCs w:val="26"/>
          <w:lang w:eastAsia="es-ES"/>
        </w:rPr>
        <w:t>para que conozca de lo que es materia de su competencia en términos del último considerando de esta sentencia.</w:t>
      </w:r>
    </w:p>
    <w:p w14:paraId="4D4879DA" w14:textId="7AC50055" w:rsidR="00F36F21" w:rsidRDefault="00A13E62" w:rsidP="0030096A">
      <w:pPr>
        <w:pStyle w:val="corte4fondo"/>
        <w:widowControl w:val="0"/>
        <w:tabs>
          <w:tab w:val="left" w:pos="0"/>
        </w:tabs>
        <w:spacing w:before="240" w:after="240"/>
        <w:ind w:firstLine="0"/>
        <w:rPr>
          <w:sz w:val="26"/>
          <w:szCs w:val="26"/>
          <w:lang w:eastAsia="es-ES"/>
        </w:rPr>
      </w:pPr>
      <w:r w:rsidRPr="00A664DC">
        <w:rPr>
          <w:b/>
          <w:sz w:val="26"/>
          <w:szCs w:val="26"/>
          <w:lang w:eastAsia="es-ES"/>
        </w:rPr>
        <w:t>Notifíquese</w:t>
      </w:r>
      <w:r w:rsidRPr="00A664DC">
        <w:rPr>
          <w:sz w:val="26"/>
          <w:szCs w:val="26"/>
          <w:lang w:eastAsia="es-ES"/>
        </w:rPr>
        <w:t>, con testimonio de esta ejecutoria, devuélvanse los autos relativos al lugar de su origen y, en su oportunidad, archívese el toca como asunto total y definitivamente concluido.</w:t>
      </w:r>
    </w:p>
    <w:p w14:paraId="20199C9B" w14:textId="77777777" w:rsidR="009E1D43" w:rsidRDefault="009E1D43" w:rsidP="009E1D43">
      <w:pPr>
        <w:pStyle w:val="corte4fondo"/>
        <w:widowControl w:val="0"/>
        <w:tabs>
          <w:tab w:val="left" w:pos="0"/>
        </w:tabs>
        <w:spacing w:before="240" w:after="240"/>
        <w:ind w:firstLine="0"/>
        <w:rPr>
          <w:sz w:val="26"/>
          <w:szCs w:val="26"/>
          <w:lang w:eastAsia="es-ES"/>
        </w:rPr>
      </w:pPr>
      <w:r w:rsidRPr="003C1398">
        <w:rPr>
          <w:sz w:val="26"/>
          <w:szCs w:val="26"/>
          <w:lang w:eastAsia="es-ES"/>
        </w:rPr>
        <w:t xml:space="preserve">Así lo resolvió el Pleno de la Suprema Corte de Justicia de la Nación por unanimidad de </w:t>
      </w:r>
      <w:r>
        <w:rPr>
          <w:sz w:val="26"/>
          <w:szCs w:val="26"/>
          <w:lang w:eastAsia="es-ES"/>
        </w:rPr>
        <w:t>ocho</w:t>
      </w:r>
      <w:r w:rsidRPr="003C1398">
        <w:rPr>
          <w:sz w:val="26"/>
          <w:szCs w:val="26"/>
          <w:lang w:eastAsia="es-ES"/>
        </w:rPr>
        <w:t xml:space="preserve"> votos de las personas </w:t>
      </w:r>
      <w:r>
        <w:rPr>
          <w:sz w:val="26"/>
          <w:szCs w:val="26"/>
          <w:lang w:eastAsia="es-ES"/>
        </w:rPr>
        <w:t>M</w:t>
      </w:r>
      <w:r w:rsidRPr="003C1398">
        <w:rPr>
          <w:sz w:val="26"/>
          <w:szCs w:val="26"/>
          <w:lang w:eastAsia="es-ES"/>
        </w:rPr>
        <w:t xml:space="preserve">inistras Herrerías Guerra, Espinosa Betanzo, Ríos González, Esquivel Mossa, Batres Guadarrama, Figueroa Mejía, Guerrero García y Presidente Aguilar Ortiz. El señor </w:t>
      </w:r>
      <w:r>
        <w:rPr>
          <w:sz w:val="26"/>
          <w:szCs w:val="26"/>
          <w:lang w:eastAsia="es-ES"/>
        </w:rPr>
        <w:t>M</w:t>
      </w:r>
      <w:r w:rsidRPr="003C1398">
        <w:rPr>
          <w:sz w:val="26"/>
          <w:szCs w:val="26"/>
          <w:lang w:eastAsia="es-ES"/>
        </w:rPr>
        <w:t xml:space="preserve">inistro Figueroa Mejía anunció voto concurrente. La señora </w:t>
      </w:r>
      <w:r>
        <w:rPr>
          <w:sz w:val="26"/>
          <w:szCs w:val="26"/>
          <w:lang w:eastAsia="es-ES"/>
        </w:rPr>
        <w:t>M</w:t>
      </w:r>
      <w:r w:rsidRPr="003C1398">
        <w:rPr>
          <w:sz w:val="26"/>
          <w:szCs w:val="26"/>
          <w:lang w:eastAsia="es-ES"/>
        </w:rPr>
        <w:t>inistra Herrerías Guerra reservó su derecho de formular voto concurrente.</w:t>
      </w:r>
    </w:p>
    <w:p w14:paraId="11999E22" w14:textId="77777777" w:rsidR="009E1D43" w:rsidRDefault="009E1D43" w:rsidP="009E1D43">
      <w:pPr>
        <w:pStyle w:val="corte4fondo"/>
        <w:widowControl w:val="0"/>
        <w:tabs>
          <w:tab w:val="left" w:pos="0"/>
        </w:tabs>
        <w:spacing w:before="240" w:after="240"/>
        <w:ind w:firstLine="0"/>
        <w:rPr>
          <w:sz w:val="26"/>
          <w:szCs w:val="26"/>
          <w:lang w:eastAsia="es-ES"/>
        </w:rPr>
      </w:pPr>
      <w:r w:rsidRPr="00B26891">
        <w:rPr>
          <w:sz w:val="26"/>
          <w:szCs w:val="26"/>
          <w:lang w:eastAsia="es-ES"/>
        </w:rPr>
        <w:t xml:space="preserve">La </w:t>
      </w:r>
      <w:r>
        <w:rPr>
          <w:sz w:val="26"/>
          <w:szCs w:val="26"/>
          <w:lang w:eastAsia="es-ES"/>
        </w:rPr>
        <w:t>señora m</w:t>
      </w:r>
      <w:r w:rsidRPr="00B26891">
        <w:rPr>
          <w:sz w:val="26"/>
          <w:szCs w:val="26"/>
          <w:lang w:eastAsia="es-ES"/>
        </w:rPr>
        <w:t xml:space="preserve">inistra Loretta Ortiz Ahlf no asistió a la sesión de </w:t>
      </w:r>
      <w:r>
        <w:rPr>
          <w:sz w:val="26"/>
          <w:szCs w:val="26"/>
          <w:lang w:eastAsia="es-ES"/>
        </w:rPr>
        <w:t>veintisiete</w:t>
      </w:r>
      <w:r w:rsidRPr="00B26891">
        <w:rPr>
          <w:sz w:val="26"/>
          <w:szCs w:val="26"/>
          <w:lang w:eastAsia="es-ES"/>
        </w:rPr>
        <w:t xml:space="preserve"> de </w:t>
      </w:r>
      <w:r w:rsidRPr="00B26891">
        <w:rPr>
          <w:sz w:val="26"/>
          <w:szCs w:val="26"/>
          <w:lang w:eastAsia="es-ES"/>
        </w:rPr>
        <w:lastRenderedPageBreak/>
        <w:t xml:space="preserve">enero de </w:t>
      </w:r>
      <w:r>
        <w:rPr>
          <w:sz w:val="26"/>
          <w:szCs w:val="26"/>
          <w:lang w:eastAsia="es-ES"/>
        </w:rPr>
        <w:t>dos mil veintiséis</w:t>
      </w:r>
      <w:r w:rsidRPr="00B26891">
        <w:rPr>
          <w:sz w:val="26"/>
          <w:szCs w:val="26"/>
          <w:lang w:eastAsia="es-ES"/>
        </w:rPr>
        <w:t xml:space="preserve"> por desempeñar una comisión oficial.</w:t>
      </w:r>
    </w:p>
    <w:p w14:paraId="4D543E31" w14:textId="77777777" w:rsidR="009E1D43" w:rsidRPr="00B26891" w:rsidRDefault="009E1D43" w:rsidP="009E1D43">
      <w:pPr>
        <w:pStyle w:val="corte4fondo"/>
        <w:widowControl w:val="0"/>
        <w:tabs>
          <w:tab w:val="left" w:pos="0"/>
        </w:tabs>
        <w:spacing w:before="240" w:after="240"/>
        <w:ind w:firstLine="0"/>
        <w:rPr>
          <w:sz w:val="26"/>
          <w:szCs w:val="26"/>
          <w:lang w:eastAsia="es-ES"/>
        </w:rPr>
      </w:pPr>
      <w:r>
        <w:rPr>
          <w:sz w:val="26"/>
          <w:szCs w:val="26"/>
          <w:lang w:eastAsia="es-ES"/>
        </w:rPr>
        <w:t>El señor Ministro Presidente Aguilar Ortiz declaró que el asunto se resolvió en los términos precisados.</w:t>
      </w:r>
    </w:p>
    <w:p w14:paraId="41FA33ED" w14:textId="33E2AE5A" w:rsidR="00904AFB" w:rsidRDefault="009E1D43" w:rsidP="009E1D43">
      <w:pPr>
        <w:pStyle w:val="corte4fondo"/>
        <w:widowControl w:val="0"/>
        <w:tabs>
          <w:tab w:val="left" w:pos="0"/>
        </w:tabs>
        <w:spacing w:before="240" w:after="240"/>
        <w:ind w:firstLine="0"/>
        <w:rPr>
          <w:sz w:val="26"/>
          <w:szCs w:val="26"/>
          <w:lang w:eastAsia="es-ES"/>
        </w:rPr>
      </w:pPr>
      <w:r w:rsidRPr="00EA4120">
        <w:rPr>
          <w:sz w:val="26"/>
          <w:szCs w:val="26"/>
          <w:lang w:eastAsia="es-ES"/>
        </w:rPr>
        <w:t>Firman el señor Ministro Presidente de la Suprema Corte de Justicia de la Nación y el señor Ministro Ponente con el Secretario General de Acuerdos</w:t>
      </w:r>
      <w:r>
        <w:rPr>
          <w:sz w:val="26"/>
          <w:szCs w:val="26"/>
          <w:lang w:eastAsia="es-ES"/>
        </w:rPr>
        <w:t xml:space="preserve"> </w:t>
      </w:r>
      <w:r w:rsidRPr="00EA4120">
        <w:rPr>
          <w:sz w:val="26"/>
          <w:szCs w:val="26"/>
          <w:lang w:eastAsia="es-ES"/>
        </w:rPr>
        <w:t>que autoriza y da fe.</w:t>
      </w:r>
    </w:p>
    <w:p w14:paraId="36A6CFCF" w14:textId="77777777" w:rsidR="00904AFB" w:rsidRPr="00A214A4" w:rsidRDefault="00904AFB" w:rsidP="00904AFB">
      <w:pPr>
        <w:spacing w:line="360" w:lineRule="auto"/>
        <w:ind w:firstLine="709"/>
        <w:jc w:val="center"/>
        <w:rPr>
          <w:rFonts w:eastAsia="Calibri"/>
          <w:b/>
          <w:sz w:val="26"/>
          <w:szCs w:val="26"/>
          <w:lang w:eastAsia="x-none"/>
        </w:rPr>
      </w:pPr>
      <w:r w:rsidRPr="00A214A4">
        <w:rPr>
          <w:rFonts w:eastAsia="Calibri"/>
          <w:b/>
          <w:sz w:val="26"/>
          <w:szCs w:val="26"/>
          <w:lang w:eastAsia="x-none"/>
        </w:rPr>
        <w:t>PRESIDENT</w:t>
      </w:r>
      <w:r>
        <w:rPr>
          <w:rFonts w:eastAsia="Calibri"/>
          <w:b/>
          <w:sz w:val="26"/>
          <w:szCs w:val="26"/>
          <w:lang w:eastAsia="x-none"/>
        </w:rPr>
        <w:t xml:space="preserve">E </w:t>
      </w:r>
    </w:p>
    <w:p w14:paraId="04FB4976" w14:textId="3A6BAE70" w:rsidR="00911919" w:rsidRDefault="00B81CAB" w:rsidP="00911919">
      <w:pPr>
        <w:spacing w:line="240" w:lineRule="auto"/>
        <w:ind w:firstLine="709"/>
        <w:jc w:val="center"/>
        <w:rPr>
          <w:rFonts w:eastAsia="Aptos"/>
          <w:i/>
          <w:iCs/>
          <w:sz w:val="28"/>
          <w:szCs w:val="28"/>
        </w:rPr>
      </w:pPr>
      <w:r w:rsidRPr="00BF0E1C">
        <w:rPr>
          <w:rFonts w:eastAsia="Aptos"/>
          <w:i/>
          <w:iCs/>
        </w:rPr>
        <w:t>(Esta sentencia se suscribe con Firma Electrónica Certificada del Poder Judicial de la Federación [FIREL]).</w:t>
      </w:r>
    </w:p>
    <w:p w14:paraId="1A0ADB1C" w14:textId="13BAEBF8" w:rsidR="00904AFB" w:rsidRPr="00A214A4" w:rsidRDefault="00904AFB" w:rsidP="00904AFB">
      <w:pPr>
        <w:spacing w:line="360" w:lineRule="auto"/>
        <w:ind w:firstLine="709"/>
        <w:jc w:val="center"/>
        <w:rPr>
          <w:rFonts w:eastAsia="Calibri"/>
          <w:b/>
          <w:sz w:val="26"/>
          <w:szCs w:val="26"/>
          <w:lang w:eastAsia="x-none"/>
        </w:rPr>
      </w:pPr>
      <w:r w:rsidRPr="00A214A4">
        <w:rPr>
          <w:rFonts w:eastAsia="Calibri"/>
          <w:b/>
          <w:sz w:val="26"/>
          <w:szCs w:val="26"/>
          <w:lang w:eastAsia="x-none"/>
        </w:rPr>
        <w:t>MINISTR</w:t>
      </w:r>
      <w:r>
        <w:rPr>
          <w:rFonts w:eastAsia="Calibri"/>
          <w:b/>
          <w:sz w:val="26"/>
          <w:szCs w:val="26"/>
          <w:lang w:eastAsia="x-none"/>
        </w:rPr>
        <w:t>O</w:t>
      </w:r>
      <w:r w:rsidRPr="00A214A4">
        <w:rPr>
          <w:rFonts w:eastAsia="Calibri"/>
          <w:b/>
          <w:sz w:val="26"/>
          <w:szCs w:val="26"/>
          <w:lang w:eastAsia="x-none"/>
        </w:rPr>
        <w:t xml:space="preserve"> HUGO AGUILAR ORTIZ</w:t>
      </w:r>
    </w:p>
    <w:p w14:paraId="2D8488BB" w14:textId="77777777" w:rsidR="00904AFB" w:rsidRPr="00A214A4" w:rsidRDefault="00904AFB" w:rsidP="00904AFB">
      <w:pPr>
        <w:spacing w:line="360" w:lineRule="auto"/>
        <w:rPr>
          <w:rFonts w:eastAsia="Calibri"/>
          <w:b/>
          <w:sz w:val="26"/>
          <w:szCs w:val="26"/>
          <w:lang w:eastAsia="x-none"/>
        </w:rPr>
      </w:pPr>
    </w:p>
    <w:p w14:paraId="507E3351" w14:textId="77777777" w:rsidR="00904AFB" w:rsidRPr="00A214A4" w:rsidRDefault="00904AFB" w:rsidP="00904AFB">
      <w:pPr>
        <w:spacing w:line="360" w:lineRule="auto"/>
        <w:rPr>
          <w:rFonts w:eastAsia="Calibri"/>
          <w:b/>
          <w:sz w:val="26"/>
          <w:szCs w:val="26"/>
          <w:lang w:eastAsia="x-none"/>
        </w:rPr>
      </w:pPr>
    </w:p>
    <w:p w14:paraId="14838BE9" w14:textId="77777777" w:rsidR="00904AFB" w:rsidRPr="00A214A4" w:rsidRDefault="00904AFB" w:rsidP="00904AFB">
      <w:pPr>
        <w:spacing w:line="360" w:lineRule="auto"/>
        <w:ind w:firstLine="709"/>
        <w:jc w:val="center"/>
        <w:rPr>
          <w:rFonts w:eastAsia="Calibri"/>
          <w:b/>
          <w:sz w:val="26"/>
          <w:szCs w:val="26"/>
          <w:lang w:eastAsia="x-none"/>
        </w:rPr>
      </w:pPr>
      <w:r w:rsidRPr="00A214A4">
        <w:rPr>
          <w:rFonts w:eastAsia="Calibri"/>
          <w:b/>
          <w:sz w:val="26"/>
          <w:szCs w:val="26"/>
          <w:lang w:eastAsia="x-none"/>
        </w:rPr>
        <w:t>PONENTE</w:t>
      </w:r>
    </w:p>
    <w:p w14:paraId="7A82B75A" w14:textId="43F12575" w:rsidR="00911919" w:rsidRDefault="00B81CAB" w:rsidP="00911919">
      <w:pPr>
        <w:spacing w:line="240" w:lineRule="auto"/>
        <w:ind w:firstLine="709"/>
        <w:jc w:val="center"/>
        <w:rPr>
          <w:rFonts w:eastAsia="Aptos"/>
          <w:i/>
          <w:iCs/>
          <w:sz w:val="28"/>
          <w:szCs w:val="28"/>
        </w:rPr>
      </w:pPr>
      <w:r w:rsidRPr="00BF0E1C">
        <w:rPr>
          <w:rFonts w:eastAsia="Aptos"/>
          <w:i/>
          <w:iCs/>
        </w:rPr>
        <w:t>(Esta sentencia se suscribe con Firma Electrónica Certificada del Poder Judicial de la Federación [FIREL]).</w:t>
      </w:r>
    </w:p>
    <w:p w14:paraId="0087E59D" w14:textId="0DEDE54F" w:rsidR="00904AFB" w:rsidRPr="00A214A4" w:rsidRDefault="00904AFB" w:rsidP="00904AFB">
      <w:pPr>
        <w:spacing w:line="360" w:lineRule="auto"/>
        <w:ind w:firstLine="709"/>
        <w:jc w:val="center"/>
        <w:rPr>
          <w:rFonts w:eastAsia="Calibri"/>
          <w:b/>
          <w:sz w:val="26"/>
          <w:szCs w:val="26"/>
          <w:lang w:eastAsia="x-none"/>
        </w:rPr>
      </w:pPr>
      <w:r w:rsidRPr="00A214A4">
        <w:rPr>
          <w:rFonts w:eastAsia="Calibri"/>
          <w:b/>
          <w:sz w:val="26"/>
          <w:szCs w:val="26"/>
          <w:lang w:eastAsia="x-none"/>
        </w:rPr>
        <w:t xml:space="preserve">MINISTRO </w:t>
      </w:r>
      <w:r>
        <w:rPr>
          <w:rFonts w:eastAsia="Calibri"/>
          <w:b/>
          <w:sz w:val="26"/>
          <w:szCs w:val="26"/>
          <w:lang w:eastAsia="x-none"/>
        </w:rPr>
        <w:t>IRVING ESPINOSA BETANZO</w:t>
      </w:r>
    </w:p>
    <w:p w14:paraId="788075FF" w14:textId="77777777" w:rsidR="00904AFB" w:rsidRPr="00A214A4" w:rsidRDefault="00904AFB" w:rsidP="00904AFB">
      <w:pPr>
        <w:spacing w:line="360" w:lineRule="auto"/>
        <w:rPr>
          <w:rFonts w:eastAsia="Calibri"/>
          <w:b/>
          <w:sz w:val="26"/>
          <w:szCs w:val="26"/>
          <w:lang w:eastAsia="x-none"/>
        </w:rPr>
      </w:pPr>
    </w:p>
    <w:p w14:paraId="733BC028" w14:textId="77777777" w:rsidR="00904AFB" w:rsidRPr="00A214A4" w:rsidRDefault="00904AFB" w:rsidP="00904AFB">
      <w:pPr>
        <w:spacing w:line="360" w:lineRule="auto"/>
        <w:rPr>
          <w:rFonts w:eastAsia="Calibri"/>
          <w:b/>
          <w:sz w:val="26"/>
          <w:szCs w:val="26"/>
          <w:lang w:eastAsia="x-none"/>
        </w:rPr>
      </w:pPr>
    </w:p>
    <w:p w14:paraId="5647A1F6" w14:textId="77777777" w:rsidR="00904AFB" w:rsidRPr="00A214A4" w:rsidRDefault="00904AFB" w:rsidP="00904AFB">
      <w:pPr>
        <w:spacing w:line="360" w:lineRule="auto"/>
        <w:ind w:firstLine="709"/>
        <w:jc w:val="center"/>
        <w:rPr>
          <w:rFonts w:eastAsia="Calibri"/>
          <w:b/>
          <w:sz w:val="26"/>
          <w:szCs w:val="26"/>
          <w:lang w:eastAsia="x-none"/>
        </w:rPr>
      </w:pPr>
      <w:r w:rsidRPr="00A214A4">
        <w:rPr>
          <w:rFonts w:eastAsia="Calibri"/>
          <w:b/>
          <w:sz w:val="26"/>
          <w:szCs w:val="26"/>
          <w:lang w:eastAsia="x-none"/>
        </w:rPr>
        <w:t>SECRETARIO</w:t>
      </w:r>
      <w:r>
        <w:rPr>
          <w:rFonts w:eastAsia="Calibri"/>
          <w:b/>
          <w:sz w:val="26"/>
          <w:szCs w:val="26"/>
          <w:lang w:eastAsia="x-none"/>
        </w:rPr>
        <w:t xml:space="preserve"> GENERAL</w:t>
      </w:r>
      <w:r w:rsidRPr="00A214A4">
        <w:rPr>
          <w:rFonts w:eastAsia="Calibri"/>
          <w:b/>
          <w:sz w:val="26"/>
          <w:szCs w:val="26"/>
          <w:lang w:eastAsia="x-none"/>
        </w:rPr>
        <w:t xml:space="preserve"> DE ACUERDOS</w:t>
      </w:r>
    </w:p>
    <w:p w14:paraId="1F9B2386" w14:textId="4F831505" w:rsidR="00911919" w:rsidRDefault="00B81CAB" w:rsidP="00911919">
      <w:pPr>
        <w:spacing w:line="240" w:lineRule="auto"/>
        <w:ind w:firstLine="709"/>
        <w:jc w:val="center"/>
        <w:rPr>
          <w:rFonts w:eastAsia="Aptos"/>
          <w:i/>
          <w:iCs/>
          <w:sz w:val="28"/>
          <w:szCs w:val="28"/>
        </w:rPr>
      </w:pPr>
      <w:r w:rsidRPr="00BF0E1C">
        <w:rPr>
          <w:rFonts w:eastAsia="Aptos"/>
          <w:i/>
          <w:iCs/>
        </w:rPr>
        <w:t>(Esta sentencia se suscribe con Firma Electrónica Certificada del Poder Judicial de la Federación [FIREL]).</w:t>
      </w:r>
    </w:p>
    <w:p w14:paraId="562DECB1" w14:textId="3BB81219" w:rsidR="00904AFB" w:rsidRPr="003F385B" w:rsidRDefault="00904AFB" w:rsidP="00904AFB">
      <w:pPr>
        <w:spacing w:line="360" w:lineRule="auto"/>
        <w:ind w:firstLine="709"/>
        <w:jc w:val="center"/>
        <w:rPr>
          <w:rFonts w:eastAsia="Calibri"/>
          <w:b/>
          <w:bCs/>
          <w:sz w:val="26"/>
          <w:szCs w:val="26"/>
          <w:lang w:eastAsia="x-none"/>
        </w:rPr>
      </w:pPr>
      <w:r>
        <w:rPr>
          <w:rFonts w:eastAsia="Calibri"/>
          <w:b/>
          <w:bCs/>
          <w:sz w:val="26"/>
          <w:szCs w:val="26"/>
          <w:lang w:eastAsia="x-none"/>
        </w:rPr>
        <w:t>DANIEL ÁLVAREZ TOLEDO</w:t>
      </w:r>
    </w:p>
    <w:p w14:paraId="64E55355" w14:textId="77777777" w:rsidR="00904AFB" w:rsidRDefault="00904AFB" w:rsidP="0030096A">
      <w:pPr>
        <w:pStyle w:val="corte4fondo"/>
        <w:widowControl w:val="0"/>
        <w:tabs>
          <w:tab w:val="left" w:pos="0"/>
        </w:tabs>
        <w:spacing w:before="240" w:after="240"/>
        <w:ind w:firstLine="0"/>
        <w:rPr>
          <w:sz w:val="26"/>
          <w:szCs w:val="26"/>
          <w:lang w:eastAsia="es-ES"/>
        </w:rPr>
      </w:pPr>
    </w:p>
    <w:p w14:paraId="7E709E00" w14:textId="77777777" w:rsidR="005C2664" w:rsidRDefault="005C2664" w:rsidP="0030096A">
      <w:pPr>
        <w:pStyle w:val="corte4fondo"/>
        <w:widowControl w:val="0"/>
        <w:tabs>
          <w:tab w:val="left" w:pos="0"/>
        </w:tabs>
        <w:spacing w:before="240" w:after="240"/>
        <w:ind w:firstLine="0"/>
        <w:rPr>
          <w:sz w:val="26"/>
          <w:szCs w:val="26"/>
          <w:lang w:eastAsia="es-ES"/>
        </w:rPr>
      </w:pPr>
    </w:p>
    <w:p w14:paraId="4EE4A6C3" w14:textId="4FED15FB" w:rsidR="005C2664" w:rsidRPr="00D50928" w:rsidRDefault="00D50928" w:rsidP="00A47F48">
      <w:pPr>
        <w:pStyle w:val="Prrafo"/>
        <w:spacing w:line="240" w:lineRule="auto"/>
        <w:rPr>
          <w:sz w:val="20"/>
          <w:szCs w:val="20"/>
        </w:rPr>
      </w:pPr>
      <w:r w:rsidRPr="00D50928">
        <w:rPr>
          <w:rFonts w:eastAsia="Calibri"/>
          <w:sz w:val="20"/>
          <w:szCs w:val="20"/>
          <w:lang w:eastAsia="x-none"/>
        </w:rPr>
        <w:t>En términos de los artículos 112 y 115 de la Ley General de Transparencia y Acceso a la Información Pública; así como en el Acuerdo General 11/2017, del Pleno de la Suprema Corte de Justicia de la Nación, publicado el dieciocho de septiembre de dos mil diecisiete en el Diario Oficial de la Federación, en esta versión pública se suprime la información considerada legalmente como reservada o confidencial que encuadra en esos supuestos normativos.</w:t>
      </w:r>
      <w:r>
        <w:rPr>
          <w:rFonts w:eastAsia="Calibri"/>
          <w:sz w:val="20"/>
          <w:szCs w:val="20"/>
          <w:lang w:eastAsia="x-none"/>
        </w:rPr>
        <w:t xml:space="preserve"> Conste.</w:t>
      </w:r>
    </w:p>
    <w:sectPr w:rsidR="005C2664" w:rsidRPr="00D50928">
      <w:headerReference w:type="even" r:id="rId15"/>
      <w:pgSz w:w="12242" w:h="19442" w:code="10005"/>
      <w:pgMar w:top="1417" w:right="1701" w:bottom="1417" w:left="1701" w:header="1134" w:footer="17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E1E15" w14:textId="77777777" w:rsidR="008233EE" w:rsidRDefault="008233EE" w:rsidP="00487C9A">
      <w:pPr>
        <w:spacing w:before="0" w:after="0" w:line="240" w:lineRule="auto"/>
      </w:pPr>
      <w:r>
        <w:separator/>
      </w:r>
    </w:p>
  </w:endnote>
  <w:endnote w:type="continuationSeparator" w:id="0">
    <w:p w14:paraId="06827EBB" w14:textId="77777777" w:rsidR="008233EE" w:rsidRDefault="008233EE" w:rsidP="00487C9A">
      <w:pPr>
        <w:spacing w:before="0" w:after="0" w:line="240" w:lineRule="auto"/>
      </w:pPr>
      <w:r>
        <w:continuationSeparator/>
      </w:r>
    </w:p>
  </w:endnote>
  <w:endnote w:type="continuationNotice" w:id="1">
    <w:p w14:paraId="7993B3EB" w14:textId="77777777" w:rsidR="008233EE" w:rsidRDefault="008233E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egrita">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color w:val="006666"/>
        <w:sz w:val="26"/>
        <w:szCs w:val="26"/>
      </w:rPr>
      <w:id w:val="572320129"/>
      <w:docPartObj>
        <w:docPartGallery w:val="Page Numbers (Bottom of Page)"/>
        <w:docPartUnique/>
      </w:docPartObj>
    </w:sdtPr>
    <w:sdtEndPr/>
    <w:sdtContent>
      <w:p w14:paraId="5E0D1112" w14:textId="7A70B266" w:rsidR="00E003F1" w:rsidRPr="00F37C1C" w:rsidRDefault="00113571" w:rsidP="0080633F">
        <w:pPr>
          <w:spacing w:before="0" w:after="0"/>
          <w:rPr>
            <w:b/>
            <w:color w:val="006666"/>
            <w:sz w:val="26"/>
            <w:szCs w:val="26"/>
          </w:rPr>
        </w:pPr>
        <w:r w:rsidRPr="00F37C1C">
          <w:rPr>
            <w:b/>
            <w:color w:val="006666"/>
            <w:sz w:val="26"/>
            <w:szCs w:val="26"/>
          </w:rPr>
          <w:fldChar w:fldCharType="begin"/>
        </w:r>
        <w:r w:rsidRPr="00F37C1C">
          <w:rPr>
            <w:b/>
            <w:color w:val="006666"/>
            <w:sz w:val="26"/>
            <w:szCs w:val="26"/>
          </w:rPr>
          <w:instrText>PAGE   \* MERGEFORMAT</w:instrText>
        </w:r>
        <w:r w:rsidRPr="00F37C1C">
          <w:rPr>
            <w:b/>
            <w:color w:val="006666"/>
            <w:sz w:val="26"/>
            <w:szCs w:val="26"/>
          </w:rPr>
          <w:fldChar w:fldCharType="separate"/>
        </w:r>
        <w:r w:rsidRPr="00F37C1C">
          <w:rPr>
            <w:b/>
            <w:color w:val="006666"/>
            <w:sz w:val="26"/>
            <w:szCs w:val="26"/>
          </w:rPr>
          <w:t>2</w:t>
        </w:r>
        <w:r w:rsidRPr="00F37C1C">
          <w:rPr>
            <w:b/>
            <w:color w:val="006666"/>
            <w:sz w:val="26"/>
            <w:szCs w:val="2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color w:val="006666"/>
        <w:sz w:val="26"/>
        <w:szCs w:val="26"/>
      </w:rPr>
      <w:id w:val="-1900124907"/>
      <w:docPartObj>
        <w:docPartGallery w:val="Page Numbers (Bottom of Page)"/>
        <w:docPartUnique/>
      </w:docPartObj>
    </w:sdtPr>
    <w:sdtEndPr/>
    <w:sdtContent>
      <w:p w14:paraId="3970949A" w14:textId="77777777" w:rsidR="00B32CC7" w:rsidRPr="00F37C1C" w:rsidRDefault="005404BC" w:rsidP="0080633F">
        <w:pPr>
          <w:spacing w:before="0" w:after="0"/>
          <w:jc w:val="right"/>
          <w:rPr>
            <w:b/>
            <w:color w:val="006666"/>
            <w:sz w:val="26"/>
            <w:szCs w:val="26"/>
          </w:rPr>
        </w:pPr>
        <w:r w:rsidRPr="00F37C1C">
          <w:rPr>
            <w:b/>
            <w:color w:val="006666"/>
            <w:sz w:val="26"/>
            <w:szCs w:val="26"/>
          </w:rPr>
          <w:fldChar w:fldCharType="begin"/>
        </w:r>
        <w:r w:rsidRPr="00F37C1C">
          <w:rPr>
            <w:b/>
            <w:color w:val="006666"/>
            <w:sz w:val="26"/>
            <w:szCs w:val="26"/>
          </w:rPr>
          <w:instrText>PAGE   \* MERGEFORMAT</w:instrText>
        </w:r>
        <w:r w:rsidRPr="00F37C1C">
          <w:rPr>
            <w:b/>
            <w:color w:val="006666"/>
            <w:sz w:val="26"/>
            <w:szCs w:val="26"/>
          </w:rPr>
          <w:fldChar w:fldCharType="separate"/>
        </w:r>
        <w:r w:rsidRPr="00F37C1C">
          <w:rPr>
            <w:b/>
            <w:color w:val="006666"/>
            <w:sz w:val="26"/>
            <w:szCs w:val="26"/>
          </w:rPr>
          <w:t>11</w:t>
        </w:r>
        <w:r w:rsidRPr="00F37C1C">
          <w:rPr>
            <w:b/>
            <w:color w:val="006666"/>
            <w:sz w:val="26"/>
            <w:szCs w:val="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C3D10" w14:textId="77777777" w:rsidR="008233EE" w:rsidRDefault="008233EE" w:rsidP="00487C9A">
      <w:pPr>
        <w:spacing w:before="0" w:after="0" w:line="240" w:lineRule="auto"/>
      </w:pPr>
      <w:r>
        <w:separator/>
      </w:r>
    </w:p>
  </w:footnote>
  <w:footnote w:type="continuationSeparator" w:id="0">
    <w:p w14:paraId="2103464B" w14:textId="77777777" w:rsidR="008233EE" w:rsidRDefault="008233EE" w:rsidP="00487C9A">
      <w:pPr>
        <w:spacing w:before="0" w:after="0" w:line="240" w:lineRule="auto"/>
      </w:pPr>
      <w:r>
        <w:continuationSeparator/>
      </w:r>
    </w:p>
  </w:footnote>
  <w:footnote w:type="continuationNotice" w:id="1">
    <w:p w14:paraId="136F71B7" w14:textId="77777777" w:rsidR="008233EE" w:rsidRDefault="008233EE">
      <w:pPr>
        <w:spacing w:before="0" w:after="0" w:line="240" w:lineRule="auto"/>
      </w:pPr>
    </w:p>
  </w:footnote>
  <w:footnote w:id="2">
    <w:p w14:paraId="19C515CE" w14:textId="2A1FC325" w:rsidR="0027518D" w:rsidRPr="00DF05FA" w:rsidRDefault="0027518D" w:rsidP="00024872">
      <w:pPr>
        <w:pStyle w:val="Textonotapie"/>
      </w:pPr>
      <w:r w:rsidRPr="00DF05FA">
        <w:rPr>
          <w:rStyle w:val="Refdenotaalpie"/>
        </w:rPr>
        <w:footnoteRef/>
      </w:r>
      <w:r w:rsidRPr="00DF05FA">
        <w:t xml:space="preserve"> </w:t>
      </w:r>
      <w:r w:rsidR="00DB3A21" w:rsidRPr="00DF05FA">
        <w:t xml:space="preserve">Causa penal </w:t>
      </w:r>
      <w:r w:rsidR="009422A4" w:rsidRPr="009422A4">
        <w:rPr>
          <w:color w:val="EE0000"/>
        </w:rPr>
        <w:t>expediente 2</w:t>
      </w:r>
      <w:r w:rsidR="004F3E84" w:rsidRPr="00DF05FA">
        <w:rPr>
          <w:color w:val="C00000"/>
        </w:rPr>
        <w:t xml:space="preserve"> </w:t>
      </w:r>
      <w:r w:rsidR="004F3E84" w:rsidRPr="00DF05FA">
        <w:t xml:space="preserve">del índice </w:t>
      </w:r>
      <w:r w:rsidR="00FF75D5" w:rsidRPr="00DF05FA">
        <w:t>Juez de Distrito Especializado en el Sistema de Justicia Penal Acusatorio</w:t>
      </w:r>
      <w:r w:rsidR="009A4644" w:rsidRPr="00DF05FA">
        <w:t xml:space="preserve"> en el Estado de Jalisco, con residencia en Puente Grande.</w:t>
      </w:r>
    </w:p>
  </w:footnote>
  <w:footnote w:id="3">
    <w:p w14:paraId="22E03F4E" w14:textId="35F12B87" w:rsidR="00546417" w:rsidRDefault="00546417">
      <w:pPr>
        <w:pStyle w:val="Textonotapie"/>
      </w:pPr>
      <w:r>
        <w:rPr>
          <w:rStyle w:val="Refdenotaalpie"/>
        </w:rPr>
        <w:footnoteRef/>
      </w:r>
      <w:r>
        <w:t xml:space="preserve"> </w:t>
      </w:r>
      <w:r w:rsidRPr="00546417">
        <w:t>De conformidad con el artículo 18 del Reglamento de Sesiones de la Suprema Corte de Justicia de la Nación y de Integración de las Listas de Asuntos con Proyecto de Resolución, el proyecto de sentencia se hizo público, con la misma anticipación que la publicación de listas de los asuntos</w:t>
      </w:r>
      <w:r>
        <w:t xml:space="preserve">. Lo anterior, </w:t>
      </w:r>
      <w:r w:rsidRPr="00546417">
        <w:t>conforme lo establecido en el Reglamento de Sesiones que a la letra dice</w:t>
      </w:r>
      <w:r>
        <w:t>:</w:t>
      </w:r>
    </w:p>
    <w:p w14:paraId="587BD6D8" w14:textId="71213F2D" w:rsidR="00546417" w:rsidRDefault="00546417">
      <w:pPr>
        <w:pStyle w:val="Textonotapie"/>
      </w:pPr>
      <w:r>
        <w:t>“</w:t>
      </w:r>
      <w:r w:rsidRPr="00546417">
        <w:rPr>
          <w:i/>
          <w:iCs/>
        </w:rPr>
        <w:t>Artículo 18. Publicación de los proyectos. Los proyectos de resolución se publicarán al difundirse la lista respectiva. Para ello, la ponencia que corresponda deberá generar una versión pública de los proyectos y la remitirá junto con éstos a la Secretaría General de Acuerdos para su ingreso al sistema digital.</w:t>
      </w:r>
      <w:r>
        <w:t>”.</w:t>
      </w:r>
    </w:p>
  </w:footnote>
  <w:footnote w:id="4">
    <w:p w14:paraId="0EB1716B" w14:textId="77777777" w:rsidR="00BF4E6A" w:rsidRDefault="00BF4E6A" w:rsidP="00BF4E6A">
      <w:pPr>
        <w:pStyle w:val="Textonotapie"/>
      </w:pPr>
      <w:r>
        <w:rPr>
          <w:rStyle w:val="Refdenotaalpie"/>
        </w:rPr>
        <w:footnoteRef/>
      </w:r>
      <w:r>
        <w:t xml:space="preserve"> “</w:t>
      </w:r>
      <w:r w:rsidRPr="00A03875">
        <w:rPr>
          <w:b/>
          <w:bCs/>
          <w:i/>
          <w:iCs/>
        </w:rPr>
        <w:t>Artículo 107.</w:t>
      </w:r>
      <w:r w:rsidRPr="00EF3DAA">
        <w:rPr>
          <w:i/>
          <w:iCs/>
        </w:rPr>
        <w:t xml:space="preserve"> Las controversias de que habla el artículo 103 de esta Constitución, con excepción de aquellas en materia electoral, se sujetarán a los procedimientos que determine la ley reglamentaria, de acuerdo con las bases siguientes:</w:t>
      </w:r>
    </w:p>
    <w:p w14:paraId="7BE770E3" w14:textId="77777777" w:rsidR="00BF4E6A" w:rsidRDefault="00BF4E6A" w:rsidP="00BF4E6A">
      <w:pPr>
        <w:pStyle w:val="Textonotapie"/>
      </w:pPr>
      <w:r>
        <w:t>[…]</w:t>
      </w:r>
    </w:p>
    <w:p w14:paraId="206BB574" w14:textId="77777777" w:rsidR="00BF4E6A" w:rsidRPr="00EF3DAA" w:rsidRDefault="00BF4E6A" w:rsidP="00BF4E6A">
      <w:pPr>
        <w:pStyle w:val="Textonotapie"/>
        <w:rPr>
          <w:i/>
          <w:iCs/>
        </w:rPr>
      </w:pPr>
      <w:r w:rsidRPr="00EF3DAA">
        <w:rPr>
          <w:i/>
          <w:iCs/>
        </w:rPr>
        <w:t>VIII. Contra las sentencias que pronuncien en amparo las Juezas y los Jueces de Distrito o los Tribunales Colegiados de Apelación procede revisión. De ella conocerá la Suprema Corte de Justicia:</w:t>
      </w:r>
    </w:p>
    <w:p w14:paraId="3E915200" w14:textId="55D82D0D" w:rsidR="00BF4E6A" w:rsidRDefault="00BF4E6A" w:rsidP="00BF4E6A">
      <w:pPr>
        <w:pStyle w:val="Textonotapie"/>
      </w:pPr>
      <w:r w:rsidRPr="00EF3DAA">
        <w:rPr>
          <w:i/>
          <w:iCs/>
        </w:rPr>
        <w:t>a) Cuando habiéndose impugnado en la demanda de amparo normas generales por estimarlas directamente violatorias de esta Constitución, subsista en el recurso el problema de constitucionalidad.</w:t>
      </w:r>
      <w:r>
        <w:t>”</w:t>
      </w:r>
    </w:p>
  </w:footnote>
  <w:footnote w:id="5">
    <w:p w14:paraId="44EF6B3C" w14:textId="6836C2D5" w:rsidR="005C4F76" w:rsidRDefault="005C4F76" w:rsidP="005C4F76">
      <w:pPr>
        <w:pStyle w:val="Textonotapie"/>
      </w:pPr>
      <w:r>
        <w:rPr>
          <w:rStyle w:val="Refdenotaalpie"/>
        </w:rPr>
        <w:footnoteRef/>
      </w:r>
      <w:r>
        <w:t xml:space="preserve"> “</w:t>
      </w:r>
      <w:r w:rsidRPr="00A03875">
        <w:rPr>
          <w:b/>
          <w:bCs/>
          <w:i/>
          <w:iCs/>
        </w:rPr>
        <w:t>Artículo 83.</w:t>
      </w:r>
      <w:r w:rsidRPr="00EF3DAA">
        <w:rPr>
          <w:i/>
          <w:iCs/>
        </w:rPr>
        <w:t xml:space="preserve"> Es competente la Suprema Corte de Justicia de la Nación para conocer del recurso de revisión contra las sentencias dictadas en la audiencia constitucional, cuando habiéndose impugnado normas generales por estimarlas inconstitucionales, o cuando en la sentencia se establezca la interpretación directa de un precepto de la Constitución y subsista en el recurso el problema de constitucionalidad.</w:t>
      </w:r>
    </w:p>
    <w:p w14:paraId="649E7F1B" w14:textId="19511A93" w:rsidR="005C4F76" w:rsidRDefault="005C4F76" w:rsidP="005C4F76">
      <w:pPr>
        <w:pStyle w:val="Textonotapie"/>
      </w:pPr>
      <w:r w:rsidRPr="00EF3DAA">
        <w:rPr>
          <w:i/>
          <w:iCs/>
        </w:rPr>
        <w:t>El Pleno de la Suprema Corte de Justicia de la Nación, mediante acuerdos generales, remitirá a los tribunales colegiados de circuito los asuntos que, conforme a los referidos acuerdos, la propia Corte determine.</w:t>
      </w:r>
      <w:r>
        <w:t>”</w:t>
      </w:r>
    </w:p>
  </w:footnote>
  <w:footnote w:id="6">
    <w:p w14:paraId="06AB7E77" w14:textId="77777777" w:rsidR="005C4F76" w:rsidRDefault="005C4F76" w:rsidP="005C4F76">
      <w:pPr>
        <w:pStyle w:val="Textonotapie"/>
      </w:pPr>
      <w:r>
        <w:rPr>
          <w:rStyle w:val="Refdenotaalpie"/>
        </w:rPr>
        <w:footnoteRef/>
      </w:r>
      <w:r>
        <w:t xml:space="preserve"> “</w:t>
      </w:r>
      <w:r w:rsidRPr="004C7B68">
        <w:rPr>
          <w:b/>
          <w:bCs/>
          <w:i/>
          <w:iCs/>
        </w:rPr>
        <w:t>SEGUNDO. Competencia reservada del Pleno de la SCJN</w:t>
      </w:r>
      <w:r w:rsidRPr="004C7B68">
        <w:rPr>
          <w:i/>
          <w:iCs/>
        </w:rPr>
        <w:t>. La SCJN conservará para su resolución:</w:t>
      </w:r>
    </w:p>
    <w:p w14:paraId="23314A9A" w14:textId="77777777" w:rsidR="005C4F76" w:rsidRDefault="005C4F76">
      <w:pPr>
        <w:pStyle w:val="Textonotapie"/>
      </w:pPr>
      <w:r>
        <w:t>[…]</w:t>
      </w:r>
    </w:p>
    <w:p w14:paraId="473712BF" w14:textId="43FEEDB4" w:rsidR="005C4F76" w:rsidRDefault="005C4F76">
      <w:pPr>
        <w:pStyle w:val="Textonotapie"/>
      </w:pPr>
      <w:r w:rsidRPr="004C7B68">
        <w:rPr>
          <w:i/>
          <w:iCs/>
        </w:rPr>
        <w:t>IV.</w:t>
      </w:r>
      <w:r w:rsidRPr="004C7B68">
        <w:rPr>
          <w:i/>
          <w:iCs/>
        </w:rPr>
        <w:tab/>
        <w:t>De cualquier recurso derivado de la Ley de Amparo, Reglamentaria de los artículos 103 y 107 de la CPEUM, en el que se hubiera ejercido la facultad de atracción o se conserve su competencia originaria</w:t>
      </w:r>
      <w:r w:rsidRPr="005C4F76">
        <w:t>;</w:t>
      </w:r>
      <w:r>
        <w:t xml:space="preserve"> […]”</w:t>
      </w:r>
    </w:p>
  </w:footnote>
  <w:footnote w:id="7">
    <w:p w14:paraId="182EA39D" w14:textId="1F7113E1" w:rsidR="0044187B" w:rsidRPr="00DF05FA" w:rsidRDefault="0044187B" w:rsidP="00024872">
      <w:pPr>
        <w:pStyle w:val="Textonotapie"/>
      </w:pPr>
      <w:r w:rsidRPr="00DF05FA">
        <w:rPr>
          <w:rStyle w:val="Refdenotaalpie"/>
        </w:rPr>
        <w:footnoteRef/>
      </w:r>
      <w:r w:rsidRPr="00DF05FA">
        <w:t xml:space="preserve"> </w:t>
      </w:r>
      <w:r w:rsidR="00D9470C" w:rsidRPr="00DF05FA">
        <w:t xml:space="preserve">Tesis de rubro: </w:t>
      </w:r>
      <w:r w:rsidR="00A02D52" w:rsidRPr="00DF05FA">
        <w:t>“</w:t>
      </w:r>
      <w:r w:rsidR="00A02D52" w:rsidRPr="00DF05FA">
        <w:rPr>
          <w:i/>
          <w:iCs/>
        </w:rPr>
        <w:t>PRESUNCIÓN DE INOCENCIA COMO REGLA PROBATORIA</w:t>
      </w:r>
      <w:r w:rsidR="00A02D52" w:rsidRPr="00DF05FA">
        <w:t xml:space="preserve">”. </w:t>
      </w:r>
      <w:r w:rsidRPr="00DF05FA">
        <w:t>Gaceta del Semanario Judicial de la Federación, libro 5, abril de 2014, tomo I, página 478</w:t>
      </w:r>
      <w:r w:rsidR="000F3395" w:rsidRPr="00DF05FA">
        <w:t>, registro digital: 2006093.</w:t>
      </w:r>
    </w:p>
  </w:footnote>
  <w:footnote w:id="8">
    <w:p w14:paraId="57804077" w14:textId="1C6A0603" w:rsidR="00264CC8" w:rsidRPr="00DF05FA" w:rsidRDefault="00264CC8" w:rsidP="00024872">
      <w:pPr>
        <w:pStyle w:val="Textonotapie"/>
      </w:pPr>
      <w:r w:rsidRPr="00DF05FA">
        <w:rPr>
          <w:rStyle w:val="Refdenotaalpie"/>
        </w:rPr>
        <w:footnoteRef/>
      </w:r>
      <w:r w:rsidRPr="00DF05FA">
        <w:t xml:space="preserve"> Tesis: P./J. 30/96 de rubro: “</w:t>
      </w:r>
      <w:r w:rsidRPr="00DF05FA">
        <w:rPr>
          <w:i/>
          <w:iCs/>
        </w:rPr>
        <w:t>INTERES JURIDICO PARA RECLAMAR UNA LEY. LO TIENE EL QUEJOSO CUANDO EN UNA RESOLUCION SE LE APLICA, AUNQUE NO SE CITEN LOS PRECEPTOS RELATIVOS</w:t>
      </w:r>
      <w:r w:rsidRPr="00DF05FA">
        <w:t xml:space="preserve">”. </w:t>
      </w:r>
      <w:r w:rsidR="00C8724E" w:rsidRPr="00DF05FA">
        <w:t> Semanario Judicial de la Federación y su Gaceta, tomo III, junio de 1996, página 58, registro digital: 200</w:t>
      </w:r>
      <w:r w:rsidR="00C234D2">
        <w:t>0</w:t>
      </w:r>
      <w:r w:rsidR="00C8724E" w:rsidRPr="00DF05FA">
        <w:t>64.</w:t>
      </w:r>
    </w:p>
    <w:p w14:paraId="066F6122" w14:textId="6E360698" w:rsidR="00264CC8" w:rsidRPr="00DF05FA" w:rsidRDefault="00264CC8" w:rsidP="00024872">
      <w:pPr>
        <w:pStyle w:val="Textonotapie"/>
      </w:pPr>
    </w:p>
  </w:footnote>
  <w:footnote w:id="9">
    <w:p w14:paraId="6C53EE2F" w14:textId="77777777" w:rsidR="00F30645" w:rsidRPr="00DF05FA" w:rsidRDefault="00F30645" w:rsidP="00F30645">
      <w:pPr>
        <w:pStyle w:val="Textonotapie"/>
      </w:pPr>
      <w:r w:rsidRPr="00DF05FA">
        <w:rPr>
          <w:rStyle w:val="Refdenotaalpie"/>
        </w:rPr>
        <w:footnoteRef/>
      </w:r>
      <w:r w:rsidRPr="00DF05FA">
        <w:t xml:space="preserve"> Artículo 20. El proceso penal será acusatorio y oral. Se regirá por los principios de publicidad, contradicción, concentración, continuidad e inmediación.</w:t>
      </w:r>
    </w:p>
    <w:p w14:paraId="6AE55F55" w14:textId="77777777" w:rsidR="00F30645" w:rsidRPr="00DF05FA" w:rsidRDefault="00F30645" w:rsidP="00F30645">
      <w:pPr>
        <w:pStyle w:val="Textonotapie"/>
      </w:pPr>
      <w:r w:rsidRPr="00DF05FA">
        <w:t>[…]</w:t>
      </w:r>
    </w:p>
    <w:p w14:paraId="7C872D32" w14:textId="77777777" w:rsidR="00F30645" w:rsidRPr="00DF05FA" w:rsidRDefault="00F30645" w:rsidP="00F30645">
      <w:pPr>
        <w:pStyle w:val="Textonotapie"/>
      </w:pPr>
      <w:r w:rsidRPr="00DF05FA">
        <w:t>B. De los derechos de toda persona imputada:</w:t>
      </w:r>
    </w:p>
    <w:p w14:paraId="68DDD7F7" w14:textId="77777777" w:rsidR="00F30645" w:rsidRPr="00DF05FA" w:rsidRDefault="00F30645" w:rsidP="00F30645">
      <w:pPr>
        <w:pStyle w:val="Textonotapie"/>
      </w:pPr>
      <w:r w:rsidRPr="00DF05FA">
        <w:t>[…]</w:t>
      </w:r>
    </w:p>
    <w:p w14:paraId="21B301DD" w14:textId="77777777" w:rsidR="00F30645" w:rsidRPr="00DF05FA" w:rsidRDefault="00F30645" w:rsidP="00F30645">
      <w:pPr>
        <w:pStyle w:val="Textonotapie"/>
      </w:pPr>
      <w:r w:rsidRPr="00DF05FA">
        <w:t>VIII. Tendrá derecho a una defensa adecuada por abogado, al cual elegirá libremente incluso desde el momento de su detención. Si no quiere o no puede nombrar un abogado, después de haber sido requerido para hacerlo, el juez le designará un defensor público. También tendrá derecho a que su defensor comparezca en todos los actos del proceso y éste tendrá obligación de hacerlo cuantas veces se le requiera, y</w:t>
      </w:r>
    </w:p>
    <w:p w14:paraId="6B5B3AAC" w14:textId="77777777" w:rsidR="00F30645" w:rsidRPr="00DF05FA" w:rsidRDefault="00F30645" w:rsidP="00F30645">
      <w:pPr>
        <w:pStyle w:val="Textonotapie"/>
      </w:pPr>
      <w:r w:rsidRPr="00DF05FA">
        <w:t>[…]”</w:t>
      </w:r>
    </w:p>
  </w:footnote>
  <w:footnote w:id="10">
    <w:p w14:paraId="25E6CBF3" w14:textId="367734E7" w:rsidR="00F30645" w:rsidRPr="00DF05FA" w:rsidRDefault="00F30645" w:rsidP="00F30645">
      <w:pPr>
        <w:pStyle w:val="Textonotapie"/>
      </w:pPr>
      <w:r w:rsidRPr="00DF05FA">
        <w:rPr>
          <w:rStyle w:val="Refdenotaalpie"/>
        </w:rPr>
        <w:footnoteRef/>
      </w:r>
      <w:r w:rsidRPr="00DF05FA">
        <w:t xml:space="preserve"> </w:t>
      </w:r>
      <w:r w:rsidRPr="00DF05FA">
        <w:rPr>
          <w:i/>
          <w:iCs/>
        </w:rPr>
        <w:t>Cfr</w:t>
      </w:r>
      <w:r w:rsidRPr="00DF05FA">
        <w:t xml:space="preserve">. Jurisprudencia de rubro “DERECHO AL DEBIDO PROCESO. SU CONTENIDO”. Localización: 1a./J. 11/2014 (10a.), </w:t>
      </w:r>
      <w:r w:rsidR="0088694C">
        <w:t>aprobada</w:t>
      </w:r>
      <w:r w:rsidRPr="00DF05FA">
        <w:t xml:space="preserve"> por </w:t>
      </w:r>
      <w:r w:rsidR="002A707B">
        <w:t>la entonces</w:t>
      </w:r>
      <w:r w:rsidRPr="00DF05FA">
        <w:t xml:space="preserve"> Primera Sala de la Suprema Corte de Justicia de la Nación, publicada en la Gaceta del Semanario Judicial de la Federación, Décima Época, Libro 3, Febrero de 2014, Tomo I, página 396</w:t>
      </w:r>
      <w:r w:rsidR="001C6AC1">
        <w:t>.</w:t>
      </w:r>
    </w:p>
  </w:footnote>
  <w:footnote w:id="11">
    <w:p w14:paraId="222AFFAC" w14:textId="77777777" w:rsidR="00F30645" w:rsidRPr="00DF05FA" w:rsidRDefault="00F30645" w:rsidP="00F30645">
      <w:pPr>
        <w:pStyle w:val="Textonotapie"/>
      </w:pPr>
      <w:r w:rsidRPr="00DF05FA">
        <w:rPr>
          <w:rStyle w:val="Refdenotaalpie"/>
        </w:rPr>
        <w:footnoteRef/>
      </w:r>
      <w:r w:rsidRPr="00DF05FA">
        <w:t xml:space="preserve"> </w:t>
      </w:r>
      <w:r w:rsidRPr="00DF05FA">
        <w:rPr>
          <w:i/>
          <w:iCs/>
        </w:rPr>
        <w:t>Ídem</w:t>
      </w:r>
      <w:r w:rsidRPr="00DF05FA">
        <w:t>.</w:t>
      </w:r>
    </w:p>
  </w:footnote>
  <w:footnote w:id="12">
    <w:p w14:paraId="669F2D84" w14:textId="77777777" w:rsidR="00F30645" w:rsidRPr="00DF05FA" w:rsidRDefault="00F30645" w:rsidP="00F30645">
      <w:pPr>
        <w:pStyle w:val="Textonotapie"/>
      </w:pPr>
      <w:r w:rsidRPr="00DF05FA">
        <w:rPr>
          <w:rStyle w:val="Refdenotaalpie"/>
        </w:rPr>
        <w:footnoteRef/>
      </w:r>
      <w:r w:rsidRPr="00DF05FA">
        <w:t xml:space="preserve"> Contradicción de tesis 1/2020, resuelta en sesión virtual de 27 de mayo de 2020, por unanimidad de cinco votos, bajo la ponencia del ministro Jorge Mario Pardo Rebolledo. </w:t>
      </w:r>
    </w:p>
  </w:footnote>
  <w:footnote w:id="13">
    <w:p w14:paraId="03A21E76" w14:textId="77777777" w:rsidR="00F30645" w:rsidRPr="00DF05FA" w:rsidRDefault="00F30645" w:rsidP="00F30645">
      <w:pPr>
        <w:pStyle w:val="Textonotapie"/>
      </w:pPr>
      <w:r w:rsidRPr="00DF05FA">
        <w:rPr>
          <w:rStyle w:val="Refdenotaalpie"/>
        </w:rPr>
        <w:footnoteRef/>
      </w:r>
      <w:r w:rsidRPr="00DF05FA">
        <w:t xml:space="preserve"> Resuelto en sesión de 12 de agosto de 2009, por mayoría de cuatro votos, bajo la ponencia de la ministra Olga Sánchez Cordero. El ministro Sergio A. Valls Hernández votó en contra.</w:t>
      </w:r>
    </w:p>
  </w:footnote>
  <w:footnote w:id="14">
    <w:p w14:paraId="7D7751DB" w14:textId="296AFBA1" w:rsidR="00F30645" w:rsidRPr="00DF05FA" w:rsidRDefault="00F30645" w:rsidP="00F30645">
      <w:pPr>
        <w:pStyle w:val="Textonotapie"/>
      </w:pPr>
      <w:r w:rsidRPr="00DF05FA">
        <w:rPr>
          <w:rStyle w:val="Refdenotaalpie"/>
        </w:rPr>
        <w:footnoteRef/>
      </w:r>
      <w:r w:rsidRPr="00DF05FA">
        <w:t xml:space="preserve"> Resuelto por la </w:t>
      </w:r>
      <w:r w:rsidR="00D8505A">
        <w:t xml:space="preserve">extinta </w:t>
      </w:r>
      <w:r w:rsidRPr="00DF05FA">
        <w:t>Primera Sala, en sesión de 12 de agosto de 2009, por mayoría de cuatro votos, bajo la ponencia del ministro José Ramón Cossío Díaz. El ministro Sergio A. Valls Hernández votó en contra.</w:t>
      </w:r>
    </w:p>
  </w:footnote>
  <w:footnote w:id="15">
    <w:p w14:paraId="658C3937" w14:textId="4F965FC0" w:rsidR="00F30645" w:rsidRPr="00DF05FA" w:rsidRDefault="00F30645" w:rsidP="00F30645">
      <w:pPr>
        <w:pStyle w:val="Textonotapie"/>
      </w:pPr>
      <w:r w:rsidRPr="00DF05FA">
        <w:rPr>
          <w:rStyle w:val="Refdenotaalpie"/>
        </w:rPr>
        <w:footnoteRef/>
      </w:r>
      <w:r w:rsidRPr="00DF05FA">
        <w:t xml:space="preserve"> Resuelto por la </w:t>
      </w:r>
      <w:r w:rsidR="00D8505A">
        <w:t xml:space="preserve">extinta </w:t>
      </w:r>
      <w:r w:rsidRPr="00DF05FA">
        <w:t>Primera Sala, en sesión de 12 de agosto de 2009, por mayoría de cuatro votos, bajo la ponencia del ministro José de Jesús Gudiño Pelayo. El ministro Sergio A. Valls Hernández votó en contra.</w:t>
      </w:r>
    </w:p>
  </w:footnote>
  <w:footnote w:id="16">
    <w:p w14:paraId="4F7BDA28" w14:textId="310D842F" w:rsidR="00F30645" w:rsidRPr="00DF05FA" w:rsidRDefault="00F30645" w:rsidP="00F30645">
      <w:pPr>
        <w:pStyle w:val="Textonotapie"/>
      </w:pPr>
      <w:r w:rsidRPr="00DF05FA">
        <w:rPr>
          <w:rStyle w:val="Refdenotaalpie"/>
        </w:rPr>
        <w:footnoteRef/>
      </w:r>
      <w:r w:rsidRPr="00DF05FA">
        <w:t xml:space="preserve"> Resuelto por la </w:t>
      </w:r>
      <w:r w:rsidR="00D8505A">
        <w:t xml:space="preserve">extinta </w:t>
      </w:r>
      <w:r w:rsidRPr="00DF05FA">
        <w:t>Primera Sala, en sesión de 4 de noviembre de 2009, por mayoría de cuatro votos, bajo la ponencia del ministro José Ramón Cossío Díaz. El ministro Sergio A. Valls Hernández votó en contra.</w:t>
      </w:r>
    </w:p>
  </w:footnote>
  <w:footnote w:id="17">
    <w:p w14:paraId="5D6D0EF0" w14:textId="77777777" w:rsidR="00F30645" w:rsidRPr="00DF05FA" w:rsidRDefault="00F30645" w:rsidP="00F30645">
      <w:pPr>
        <w:rPr>
          <w:sz w:val="20"/>
          <w:szCs w:val="20"/>
        </w:rPr>
      </w:pPr>
      <w:r w:rsidRPr="00DF05FA">
        <w:rPr>
          <w:rStyle w:val="Refdenotaalpie"/>
          <w:sz w:val="20"/>
          <w:szCs w:val="20"/>
        </w:rPr>
        <w:footnoteRef/>
      </w:r>
      <w:r w:rsidRPr="00DF05FA">
        <w:rPr>
          <w:sz w:val="20"/>
          <w:szCs w:val="20"/>
        </w:rPr>
        <w:t xml:space="preserve"> Amparos directos en revisión 1182/2018 y 1183/2018, </w:t>
      </w:r>
      <w:r w:rsidRPr="00DF05FA">
        <w:rPr>
          <w:i/>
          <w:iCs/>
          <w:sz w:val="20"/>
          <w:szCs w:val="20"/>
        </w:rPr>
        <w:t>op. cit</w:t>
      </w:r>
      <w:r w:rsidRPr="00DF05FA">
        <w:rPr>
          <w:sz w:val="20"/>
          <w:szCs w:val="20"/>
        </w:rPr>
        <w:t xml:space="preserve">. Asimismo, </w:t>
      </w:r>
      <w:r w:rsidRPr="00DF05FA">
        <w:rPr>
          <w:iCs/>
          <w:sz w:val="20"/>
          <w:szCs w:val="20"/>
        </w:rPr>
        <w:t>CoIDH, Caso</w:t>
      </w:r>
      <w:r w:rsidRPr="00DF05FA">
        <w:rPr>
          <w:sz w:val="20"/>
          <w:szCs w:val="20"/>
        </w:rPr>
        <w:t xml:space="preserve"> </w:t>
      </w:r>
      <w:r w:rsidRPr="00DF05FA">
        <w:rPr>
          <w:i/>
          <w:iCs/>
          <w:sz w:val="20"/>
          <w:szCs w:val="20"/>
        </w:rPr>
        <w:t>Barreto Leiva Vs. Venezuela</w:t>
      </w:r>
      <w:r w:rsidRPr="00DF05FA">
        <w:rPr>
          <w:sz w:val="20"/>
          <w:szCs w:val="20"/>
        </w:rPr>
        <w:t>. Fondo, Reparaciones y Costas</w:t>
      </w:r>
      <w:r w:rsidRPr="00DF05FA">
        <w:rPr>
          <w:i/>
          <w:sz w:val="20"/>
          <w:szCs w:val="20"/>
        </w:rPr>
        <w:t xml:space="preserve">. </w:t>
      </w:r>
      <w:r w:rsidRPr="00DF05FA">
        <w:rPr>
          <w:sz w:val="20"/>
          <w:szCs w:val="20"/>
        </w:rPr>
        <w:t xml:space="preserve">Sentencia de 17 de noviembre de 2009. Serie C No. 206, párr. 29, y </w:t>
      </w:r>
      <w:r w:rsidRPr="00DF05FA">
        <w:rPr>
          <w:rStyle w:val="Fuerte"/>
          <w:b w:val="0"/>
          <w:bCs w:val="0"/>
          <w:color w:val="000000"/>
          <w:sz w:val="20"/>
          <w:szCs w:val="20"/>
          <w:shd w:val="clear" w:color="auto" w:fill="FFFFFF"/>
        </w:rPr>
        <w:t xml:space="preserve">Caso </w:t>
      </w:r>
      <w:r w:rsidRPr="00DF05FA">
        <w:rPr>
          <w:rStyle w:val="Fuerte"/>
          <w:b w:val="0"/>
          <w:bCs w:val="0"/>
          <w:i/>
          <w:iCs/>
          <w:color w:val="000000"/>
          <w:sz w:val="20"/>
          <w:szCs w:val="20"/>
          <w:shd w:val="clear" w:color="auto" w:fill="FFFFFF"/>
        </w:rPr>
        <w:t>Ruano Torres y otros Vs. El Salvador</w:t>
      </w:r>
      <w:r w:rsidRPr="00DF05FA">
        <w:rPr>
          <w:rStyle w:val="Fuerte"/>
          <w:b w:val="0"/>
          <w:bCs w:val="0"/>
          <w:color w:val="000000"/>
          <w:sz w:val="20"/>
          <w:szCs w:val="20"/>
          <w:shd w:val="clear" w:color="auto" w:fill="FFFFFF"/>
        </w:rPr>
        <w:t>. Fondo, Reparaciones y Costas. Sentencia de 05 de octubre de 2015. Serie C No. 303, párr. 153.</w:t>
      </w:r>
    </w:p>
  </w:footnote>
  <w:footnote w:id="18">
    <w:p w14:paraId="3BE3084C" w14:textId="4BC38432" w:rsidR="00F30645" w:rsidRPr="00DF05FA" w:rsidRDefault="00F30645" w:rsidP="00F30645">
      <w:pPr>
        <w:pStyle w:val="Textonotapie"/>
      </w:pPr>
      <w:r w:rsidRPr="00DF05FA">
        <w:rPr>
          <w:rStyle w:val="Refdenotaalpie"/>
        </w:rPr>
        <w:footnoteRef/>
      </w:r>
      <w:r w:rsidR="003A6332">
        <w:t xml:space="preserve"> Código Nacional de Procedimientos Penales</w:t>
      </w:r>
      <w:r w:rsidRPr="00DF05FA">
        <w:t>.</w:t>
      </w:r>
    </w:p>
    <w:p w14:paraId="0FC20FCC" w14:textId="3D62382C" w:rsidR="00F30645" w:rsidRPr="00DF05FA" w:rsidRDefault="00F30645" w:rsidP="00F30645">
      <w:pPr>
        <w:pStyle w:val="Textonotapie"/>
      </w:pPr>
      <w:r w:rsidRPr="00DF05FA">
        <w:t xml:space="preserve">Artículo </w:t>
      </w:r>
      <w:r w:rsidR="003A6332">
        <w:t>118.</w:t>
      </w:r>
      <w:r w:rsidRPr="00DF05FA">
        <w:t xml:space="preserve"> Nombramiento posterior.</w:t>
      </w:r>
    </w:p>
    <w:p w14:paraId="22E4C3D4" w14:textId="3C1396F6" w:rsidR="00F30645" w:rsidRPr="00DF05FA" w:rsidRDefault="003A6332" w:rsidP="003A6332">
      <w:pPr>
        <w:pStyle w:val="Textonotapie"/>
      </w:pPr>
      <w:r>
        <w:t>Durante el transcurso del procedimiento el imputado podrá designar a un nuevo Defensor, sin embargo, hasta en tanto el nuevo Defensor no comparezca a aceptar el cargo conferido, el Órgano jurisdiccional o el Ministerio Público le designarán al imputado un Defensor público, a fin de no dejarlo en estado de indefensión.</w:t>
      </w:r>
    </w:p>
  </w:footnote>
  <w:footnote w:id="19">
    <w:p w14:paraId="3D3950C4" w14:textId="77777777" w:rsidR="00F30645" w:rsidRPr="00DF05FA" w:rsidRDefault="00F30645" w:rsidP="00F30645">
      <w:pPr>
        <w:pStyle w:val="Textonotapie"/>
      </w:pPr>
      <w:r w:rsidRPr="00DF05FA">
        <w:rPr>
          <w:rStyle w:val="Refdenotaalpie"/>
        </w:rPr>
        <w:footnoteRef/>
      </w:r>
      <w:r w:rsidRPr="00DF05FA">
        <w:t xml:space="preserve"> </w:t>
      </w:r>
      <w:r w:rsidRPr="00DF05FA">
        <w:rPr>
          <w:i/>
          <w:iCs/>
        </w:rPr>
        <w:t>Cfr</w:t>
      </w:r>
      <w:r w:rsidRPr="00DF05FA">
        <w:t>. Jurisprudencia de rubro: “</w:t>
      </w:r>
      <w:r w:rsidRPr="00DF05FA">
        <w:rPr>
          <w:i/>
          <w:iCs/>
        </w:rPr>
        <w:t>PERSONAS INDÍGENAS. INTERPRETACIÓN DEL DERECHO FUNDAMENTAL DE SER ASISTIDOS POR INTÉRPRETES Y DEFENSORES QUE TENGAN CONOCIMIENTO DE SU LENGUA Y CULTURA</w:t>
      </w:r>
      <w:r w:rsidRPr="00DF05FA">
        <w:t>.”; 10a. Época; Gaceta del Semanario Judicial de la Federación; 1a./J. 60/2013 (10a.); Publicación: viernes 06 de diciembre de 2013; Registro digital: 2005030 y jurisprudencia de rubro: “</w:t>
      </w:r>
      <w:r w:rsidRPr="00DF05FA">
        <w:rPr>
          <w:i/>
          <w:iCs/>
        </w:rPr>
        <w:t>DERECHO FUNDAMENTAL A LA NOTIFICACIÓN, CONTACTO Y ASISTENCIA CONSULAR. SU CONTENIDO ESPECÍFICO Y RELEVANCIA PARA GARANTIZAR UNA DEFENSA ADECUADA DE LOS EXTRANJEROS</w:t>
      </w:r>
      <w:r w:rsidRPr="00DF05FA">
        <w:t>.” 10a. Época; Gaceta del Semanario Judicial de la Federación; 1a./J. 96/2017 (10a.); Publicación: viernes 24 de noviembre de 2017. Registro digital: 2015594</w:t>
      </w:r>
    </w:p>
  </w:footnote>
  <w:footnote w:id="20">
    <w:p w14:paraId="5ADC443F" w14:textId="77777777" w:rsidR="00F30645" w:rsidRPr="00DF05FA" w:rsidRDefault="00F30645" w:rsidP="00F30645">
      <w:pPr>
        <w:pStyle w:val="Textonotapie"/>
      </w:pPr>
      <w:r w:rsidRPr="00DF05FA">
        <w:rPr>
          <w:rStyle w:val="Refdenotaalpie"/>
        </w:rPr>
        <w:footnoteRef/>
      </w:r>
      <w:r w:rsidRPr="00DF05FA">
        <w:t xml:space="preserve"> Artículo 20. En todo proceso de orden penal, el inculpado, la víctima o el ofendido, tendrán las siguientes garantías: A. Del inculpado: […]</w:t>
      </w:r>
    </w:p>
    <w:p w14:paraId="4F3304F2" w14:textId="77777777" w:rsidR="00F30645" w:rsidRPr="00DF05FA" w:rsidRDefault="00F30645" w:rsidP="00F30645">
      <w:pPr>
        <w:pStyle w:val="Textonotapie"/>
      </w:pPr>
      <w:r w:rsidRPr="00DF05FA">
        <w:t>IX. Desde el inicio de su proceso será informado de los derechos que en su favor consigna esta Constitución y tendrá derecho a una defensa adecuada, por sí, por abogado, o por persona de su confianza. Si no quiere o no puede nombrar defensor, después de haber sido requerido para hacerlo, el juez le designará un defensor de oficio. También tendrá derecho a que su defensor comparezca en todos los actos del proceso y éste tendrá obligación de hacerlo cuantas veces se le requiera; y,</w:t>
      </w:r>
    </w:p>
  </w:footnote>
  <w:footnote w:id="21">
    <w:p w14:paraId="73518C81" w14:textId="77777777" w:rsidR="00F30645" w:rsidRPr="00DF05FA" w:rsidRDefault="00F30645" w:rsidP="00F30645">
      <w:pPr>
        <w:pStyle w:val="Textonotapie"/>
      </w:pPr>
      <w:r w:rsidRPr="00DF05FA">
        <w:rPr>
          <w:rStyle w:val="Refdenotaalpie"/>
        </w:rPr>
        <w:footnoteRef/>
      </w:r>
      <w:r w:rsidRPr="00DF05FA">
        <w:t xml:space="preserve"> Contradicción de tesis 1/2020, </w:t>
      </w:r>
      <w:r w:rsidRPr="00DF05FA">
        <w:rPr>
          <w:i/>
          <w:iCs/>
        </w:rPr>
        <w:t>op. cit.</w:t>
      </w:r>
    </w:p>
  </w:footnote>
  <w:footnote w:id="22">
    <w:p w14:paraId="1A8833D7" w14:textId="77777777" w:rsidR="00F30645" w:rsidRPr="00DF05FA" w:rsidRDefault="00F30645" w:rsidP="00F30645">
      <w:pPr>
        <w:pStyle w:val="Textonotapie"/>
        <w:rPr>
          <w:color w:val="000000"/>
        </w:rPr>
      </w:pPr>
      <w:r w:rsidRPr="00DF05FA">
        <w:rPr>
          <w:rStyle w:val="Refdenotaalpie"/>
        </w:rPr>
        <w:footnoteRef/>
      </w:r>
      <w:r w:rsidRPr="00DF05FA">
        <w:t xml:space="preserve"> </w:t>
      </w:r>
      <w:r w:rsidRPr="00DF05FA">
        <w:rPr>
          <w:color w:val="000000"/>
        </w:rPr>
        <w:t>Artículo 8.  Garantías Judiciales […]</w:t>
      </w:r>
    </w:p>
    <w:p w14:paraId="7639860F" w14:textId="77777777" w:rsidR="00F30645" w:rsidRPr="00DF05FA" w:rsidRDefault="00F30645" w:rsidP="00F30645">
      <w:pPr>
        <w:pStyle w:val="Textonotapie"/>
        <w:rPr>
          <w:color w:val="000000"/>
        </w:rPr>
      </w:pPr>
      <w:r w:rsidRPr="00DF05FA">
        <w:rPr>
          <w:color w:val="000000"/>
        </w:rPr>
        <w:t> 2. Toda persona inculpada de delito tiene derecho a que se presuma su inocencia mientras no se establezca legalmente su culpabilidad.  Durante el proceso, toda persona tiene derecho, en plena igualdad, a las siguientes garantías mínimas: […]</w:t>
      </w:r>
    </w:p>
    <w:p w14:paraId="17D8EE2E" w14:textId="77777777" w:rsidR="00F30645" w:rsidRPr="00DF05FA" w:rsidRDefault="00F30645" w:rsidP="00F30645">
      <w:pPr>
        <w:pStyle w:val="Textonotapie"/>
      </w:pPr>
      <w:r w:rsidRPr="00DF05FA">
        <w:t>d) derecho del inculpado de defenderse personalmente o de ser asistido por un defensor de su elección y de comunicarse libre y privadamente con su defensor;</w:t>
      </w:r>
    </w:p>
  </w:footnote>
  <w:footnote w:id="23">
    <w:p w14:paraId="78361095" w14:textId="77777777" w:rsidR="00F30645" w:rsidRPr="00DF05FA" w:rsidRDefault="00F30645" w:rsidP="00F30645">
      <w:pPr>
        <w:pStyle w:val="Textonotapie"/>
        <w:rPr>
          <w:color w:val="000000"/>
          <w:shd w:val="clear" w:color="auto" w:fill="FFFFFF"/>
        </w:rPr>
      </w:pPr>
      <w:r w:rsidRPr="00DF05FA">
        <w:rPr>
          <w:rStyle w:val="Refdenotaalpie"/>
        </w:rPr>
        <w:footnoteRef/>
      </w:r>
      <w:r w:rsidRPr="00DF05FA">
        <w:t xml:space="preserve"> Artículo 14. […] </w:t>
      </w:r>
      <w:r w:rsidRPr="00DF05FA">
        <w:rPr>
          <w:color w:val="000000"/>
          <w:shd w:val="clear" w:color="auto" w:fill="FFFFFF"/>
        </w:rPr>
        <w:t>3. Durante el proceso, toda persona acusada de un delito tendrá derecho, en plena igualdad, a las siguientes garantías mínimas: […]</w:t>
      </w:r>
    </w:p>
    <w:p w14:paraId="4D2714F8" w14:textId="77777777" w:rsidR="00F30645" w:rsidRPr="00DF05FA" w:rsidRDefault="00F30645" w:rsidP="00F30645">
      <w:pPr>
        <w:pStyle w:val="Textonotapie"/>
      </w:pPr>
      <w:r w:rsidRPr="00DF05FA">
        <w:t>d) A hallarse presente en el proceso y a defenderse personalmente o ser asistida por un defensor de su elección; a ser informada, si no tuviera defensor, del derecho que le asiste a tenerlo, y, siempre que el interés de la justicia lo exija, a que se le nombre defensor de oficio, gratuitamente, si careciere de medios suficientes para pagarlo;</w:t>
      </w:r>
    </w:p>
  </w:footnote>
  <w:footnote w:id="24">
    <w:p w14:paraId="6F5C5D36" w14:textId="77777777" w:rsidR="00F30645" w:rsidRPr="00DF05FA" w:rsidRDefault="00F30645" w:rsidP="00F30645">
      <w:pPr>
        <w:pStyle w:val="Textonotapie"/>
        <w:rPr>
          <w:lang w:val="es-ES"/>
        </w:rPr>
      </w:pPr>
      <w:r w:rsidRPr="00DF05FA">
        <w:rPr>
          <w:rStyle w:val="Refdenotaalpie"/>
        </w:rPr>
        <w:footnoteRef/>
      </w:r>
      <w:r w:rsidRPr="00DF05FA">
        <w:t xml:space="preserve"> </w:t>
      </w:r>
      <w:r w:rsidRPr="00DF05FA">
        <w:rPr>
          <w:lang w:val="es-ES"/>
        </w:rPr>
        <w:t>Artículo 20. El proceso penal será acusatorio y oral. Se regirá por los principios de publicidad, contradicción, concentración, continuidad e inmediación. […]</w:t>
      </w:r>
    </w:p>
    <w:p w14:paraId="4570C8C4" w14:textId="77777777" w:rsidR="00F30645" w:rsidRPr="00DF05FA" w:rsidRDefault="00F30645" w:rsidP="00F30645">
      <w:pPr>
        <w:pStyle w:val="Textonotapie"/>
        <w:rPr>
          <w:lang w:val="es-ES"/>
        </w:rPr>
      </w:pPr>
      <w:r w:rsidRPr="00DF05FA">
        <w:rPr>
          <w:lang w:val="es-ES"/>
        </w:rPr>
        <w:t>B. De los derechos de toda persona imputada: […]</w:t>
      </w:r>
    </w:p>
    <w:p w14:paraId="12D2F3A1" w14:textId="77777777" w:rsidR="00F30645" w:rsidRPr="00DF05FA" w:rsidRDefault="00F30645" w:rsidP="00F30645">
      <w:pPr>
        <w:pStyle w:val="Textonotapie"/>
        <w:rPr>
          <w:lang w:val="es-ES"/>
        </w:rPr>
      </w:pPr>
      <w:r w:rsidRPr="00DF05FA">
        <w:rPr>
          <w:lang w:val="es-ES"/>
        </w:rPr>
        <w:t>VIII. Tendrá derecho a una defensa adecuada por abogado, al cual elegirá libremente incluso desde el momento de su detención. Si no quiere o no puede nombrar un abogado, después de haber sido requerido para hacerlo, el juez le designará un defensor público. También tendrá derecho a que su defensor comparezca en todos los actos del proceso y éste tendrá obligación de hacerlo cuantas veces se le requiera, y […].</w:t>
      </w:r>
    </w:p>
  </w:footnote>
  <w:footnote w:id="25">
    <w:p w14:paraId="41D91498" w14:textId="77777777" w:rsidR="00F30645" w:rsidRPr="00DF05FA" w:rsidRDefault="00F30645" w:rsidP="00F30645">
      <w:pPr>
        <w:pStyle w:val="Textonotapie"/>
        <w:rPr>
          <w:i/>
          <w:lang w:val="es-ES"/>
        </w:rPr>
      </w:pPr>
      <w:r w:rsidRPr="00DF05FA">
        <w:rPr>
          <w:rStyle w:val="Refdenotaalpie"/>
        </w:rPr>
        <w:footnoteRef/>
      </w:r>
      <w:r w:rsidRPr="00DF05FA">
        <w:rPr>
          <w:lang w:val="es-ES"/>
        </w:rPr>
        <w:t xml:space="preserve"> </w:t>
      </w:r>
      <w:r w:rsidRPr="00DF05FA">
        <w:t xml:space="preserve">Contradicción de tesis 1/2020, </w:t>
      </w:r>
      <w:r w:rsidRPr="00DF05FA">
        <w:rPr>
          <w:i/>
          <w:iCs/>
        </w:rPr>
        <w:t>op. cit.</w:t>
      </w:r>
    </w:p>
  </w:footnote>
  <w:footnote w:id="26">
    <w:p w14:paraId="3FF7F265" w14:textId="77777777" w:rsidR="00F30645" w:rsidRPr="00DF05FA" w:rsidRDefault="00F30645" w:rsidP="00F30645">
      <w:pPr>
        <w:pStyle w:val="Textonotapie"/>
        <w:rPr>
          <w:highlight w:val="yellow"/>
        </w:rPr>
      </w:pPr>
      <w:r w:rsidRPr="00DF05FA">
        <w:rPr>
          <w:rStyle w:val="Refdenotaalpie"/>
        </w:rPr>
        <w:footnoteRef/>
      </w:r>
      <w:r w:rsidRPr="00DF05FA">
        <w:t xml:space="preserve"> </w:t>
      </w:r>
      <w:r w:rsidRPr="00DF05FA">
        <w:rPr>
          <w:i/>
          <w:iCs/>
        </w:rPr>
        <w:t>Cfr</w:t>
      </w:r>
      <w:r w:rsidRPr="00DF05FA">
        <w:t>. Jurisprudencia de rubro: “DEFENSA ADECUADA EN MATERIA PENAL. LA FORMA DE GARANTIZAR EL EJERCICIO EFICAZ DE ESTE DERECHO HUMANO SE ACTUALIZA CUANDO EL IMPUTADO, EN TODAS LAS ETAPAS PROCEDIMENTALES EN LAS QUE INTERVIENE, CUENTA CON LA ASISTENCIA JURÍDICA DE UN DEFENSOR QUE ES PROFESIONISTA EN DERECHO”. 10a. Época; Gaceta del Semanario Judicial de la Federación; 1a./J. 26/2015 (10a.); Publicación: viernes 08 de mayo de 2015; Registro digital 2009005.</w:t>
      </w:r>
    </w:p>
  </w:footnote>
  <w:footnote w:id="27">
    <w:p w14:paraId="261AEB1A" w14:textId="77777777" w:rsidR="00F30645" w:rsidRPr="00DF05FA" w:rsidRDefault="00F30645" w:rsidP="00F30645">
      <w:pPr>
        <w:pStyle w:val="Textonotapie"/>
        <w:rPr>
          <w:strike/>
          <w:color w:val="FF0000"/>
          <w:lang w:val="es-ES"/>
        </w:rPr>
      </w:pPr>
      <w:r w:rsidRPr="00DF05FA">
        <w:rPr>
          <w:rStyle w:val="Refdenotaalpie"/>
        </w:rPr>
        <w:footnoteRef/>
      </w:r>
      <w:r w:rsidRPr="00DF05FA">
        <w:rPr>
          <w:lang w:val="es-ES"/>
        </w:rPr>
        <w:t xml:space="preserve"> Amparo directo en revisión 844/2014, sentencia</w:t>
      </w:r>
      <w:r w:rsidRPr="00DF05FA">
        <w:t xml:space="preserve"> de 7 de septiembre de 2016, resuelta por mayoría de tres votos de los ministros Arturo Zaldívar Lelo de Larrea (ponente), Jorge Mario Pardo Rebolledo, quien se reservó su derecho a formular voto concurrente, y presidente en funciones José Ramón Cossío Díaz; en contra del emitido por la ministra Norma Lucía Piña Hernández y encontrándose ausente el ministro Alfredo Gutiérrez Ortiz Mena.</w:t>
      </w:r>
    </w:p>
  </w:footnote>
  <w:footnote w:id="28">
    <w:p w14:paraId="71BA1930" w14:textId="77777777" w:rsidR="00F30645" w:rsidRPr="00DF05FA" w:rsidRDefault="00F30645" w:rsidP="00F30645">
      <w:pPr>
        <w:pStyle w:val="Textonotapie"/>
        <w:rPr>
          <w:strike/>
          <w:color w:val="FF0000"/>
          <w:lang w:val="es-ES"/>
        </w:rPr>
      </w:pPr>
      <w:r w:rsidRPr="00DF05FA">
        <w:rPr>
          <w:rStyle w:val="Refdenotaalpie"/>
        </w:rPr>
        <w:footnoteRef/>
      </w:r>
      <w:r w:rsidRPr="00DF05FA">
        <w:t xml:space="preserve"> </w:t>
      </w:r>
      <w:r w:rsidRPr="00DF05FA">
        <w:rPr>
          <w:lang w:val="es-ES"/>
        </w:rPr>
        <w:t xml:space="preserve">Amparo directo en revisión 3048/2014, </w:t>
      </w:r>
      <w:r w:rsidRPr="00DF05FA">
        <w:t>sentencia de 24 de agosto de 2016, resuelta por mayoría de tres votos de los ministros: Arturo Zaldívar Lelo de Larrea, José Ramón Cossío Díaz, quien se reservó su derecho a formular voto concurrente, y presidente Alfredo Gutiérrez Ortiz Mena (ponente), en contra de los emitidos por el ministro Jorge Mario Pardo Rebolledo y la ministra Norma Lucía Piña Hernández, quien se reservó su derecho a formular voto particular.</w:t>
      </w:r>
    </w:p>
  </w:footnote>
  <w:footnote w:id="29">
    <w:p w14:paraId="0B6530FD" w14:textId="6E36B9AA" w:rsidR="00F30645" w:rsidRPr="00DF05FA" w:rsidRDefault="00F30645" w:rsidP="00F30645">
      <w:pPr>
        <w:pStyle w:val="Textonotapie"/>
        <w:rPr>
          <w:lang w:val="es-ES"/>
        </w:rPr>
      </w:pPr>
      <w:r w:rsidRPr="00DF05FA">
        <w:rPr>
          <w:rStyle w:val="Refdenotaalpie"/>
        </w:rPr>
        <w:footnoteRef/>
      </w:r>
      <w:r w:rsidRPr="00DF05FA">
        <w:rPr>
          <w:lang w:val="es-ES"/>
        </w:rPr>
        <w:t xml:space="preserve"> Amparo directo en revisión 3250/2013, </w:t>
      </w:r>
      <w:r w:rsidRPr="00DF05FA">
        <w:t xml:space="preserve">sentencia de </w:t>
      </w:r>
      <w:r w:rsidR="00EA017F">
        <w:t>24</w:t>
      </w:r>
      <w:r w:rsidRPr="00DF05FA">
        <w:t xml:space="preserve"> de septiembre de 201</w:t>
      </w:r>
      <w:r w:rsidR="00EA017F">
        <w:t>4</w:t>
      </w:r>
      <w:r w:rsidRPr="00DF05FA">
        <w:t>, resuelta por unanimidad de cinco votos de la ministra Olga María Sánchez Cordero y de los ministros: José Ramón Cossío Díaz, Arturo Zaldívar Lelo de Larrea (ponente), Jorge Mario Pardo Rebolledo y Alfredo Gutiérrez Ortiz Mena.</w:t>
      </w:r>
    </w:p>
  </w:footnote>
  <w:footnote w:id="30">
    <w:p w14:paraId="78644CFA" w14:textId="77777777" w:rsidR="00F30645" w:rsidRPr="00DF05FA" w:rsidRDefault="00F30645" w:rsidP="00F30645">
      <w:pPr>
        <w:pStyle w:val="Textonotapie"/>
      </w:pPr>
      <w:r w:rsidRPr="00DF05FA">
        <w:rPr>
          <w:rStyle w:val="Refdenotaalpie"/>
        </w:rPr>
        <w:footnoteRef/>
      </w:r>
      <w:r w:rsidRPr="00DF05FA">
        <w:t xml:space="preserve"> Contradicción de tesis 405/2017, resuelta en sesión de 7 de agosto de 2019, por mayoría de cuatro votos, bajo la ponencia del ministro Juan Luis González Alcántara Carrancá y contradicción de tesis 1/2020, </w:t>
      </w:r>
      <w:r w:rsidRPr="00DF05FA">
        <w:rPr>
          <w:i/>
          <w:iCs/>
        </w:rPr>
        <w:t>op. cit</w:t>
      </w:r>
      <w:r w:rsidRPr="00DF05FA">
        <w:t xml:space="preserve">. </w:t>
      </w:r>
    </w:p>
  </w:footnote>
  <w:footnote w:id="31">
    <w:p w14:paraId="3AEA05FC" w14:textId="77777777" w:rsidR="00F30645" w:rsidRPr="00DF05FA" w:rsidRDefault="00F30645" w:rsidP="00F30645">
      <w:pPr>
        <w:pStyle w:val="Textonotapie"/>
      </w:pPr>
      <w:r w:rsidRPr="00DF05FA">
        <w:rPr>
          <w:rStyle w:val="Refdenotaalpie"/>
        </w:rPr>
        <w:footnoteRef/>
      </w:r>
      <w:r w:rsidRPr="00DF05FA">
        <w:t xml:space="preserve"> </w:t>
      </w:r>
      <w:r w:rsidRPr="00DF05FA">
        <w:rPr>
          <w:i/>
          <w:iCs/>
        </w:rPr>
        <w:t>Cfr</w:t>
      </w:r>
      <w:r w:rsidRPr="00DF05FA">
        <w:t>. Tesis de rubro: “DEFENSA TÉCNICA. NO DEBE PRESUMIRSE POR EL HECHO DE QUE SE ASIENTE EN LA DECLARACIÓN MINISTERIAL DE UN INCULPADO QUE QUIEN LO ASISTE ES DEFENSOR DE OFICIO, SI NO EXISTE SUSTENTO ALGUNO DE ESA CALIDAD.” SCJN; 10a. Época; Gaceta del Semanario Judicial de la Federación; 1a. CCCXXVIII/2015 (10a.); Publicación: viernes 06 de noviembre de 2015. Registro digital 2010350, así como el amparo directo en revisión 1895/2020, resuelto en sesión virtual de 18 de noviembre de 2020, por mayoría de tres votos. La ministra Norma Lucía Piña Hernández y el ministro Jorge Mario Pardo Rebolledo votaron en contra.</w:t>
      </w:r>
    </w:p>
  </w:footnote>
  <w:footnote w:id="32">
    <w:p w14:paraId="3EF4756E" w14:textId="77777777" w:rsidR="00F30645" w:rsidRPr="00DF05FA" w:rsidRDefault="00F30645" w:rsidP="00F30645">
      <w:pPr>
        <w:pStyle w:val="Textonotapie"/>
        <w:rPr>
          <w:i/>
        </w:rPr>
      </w:pPr>
      <w:r w:rsidRPr="00DF05FA">
        <w:rPr>
          <w:rStyle w:val="Refdenotaalpie"/>
        </w:rPr>
        <w:footnoteRef/>
      </w:r>
      <w:r w:rsidRPr="00DF05FA">
        <w:t xml:space="preserve"> </w:t>
      </w:r>
      <w:r w:rsidRPr="00DF05FA">
        <w:rPr>
          <w:i/>
        </w:rPr>
        <w:t>Ídem.</w:t>
      </w:r>
    </w:p>
  </w:footnote>
  <w:footnote w:id="33">
    <w:p w14:paraId="4349D17B" w14:textId="48EA5E53" w:rsidR="00F30645" w:rsidRPr="00DF05FA" w:rsidRDefault="00F30645" w:rsidP="00F30645">
      <w:pPr>
        <w:pStyle w:val="Textonotapie"/>
      </w:pPr>
      <w:r w:rsidRPr="00DF05FA">
        <w:rPr>
          <w:rStyle w:val="Refdenotaalpie"/>
        </w:rPr>
        <w:footnoteRef/>
      </w:r>
      <w:r w:rsidRPr="00DF05FA">
        <w:t xml:space="preserve"> </w:t>
      </w:r>
      <w:r w:rsidR="00A17E5F" w:rsidRPr="00980A9B">
        <w:t xml:space="preserve">De esos asuntos derivaron las tesis de jurisprudencia de la extinta Primera Sala 1a./J. 41/2020 (10a.), de rubro: “DEFENSA ADECUADA EN EL PROCESO PENAL ACUSATORIO. EN LA AUDIENCIA DE JUICIO ORAL EL JUEZ DE ENJUICIAMIENTO ESTÁ OBLIGADO A CORROBORAR LA CALIDAD DE LICENCIADO EN DERECHO DEL DEFENSOR AL INICIO DE SU INTERVENCIÓN.”. Publicada en la Gaceta del Semanario Judicial de la Federación, Décima Época. Materias: Constitucional-Penal. Diciembre de 2020, Libro 81, Tomo I, página 327 (Registro digital: 2022508). Y, </w:t>
      </w:r>
      <w:r w:rsidR="00A17E5F" w:rsidRPr="00980A9B">
        <w:rPr>
          <w:rStyle w:val="ng-star-inserted"/>
        </w:rPr>
        <w:t xml:space="preserve">1a./J. 69/2019 (10a.), de rubro </w:t>
      </w:r>
      <w:r w:rsidR="00A17E5F" w:rsidRPr="00980A9B">
        <w:t>“DEFENSA ADECUADA EN LA AUDIENCIA INICIAL DEL PROCEDIMIENTO PENAL ACUSATORIO. LA CALIDAD DE LICENCIADO EN DERECHO DEL DEFENSOR DEBE ACREDITARSE CON EL REGISTRO PREVIO DE LA CÉDULA PROFESIONAL EN LOS SISTEMAS DE REGISTRO O ANTE LOS EMPLEADOS JUDICIALES DESIGNADOS PARA TAL EFECTO, Y CON LA SIMPLE MENCIÓN QUE DE ESOS DATOS SE HAGA EN LA AUDIENCIA RESPECTIVA.”. Publicada en la Gaceta del Semanario Judicial de la Federación, Décima Época. Materia: Penal. Octubre de 2019, Libro 71, Tomo I, página 959 (Registro digital: 2020892).</w:t>
      </w:r>
    </w:p>
  </w:footnote>
  <w:footnote w:id="34">
    <w:p w14:paraId="01F63155" w14:textId="304A8D73" w:rsidR="00F30645" w:rsidRPr="00DF05FA" w:rsidRDefault="00F30645" w:rsidP="00F30645">
      <w:pPr>
        <w:pStyle w:val="Textonotapie"/>
      </w:pPr>
      <w:r w:rsidRPr="00DF05FA">
        <w:rPr>
          <w:rStyle w:val="Refdenotaalpie"/>
        </w:rPr>
        <w:footnoteRef/>
      </w:r>
      <w:r w:rsidRPr="00DF05FA">
        <w:rPr>
          <w:lang w:val="es-ES"/>
        </w:rPr>
        <w:t xml:space="preserve"> </w:t>
      </w:r>
      <w:r w:rsidRPr="00DF05FA">
        <w:t>Tesis jurisprudencial</w:t>
      </w:r>
      <w:r w:rsidR="00EB2158">
        <w:t xml:space="preserve"> </w:t>
      </w:r>
      <w:r w:rsidR="00EB2158" w:rsidRPr="00EB2158">
        <w:t>1a./J. 12/2012 (9a.)</w:t>
      </w:r>
      <w:r w:rsidR="00EB2158">
        <w:t>, de rubro: “</w:t>
      </w:r>
      <w:r w:rsidR="00EB2158" w:rsidRPr="00DF05FA">
        <w:rPr>
          <w:lang w:val="es-ES"/>
        </w:rPr>
        <w:t>DEFENSA ADECUADA. FORMA EN QUE EL JUEZ DE LA CAUSA GARANTIZA SU VIGENCIA.</w:t>
      </w:r>
      <w:r w:rsidR="00EB2158">
        <w:t xml:space="preserve">”. </w:t>
      </w:r>
      <w:r w:rsidR="00EB2158" w:rsidRPr="00DF05FA">
        <w:t>(Parcialmente superada en lo que no interesa al presente asunto)</w:t>
      </w:r>
      <w:r w:rsidR="00197C9C">
        <w:t xml:space="preserve">. </w:t>
      </w:r>
      <w:r w:rsidR="00EB2158">
        <w:t xml:space="preserve">Publicada en el Semanario </w:t>
      </w:r>
      <w:r w:rsidRPr="00DF05FA">
        <w:t>Judicial de la Federación,</w:t>
      </w:r>
      <w:r w:rsidR="00EB2158">
        <w:t xml:space="preserve"> Décima Época, Materias: Constitucional-Penal. </w:t>
      </w:r>
      <w:r w:rsidRPr="00DF05FA">
        <w:t xml:space="preserve">julio de 2012, </w:t>
      </w:r>
      <w:r w:rsidR="00EB2158" w:rsidRPr="00DF05FA">
        <w:t xml:space="preserve">libro X, tomo </w:t>
      </w:r>
      <w:r w:rsidR="00EB2158">
        <w:t>1</w:t>
      </w:r>
      <w:r w:rsidR="00EB2158" w:rsidRPr="00DF05FA">
        <w:t xml:space="preserve">, </w:t>
      </w:r>
      <w:r w:rsidRPr="00DF05FA">
        <w:t>página 433</w:t>
      </w:r>
      <w:r w:rsidR="00F74562">
        <w:t xml:space="preserve"> (Registro digital: </w:t>
      </w:r>
      <w:r w:rsidR="00F74562" w:rsidRPr="00F74562">
        <w:t>160044</w:t>
      </w:r>
      <w:r w:rsidR="00F74562">
        <w:t>)</w:t>
      </w:r>
      <w:r w:rsidRPr="00DF05FA">
        <w:t>.</w:t>
      </w:r>
    </w:p>
  </w:footnote>
  <w:footnote w:id="35">
    <w:p w14:paraId="5CCF2E98" w14:textId="3903D5DE" w:rsidR="00F30645" w:rsidRPr="00DF05FA" w:rsidRDefault="00F30645" w:rsidP="00F30645">
      <w:pPr>
        <w:pStyle w:val="Textonotapie"/>
      </w:pPr>
      <w:r w:rsidRPr="00DF05FA">
        <w:rPr>
          <w:rStyle w:val="Refdenotaalpie"/>
        </w:rPr>
        <w:footnoteRef/>
      </w:r>
      <w:r w:rsidRPr="00DF05FA">
        <w:t xml:space="preserve"> </w:t>
      </w:r>
      <w:r w:rsidR="009074F3">
        <w:t>Jurisprudencia</w:t>
      </w:r>
      <w:r w:rsidRPr="00DF05FA">
        <w:t xml:space="preserve"> 1a./J. 23/2006, de rubro: “DEFENSA ADECUADA. ALCANCE DE DICHA GARANTÍA EN LA AVERIGUACIÓN PREVIA (INTERPRETACIÓN DE LA FRACCIÓN II, EN RELACIÓN CON LAS DIVERSAS IX Y X DEL ARTÍCULO 20, APARTADO A, DE LA CONSTITUCIÓN FEDERAL).”</w:t>
      </w:r>
      <w:r w:rsidR="009074F3">
        <w:t xml:space="preserve">. Publicada en el Semanario Judicial de la Federación y su Gaceta. Novena Época. Materias: Constitucional-Penal. </w:t>
      </w:r>
      <w:r w:rsidR="009074F3" w:rsidRPr="009074F3">
        <w:t>Mayo de 2006, Tomo XXIII, página 13</w:t>
      </w:r>
      <w:r w:rsidR="009074F3">
        <w:t xml:space="preserve"> (Registro digital: </w:t>
      </w:r>
      <w:r w:rsidR="009074F3" w:rsidRPr="009074F3">
        <w:t>175110</w:t>
      </w:r>
      <w:r w:rsidR="009074F3">
        <w:t>).</w:t>
      </w:r>
    </w:p>
  </w:footnote>
  <w:footnote w:id="36">
    <w:p w14:paraId="133B5737" w14:textId="77777777" w:rsidR="00F30645" w:rsidRPr="00DF05FA" w:rsidRDefault="00F30645" w:rsidP="00F30645">
      <w:pPr>
        <w:pStyle w:val="Textonotapie"/>
      </w:pPr>
      <w:r w:rsidRPr="00DF05FA">
        <w:rPr>
          <w:rStyle w:val="Refdenotaalpie"/>
        </w:rPr>
        <w:footnoteRef/>
      </w:r>
      <w:r w:rsidRPr="00DF05FA">
        <w:t xml:space="preserve"> Resuelta en sesión de 7 de marzo de 2007, por unanimidad de cuatro votos.</w:t>
      </w:r>
    </w:p>
  </w:footnote>
  <w:footnote w:id="37">
    <w:p w14:paraId="668D82DD" w14:textId="77777777" w:rsidR="00F30645" w:rsidRPr="00DF05FA" w:rsidRDefault="00F30645" w:rsidP="00F30645">
      <w:pPr>
        <w:pStyle w:val="Textonotapie"/>
      </w:pPr>
      <w:r w:rsidRPr="00DF05FA">
        <w:rPr>
          <w:rStyle w:val="Refdenotaalpie"/>
        </w:rPr>
        <w:footnoteRef/>
      </w:r>
      <w:r w:rsidRPr="00DF05FA">
        <w:t xml:space="preserve"> Resuelto en sesión de 15 de mayo de 2019, por mayoría de cuatro votos.</w:t>
      </w:r>
    </w:p>
  </w:footnote>
  <w:footnote w:id="38">
    <w:p w14:paraId="5DE246BA" w14:textId="77777777" w:rsidR="00F30645" w:rsidRPr="00EF0397" w:rsidRDefault="00F30645" w:rsidP="00F30645">
      <w:pPr>
        <w:pStyle w:val="Textonotapie"/>
      </w:pPr>
      <w:r w:rsidRPr="00DF05FA">
        <w:rPr>
          <w:rStyle w:val="Refdenotaalpie"/>
        </w:rPr>
        <w:footnoteRef/>
      </w:r>
      <w:r w:rsidRPr="00DF05FA">
        <w:t xml:space="preserve">  TEDH, “Daud v. Portugal”, sentencia de 21 de abril de 1998, párr. </w:t>
      </w:r>
      <w:r w:rsidRPr="00EF0397">
        <w:t xml:space="preserve">42. </w:t>
      </w:r>
    </w:p>
  </w:footnote>
  <w:footnote w:id="39">
    <w:p w14:paraId="4CC043BB" w14:textId="77777777" w:rsidR="00F30645" w:rsidRPr="00EF0397" w:rsidRDefault="00F30645" w:rsidP="00F30645">
      <w:pPr>
        <w:pStyle w:val="Textonotapie"/>
      </w:pPr>
      <w:r w:rsidRPr="00DF05FA">
        <w:rPr>
          <w:rStyle w:val="Refdenotaalpie"/>
        </w:rPr>
        <w:footnoteRef/>
      </w:r>
      <w:r w:rsidRPr="00EF0397">
        <w:t xml:space="preserve"> TEDH, “Campbell and Fell v. the United Kingdom”, sentencia de 28 de junio 1984, párr. 99.</w:t>
      </w:r>
    </w:p>
  </w:footnote>
  <w:footnote w:id="40">
    <w:p w14:paraId="06F347EF" w14:textId="77777777" w:rsidR="00F30645" w:rsidRPr="00EF0397" w:rsidRDefault="00F30645" w:rsidP="00F30645">
      <w:pPr>
        <w:pStyle w:val="Textonotapie"/>
      </w:pPr>
      <w:r w:rsidRPr="00DF05FA">
        <w:rPr>
          <w:rStyle w:val="Refdenotaalpie"/>
        </w:rPr>
        <w:footnoteRef/>
      </w:r>
      <w:r w:rsidRPr="00EF0397">
        <w:t xml:space="preserve"> </w:t>
      </w:r>
      <w:r w:rsidRPr="00EF0397">
        <w:rPr>
          <w:i/>
        </w:rPr>
        <w:t>Ídem.</w:t>
      </w:r>
    </w:p>
  </w:footnote>
  <w:footnote w:id="41">
    <w:p w14:paraId="3E1B5DFD" w14:textId="77777777" w:rsidR="00F30645" w:rsidRPr="00EF0397" w:rsidRDefault="00F30645" w:rsidP="00F30645">
      <w:pPr>
        <w:pStyle w:val="Textonotapie"/>
      </w:pPr>
      <w:r w:rsidRPr="00DF05FA">
        <w:rPr>
          <w:rStyle w:val="Refdenotaalpie"/>
        </w:rPr>
        <w:footnoteRef/>
      </w:r>
      <w:r w:rsidRPr="00EF0397">
        <w:t xml:space="preserve"> TEDH, “Iglin v. Ukraine”, sentencia de 12 de junio 2012, párr. 65.</w:t>
      </w:r>
    </w:p>
  </w:footnote>
  <w:footnote w:id="42">
    <w:p w14:paraId="3AF1754C" w14:textId="77777777" w:rsidR="00F30645" w:rsidRPr="00DF05FA" w:rsidRDefault="00F30645" w:rsidP="00F30645">
      <w:pPr>
        <w:pStyle w:val="Textonotapie"/>
      </w:pPr>
      <w:r w:rsidRPr="00DF05FA">
        <w:rPr>
          <w:rStyle w:val="Refdenotaalpie"/>
        </w:rPr>
        <w:footnoteRef/>
      </w:r>
      <w:r w:rsidRPr="00EF0397">
        <w:t xml:space="preserve"> TEDH, “Boddaert v. Belgium”, sentencia de 12 de octubre de 1992, párr. </w:t>
      </w:r>
      <w:r w:rsidRPr="00DF05FA">
        <w:t>39.</w:t>
      </w:r>
    </w:p>
  </w:footnote>
  <w:footnote w:id="43">
    <w:p w14:paraId="5C2DBBE6" w14:textId="77777777" w:rsidR="00F30645" w:rsidRPr="00DF05FA" w:rsidRDefault="00F30645" w:rsidP="00F30645">
      <w:pPr>
        <w:pStyle w:val="Textonotapie"/>
      </w:pPr>
      <w:r w:rsidRPr="00DF05FA">
        <w:rPr>
          <w:rStyle w:val="Refdenotaalpie"/>
        </w:rPr>
        <w:footnoteRef/>
      </w:r>
      <w:r w:rsidRPr="00DF05FA">
        <w:t xml:space="preserve">  TEDH, “Daud v. Portugal”, </w:t>
      </w:r>
      <w:r w:rsidRPr="00DF05FA">
        <w:rPr>
          <w:i/>
          <w:iCs/>
        </w:rPr>
        <w:t>op. cit.</w:t>
      </w:r>
      <w:r w:rsidRPr="00DF05FA">
        <w:t>, párr. 39.</w:t>
      </w:r>
    </w:p>
  </w:footnote>
  <w:footnote w:id="44">
    <w:p w14:paraId="618E57D8" w14:textId="77777777" w:rsidR="00F30645" w:rsidRPr="00DF05FA" w:rsidRDefault="00F30645" w:rsidP="00F30645">
      <w:pPr>
        <w:pStyle w:val="Textonotapie"/>
      </w:pPr>
      <w:r w:rsidRPr="00DF05FA">
        <w:rPr>
          <w:rStyle w:val="Refdenotaalpie"/>
        </w:rPr>
        <w:footnoteRef/>
      </w:r>
      <w:r w:rsidRPr="00DF05FA">
        <w:t xml:space="preserve"> Resueltos en sesión de 3 de mayo de 2019 por mayoría de 3 votos de la ministra Norma Lucía Piña Hernández, los ministros Alfredo Gutiérrez Ortiz Mena, quien se reservó su derecho a formular voto aclaratorio y Juan Luis González Alcántara Carrancá (ponente). Votaron en contra los ministros Luis María Aguilar Morales, y Jorge Mario Pardo Rebolledo, quien se reservó su derecho a formular voto particular.</w:t>
      </w:r>
    </w:p>
  </w:footnote>
  <w:footnote w:id="45">
    <w:p w14:paraId="2CCCEBE3" w14:textId="09508EED" w:rsidR="00F30645" w:rsidRPr="00DF05FA" w:rsidRDefault="00F30645" w:rsidP="00F30645">
      <w:pPr>
        <w:pStyle w:val="Textonotapie"/>
      </w:pPr>
      <w:r w:rsidRPr="00DF05FA">
        <w:rPr>
          <w:rStyle w:val="Refdenotaalpie"/>
        </w:rPr>
        <w:footnoteRef/>
      </w:r>
      <w:r w:rsidRPr="00DF05FA">
        <w:t xml:space="preserve"> En similar sentido y haciendo referencia al TEDH se pronunció la Corte Interamericana de Derechos Humanos en la citada resolución de Ruano Torres y Otros vs. El Salvador, en donde además enfatizó lo expuesto por la Asamblea General de la OEA</w:t>
      </w:r>
      <w:r w:rsidR="00D66E08">
        <w:t xml:space="preserve"> (del que México es parte)</w:t>
      </w:r>
      <w:r w:rsidRPr="00DF05FA">
        <w:t xml:space="preserve"> en el sentido que, </w:t>
      </w:r>
      <w:r w:rsidRPr="00DF05FA">
        <w:rPr>
          <w:lang w:val="es-CR"/>
        </w:rPr>
        <w:t>los Estados “adopten acciones tendientes a que los defensores públicos oficiales cuenten con presupuesto adecuado y gocen de independencia, autonomía funcional, financiera y/o presupuestaria y técnica”. A criterio de la Asamblea General tales medidas son apropiadas para garantizar “un servicio público eficiente, libre de injerencias y controles indebidos por parte de otros poderes del Estado que afecten su autonomía funcional y cuyo mandato sea el interés de su defendido o defendida”</w:t>
      </w:r>
      <w:r w:rsidRPr="00DF05FA">
        <w:rPr>
          <w:lang w:val="es-AR"/>
        </w:rPr>
        <w:t xml:space="preserve"> [Resolución AG/RES. 2801 (XLIII-O/13), Hacia la autonomía de la defensa pública oficial como garantía de acceso a la justicia, 5 de junio de 2013, párr. 4; Resolución AG/RES. 2821 (XLIV-O/14), Hacia la autonomía y fortalecimiento de la Defensa Pública Oficial como garantía de acceso a la justicia, 10 de junio de 2014, párr. 5. Véase también, Resolución </w:t>
      </w:r>
      <w:r w:rsidRPr="00DF05FA">
        <w:t>AG/RES. 2656 (XLI-O/11)</w:t>
      </w:r>
      <w:r w:rsidRPr="00DF05FA">
        <w:rPr>
          <w:lang w:val="es-AR"/>
        </w:rPr>
        <w:t xml:space="preserve">, </w:t>
      </w:r>
      <w:r w:rsidRPr="00DF05FA">
        <w:t>Garantías para el acceso a la justica. El rol de los de los defensores públicos oficiales</w:t>
      </w:r>
      <w:r w:rsidRPr="00DF05FA">
        <w:rPr>
          <w:lang w:val="es-AR"/>
        </w:rPr>
        <w:t>, 7 de junio de 2011, párr. 4; Resolución AG/RES. 2714 (XLII-O/12), Defensa pública oficial como garantía de acceso a la justicia de las personas en condiciones de vulnerabilidad, 4 de junio de 2012, párr. 4.].</w:t>
      </w:r>
    </w:p>
  </w:footnote>
  <w:footnote w:id="46">
    <w:p w14:paraId="4C8224F4" w14:textId="77777777" w:rsidR="00F30645" w:rsidRPr="00DF05FA" w:rsidRDefault="00F30645" w:rsidP="00F30645">
      <w:pPr>
        <w:rPr>
          <w:sz w:val="20"/>
          <w:szCs w:val="20"/>
        </w:rPr>
      </w:pPr>
      <w:r w:rsidRPr="00DF05FA">
        <w:rPr>
          <w:rStyle w:val="Refdenotaalpie"/>
          <w:sz w:val="20"/>
          <w:szCs w:val="20"/>
        </w:rPr>
        <w:footnoteRef/>
      </w:r>
      <w:r w:rsidRPr="00DF05FA">
        <w:rPr>
          <w:sz w:val="20"/>
          <w:szCs w:val="20"/>
        </w:rPr>
        <w:t xml:space="preserve"> CoIDH, “</w:t>
      </w:r>
      <w:r w:rsidRPr="00DF05FA">
        <w:rPr>
          <w:rStyle w:val="Fuerte"/>
          <w:b w:val="0"/>
          <w:bCs w:val="0"/>
          <w:color w:val="000000"/>
          <w:sz w:val="20"/>
          <w:szCs w:val="20"/>
          <w:shd w:val="clear" w:color="auto" w:fill="FFFFFF"/>
        </w:rPr>
        <w:t xml:space="preserve">Caso Ruano Torres y otros Vs. El Salvador”, </w:t>
      </w:r>
      <w:r w:rsidRPr="00DF05FA">
        <w:rPr>
          <w:rStyle w:val="Fuerte"/>
          <w:b w:val="0"/>
          <w:bCs w:val="0"/>
          <w:i/>
          <w:iCs/>
          <w:color w:val="000000"/>
          <w:sz w:val="20"/>
          <w:szCs w:val="20"/>
          <w:shd w:val="clear" w:color="auto" w:fill="FFFFFF"/>
        </w:rPr>
        <w:t>op. cit</w:t>
      </w:r>
      <w:r w:rsidRPr="00DF05FA">
        <w:rPr>
          <w:rStyle w:val="Fuerte"/>
          <w:b w:val="0"/>
          <w:bCs w:val="0"/>
          <w:color w:val="000000"/>
          <w:sz w:val="20"/>
          <w:szCs w:val="20"/>
          <w:shd w:val="clear" w:color="auto" w:fill="FFFFFF"/>
        </w:rPr>
        <w:t>. párr. 164 y 166.</w:t>
      </w:r>
    </w:p>
  </w:footnote>
  <w:footnote w:id="47">
    <w:p w14:paraId="37D0750A" w14:textId="17ADB3B3" w:rsidR="00F30645" w:rsidRPr="00DF05FA" w:rsidRDefault="00F30645" w:rsidP="00F30645">
      <w:pPr>
        <w:pStyle w:val="Textonotapie"/>
      </w:pPr>
      <w:r w:rsidRPr="00DF05FA">
        <w:rPr>
          <w:rStyle w:val="Refdenotaalpie"/>
        </w:rPr>
        <w:footnoteRef/>
      </w:r>
      <w:r w:rsidRPr="00DF05FA">
        <w:t xml:space="preserve"> “DEFENSA ADECUADA. FORMA EN QUE EL JUEZ DE LA CAUSA GARANTIZA SU VIGENCIA” Jurisprudencia 1a./J. 12/2012 (9a.)</w:t>
      </w:r>
      <w:r w:rsidR="00B5193B">
        <w:t>.</w:t>
      </w:r>
      <w:r w:rsidRPr="00DF05FA">
        <w:t xml:space="preserve"> </w:t>
      </w:r>
      <w:r w:rsidR="00543C1A">
        <w:t xml:space="preserve">De la extinta </w:t>
      </w:r>
      <w:r w:rsidRPr="00DF05FA">
        <w:t>Primera Sala</w:t>
      </w:r>
      <w:r w:rsidR="00B5193B">
        <w:t>.</w:t>
      </w:r>
      <w:r w:rsidRPr="00DF05FA">
        <w:t xml:space="preserve"> </w:t>
      </w:r>
      <w:r w:rsidR="00543C1A">
        <w:t xml:space="preserve">Publicada en el </w:t>
      </w:r>
      <w:r w:rsidRPr="00DF05FA">
        <w:t xml:space="preserve">Semanario Judicial de la Federación y su Gaceta Décima Época, Libro X, Julio de 2012, Tomo 1, página 433. </w:t>
      </w:r>
    </w:p>
  </w:footnote>
  <w:footnote w:id="48">
    <w:p w14:paraId="5326D6A6" w14:textId="77777777" w:rsidR="00F30645" w:rsidRPr="00DF05FA" w:rsidRDefault="00F30645" w:rsidP="00F30645">
      <w:pPr>
        <w:pStyle w:val="Textonotapie"/>
      </w:pPr>
      <w:r w:rsidRPr="00DF05FA">
        <w:rPr>
          <w:rStyle w:val="Refdenotaalpie"/>
        </w:rPr>
        <w:footnoteRef/>
      </w:r>
      <w:r w:rsidRPr="00DF05FA">
        <w:t xml:space="preserve"> “DEFENSA ADECUADA DEL INCULPADO EN UN PROCESO PENAL. SE GARANTIZA CUANDO LA PROPORCIONA UNA PERSONA CON CONOCIMIENTOS TÉCNICOS EN DERECHO, SUFICIENTES PARA ACTUAR DILIGENTEMENTE CON EL FIN DE PROTEGER LAS GARANTÍAS PROCESALES DEL ACUSADO Y EVITAR QUE SUS DERECHOS SE VEAN LESIONADOS.” Tesis Aislada P. XII/2014 (10a.), Pleno, publicada en la Gaceta del Semanario Judicial de la Federación, Décima Época, Libro 5, Abril de 2014, Tomo I, página 413.</w:t>
      </w:r>
    </w:p>
  </w:footnote>
  <w:footnote w:id="49">
    <w:p w14:paraId="14058C3A" w14:textId="77777777" w:rsidR="00F30645" w:rsidRPr="00DF05FA" w:rsidRDefault="00F30645" w:rsidP="00F30645">
      <w:pPr>
        <w:pStyle w:val="Textonotapie"/>
      </w:pPr>
      <w:r w:rsidRPr="00DF05FA">
        <w:rPr>
          <w:rStyle w:val="Refdenotaalpie"/>
        </w:rPr>
        <w:footnoteRef/>
      </w:r>
      <w:r w:rsidRPr="00DF05FA">
        <w:t xml:space="preserve"> Resuelto en sesión de 23 de agosto de 2017, bajo la ponencia del ministro José Ramón Cossío Díaz, por mayoría de tres votos, en contra de los emitidos por el ministro Arturo Zaldívar Lelo de Larrea y la ministra Norma Lucía Piña Hernández.</w:t>
      </w:r>
    </w:p>
  </w:footnote>
  <w:footnote w:id="50">
    <w:p w14:paraId="33E15274" w14:textId="45E5EAB4" w:rsidR="00F30645" w:rsidRPr="00DF05FA" w:rsidRDefault="00F30645" w:rsidP="00F30645">
      <w:pPr>
        <w:pStyle w:val="Textonotapie"/>
      </w:pPr>
      <w:r w:rsidRPr="00DF05FA">
        <w:rPr>
          <w:rStyle w:val="Refdenotaalpie"/>
        </w:rPr>
        <w:footnoteRef/>
      </w:r>
      <w:r w:rsidRPr="00DF05FA">
        <w:t xml:space="preserve"> En este sentido, es ilustrativa la posición </w:t>
      </w:r>
      <w:r w:rsidR="00C863B2">
        <w:t xml:space="preserve">adoptada por la Corte </w:t>
      </w:r>
      <w:r w:rsidRPr="00DF05FA">
        <w:t xml:space="preserve">Suprema de Estados Unidos de </w:t>
      </w:r>
      <w:r w:rsidR="00C863B2">
        <w:t>A</w:t>
      </w:r>
      <w:r w:rsidRPr="00DF05FA">
        <w:t>mérica reflejada en el caso Strickland v Washington. 466 U.S. 668 (1984)</w:t>
      </w:r>
    </w:p>
    <w:p w14:paraId="66250D9F" w14:textId="77777777" w:rsidR="00F30645" w:rsidRPr="00DF05FA" w:rsidRDefault="00F30645" w:rsidP="00F30645">
      <w:pPr>
        <w:pStyle w:val="Textonotapie"/>
      </w:pPr>
      <w:r w:rsidRPr="00DF05FA">
        <w:t>Su criterio para identificar una violación al derecho de asistencia efectiva en apelación es básicamente un estándar de razonabilidad con dos pasos: primero, debe quedar claro que el defensor incurrió en errores tan serios, que básicamente dejó de funcionar como el “defensor” que exige la Constitución. Segundo, debe quedar claro que ese desempeño deficiente perjudicó al inculpado.</w:t>
      </w:r>
    </w:p>
    <w:p w14:paraId="368872AA" w14:textId="77777777" w:rsidR="00F30645" w:rsidRPr="00DF05FA" w:rsidRDefault="00F30645" w:rsidP="00F30645">
      <w:pPr>
        <w:pStyle w:val="Textonotapie"/>
        <w:rPr>
          <w:lang w:val="en-GB"/>
        </w:rPr>
      </w:pPr>
      <w:r w:rsidRPr="00DF05FA">
        <w:rPr>
          <w:lang w:val="en-GB"/>
        </w:rPr>
        <w:t xml:space="preserve">La Corte literalmente señala: “A convicted defendant’s claim that counsel’s assistance was so defective as to require reversal of a conviction or death sentence has two components. First, the defendant must show that counsel’s performance was deficient. This requires showing that counsel made errors so serious that counsel was not functioning as the “counsel” guaranteed the defendant by the Sixth Amendment. Second, the defendant must show that the deficient performance prejudiced the defense. This requires showing that counsel’s errors were so serious as to deprive the defendant of a fair trial, a trial whose result is reliable. </w:t>
      </w:r>
    </w:p>
    <w:p w14:paraId="2BA3BECC" w14:textId="77777777" w:rsidR="00F30645" w:rsidRPr="00DF05FA" w:rsidRDefault="00F30645" w:rsidP="00F30645">
      <w:pPr>
        <w:pStyle w:val="Textonotapie"/>
        <w:rPr>
          <w:lang w:val="en-GB"/>
        </w:rPr>
      </w:pPr>
      <w:r w:rsidRPr="00DF05FA">
        <w:rPr>
          <w:lang w:val="en-GB"/>
        </w:rPr>
        <w:t>(…) the proper standard for attorney performance is that of reasonably effective assistance…</w:t>
      </w:r>
    </w:p>
  </w:footnote>
  <w:footnote w:id="51">
    <w:p w14:paraId="43DB662F" w14:textId="77777777" w:rsidR="00F30645" w:rsidRPr="00DF05FA" w:rsidRDefault="00F30645" w:rsidP="00F30645">
      <w:pPr>
        <w:rPr>
          <w:sz w:val="20"/>
          <w:szCs w:val="20"/>
          <w:lang w:val="en-GB"/>
        </w:rPr>
      </w:pPr>
      <w:r w:rsidRPr="00DF05FA">
        <w:rPr>
          <w:rStyle w:val="Refdenotaalpie"/>
          <w:sz w:val="20"/>
          <w:szCs w:val="20"/>
        </w:rPr>
        <w:footnoteRef/>
      </w:r>
      <w:r w:rsidRPr="00DF05FA">
        <w:rPr>
          <w:sz w:val="20"/>
          <w:szCs w:val="20"/>
          <w:lang w:val="en-GB"/>
        </w:rPr>
        <w:t xml:space="preserve"> </w:t>
      </w:r>
      <w:r w:rsidRPr="00DF05FA">
        <w:rPr>
          <w:i/>
          <w:sz w:val="20"/>
          <w:szCs w:val="20"/>
          <w:lang w:val="en-GB"/>
        </w:rPr>
        <w:t>Idem</w:t>
      </w:r>
      <w:r w:rsidRPr="00DF05FA">
        <w:rPr>
          <w:sz w:val="20"/>
          <w:szCs w:val="20"/>
          <w:lang w:val="en-GB"/>
        </w:rPr>
        <w:t>. En esta parte, su sentencia señala: “</w:t>
      </w:r>
      <w:r w:rsidRPr="00DF05FA">
        <w:rPr>
          <w:sz w:val="20"/>
          <w:szCs w:val="20"/>
          <w:lang w:val="en-US"/>
        </w:rPr>
        <w:t>Judicial scrutiny of counsel’s performance must be highly deferential. It is all too tempting for a defendant to second-guess counsel’s assistance after conviction or adverse sentence, and it is all too easy for a court, examining counsel’s defense after it has proved unsuccessful, to conclude that a particular act or omission of counsel was unreasonable. A fair assessment of attorney performance requires that every effort be made to eliminate the distorting effects of hindsight, to reconstruct the circumstances of counsel’s challenged conduct, and to evaluate the conduct from counsel’s conduct falls within the wide range of reasonable professional assistance; that is, the defendant must overcome the presumption that, under the circumstances, the challenged action “might be considered sound trial strategy.” There are countless ways to provide effective assistance in any given case. Even the best criminal defense attorneys would not defend a particular client in the same way.”</w:t>
      </w:r>
    </w:p>
  </w:footnote>
  <w:footnote w:id="52">
    <w:p w14:paraId="52EBFD41" w14:textId="12F5ACCC" w:rsidR="00F30645" w:rsidRPr="00DF05FA" w:rsidRDefault="00F30645" w:rsidP="00F30645">
      <w:pPr>
        <w:pStyle w:val="Textonotapie"/>
      </w:pPr>
      <w:r w:rsidRPr="00DF05FA">
        <w:rPr>
          <w:rStyle w:val="Refdenotaalpie"/>
        </w:rPr>
        <w:footnoteRef/>
      </w:r>
      <w:r w:rsidRPr="00DF05FA">
        <w:t xml:space="preserve"> Sentencia de la Corte Constitucional de Colombia C-069/09</w:t>
      </w:r>
      <w:r w:rsidR="00F92187">
        <w:t>. Titulada “Declaración Inicial en Proceso Penal de Tendencia Acusatoria. Presentación de la Teoría del caso por parte de la defensa no es obligatoria”.</w:t>
      </w:r>
      <w:r w:rsidRPr="00DF05FA">
        <w:t xml:space="preserve"> </w:t>
      </w:r>
      <w:r w:rsidR="00F92187">
        <w:t>D</w:t>
      </w:r>
      <w:r w:rsidRPr="00DF05FA">
        <w:t>ictada el 10 de febrero de 2009, visible en: [http://www.corteconstitucional.gov.co/relatoria/2009/C-069-09.htm]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DF603" w14:textId="4FE0AB69" w:rsidR="0032423F" w:rsidRPr="00702416" w:rsidRDefault="00E003F1" w:rsidP="00E003F1">
    <w:pPr>
      <w:spacing w:before="240" w:after="600"/>
      <w:rPr>
        <w:b/>
        <w:sz w:val="26"/>
        <w:szCs w:val="26"/>
      </w:rPr>
    </w:pPr>
    <w:r w:rsidRPr="00702416">
      <w:rPr>
        <w:b/>
        <w:sz w:val="26"/>
        <w:szCs w:val="26"/>
      </w:rPr>
      <w:t>AMPARO EN REVISIÓN 370/2025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0DF74" w14:textId="5E46F0CB" w:rsidR="00B32CC7" w:rsidRPr="00F37C1C" w:rsidRDefault="005404BC" w:rsidP="00C63826">
    <w:pPr>
      <w:spacing w:before="240" w:after="600"/>
      <w:jc w:val="center"/>
      <w:rPr>
        <w:b/>
        <w:color w:val="006666"/>
        <w:sz w:val="26"/>
        <w:szCs w:val="26"/>
      </w:rPr>
    </w:pPr>
    <w:r w:rsidRPr="00F37C1C">
      <w:rPr>
        <w:b/>
        <w:color w:val="006666"/>
        <w:sz w:val="26"/>
        <w:szCs w:val="26"/>
      </w:rPr>
      <w:t xml:space="preserve">AMPARO EN REVISIÓN </w:t>
    </w:r>
    <w:r w:rsidR="008772EC" w:rsidRPr="00F37C1C">
      <w:rPr>
        <w:b/>
        <w:color w:val="006666"/>
        <w:sz w:val="26"/>
        <w:szCs w:val="26"/>
      </w:rPr>
      <w:t>370</w:t>
    </w:r>
    <w:r w:rsidRPr="00F37C1C">
      <w:rPr>
        <w:b/>
        <w:color w:val="006666"/>
        <w:sz w:val="26"/>
        <w:szCs w:val="26"/>
      </w:rPr>
      <w:t>/202</w:t>
    </w:r>
    <w:r w:rsidR="004F3A3C" w:rsidRPr="00F37C1C">
      <w:rPr>
        <w:b/>
        <w:color w:val="006666"/>
        <w:sz w:val="26"/>
        <w:szCs w:val="26"/>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B8F99" w14:textId="77777777" w:rsidR="00E003F1" w:rsidRPr="00F37C1C" w:rsidRDefault="00E003F1" w:rsidP="00C63826">
    <w:pPr>
      <w:spacing w:before="240" w:after="600"/>
      <w:jc w:val="center"/>
      <w:rPr>
        <w:b/>
        <w:color w:val="006666"/>
        <w:sz w:val="26"/>
        <w:szCs w:val="26"/>
      </w:rPr>
    </w:pPr>
    <w:r w:rsidRPr="00F37C1C">
      <w:rPr>
        <w:b/>
        <w:color w:val="006666"/>
        <w:sz w:val="26"/>
        <w:szCs w:val="26"/>
      </w:rPr>
      <w:t>AMPARO EN REVISIÓN 370/2025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7CE4"/>
    <w:multiLevelType w:val="multilevel"/>
    <w:tmpl w:val="38486AF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6C130A"/>
    <w:multiLevelType w:val="hybridMultilevel"/>
    <w:tmpl w:val="2F5ADE1A"/>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A1F3B88"/>
    <w:multiLevelType w:val="hybridMultilevel"/>
    <w:tmpl w:val="2F3A3F62"/>
    <w:lvl w:ilvl="0" w:tplc="214CB592">
      <w:start w:val="1"/>
      <w:numFmt w:val="decimal"/>
      <w:lvlText w:val="%1."/>
      <w:lvlJc w:val="left"/>
      <w:pPr>
        <w:ind w:left="569" w:hanging="567"/>
        <w:jc w:val="right"/>
      </w:pPr>
      <w:rPr>
        <w:rFonts w:ascii="Arial" w:eastAsia="Arial" w:hAnsi="Arial" w:cs="Arial" w:hint="default"/>
        <w:b/>
        <w:bCs/>
        <w:i w:val="0"/>
        <w:iCs w:val="0"/>
        <w:spacing w:val="-1"/>
        <w:w w:val="100"/>
        <w:sz w:val="28"/>
        <w:szCs w:val="28"/>
        <w:lang w:val="es-ES" w:eastAsia="en-US" w:bidi="ar-SA"/>
      </w:rPr>
    </w:lvl>
    <w:lvl w:ilvl="1" w:tplc="55507354">
      <w:start w:val="2"/>
      <w:numFmt w:val="decimal"/>
      <w:lvlText w:val="%2."/>
      <w:lvlJc w:val="left"/>
      <w:pPr>
        <w:ind w:left="1289" w:hanging="317"/>
      </w:pPr>
      <w:rPr>
        <w:rFonts w:ascii="Arial MT" w:eastAsia="Arial MT" w:hAnsi="Arial MT" w:cs="Arial MT" w:hint="default"/>
        <w:b w:val="0"/>
        <w:bCs w:val="0"/>
        <w:i w:val="0"/>
        <w:iCs w:val="0"/>
        <w:spacing w:val="0"/>
        <w:w w:val="99"/>
        <w:sz w:val="26"/>
        <w:szCs w:val="26"/>
        <w:lang w:val="es-ES" w:eastAsia="en-US" w:bidi="ar-SA"/>
      </w:rPr>
    </w:lvl>
    <w:lvl w:ilvl="2" w:tplc="D2E8C7F4">
      <w:numFmt w:val="bullet"/>
      <w:lvlText w:val="•"/>
      <w:lvlJc w:val="left"/>
      <w:pPr>
        <w:ind w:left="2214" w:hanging="317"/>
      </w:pPr>
      <w:rPr>
        <w:rFonts w:hint="default"/>
        <w:lang w:val="es-ES" w:eastAsia="en-US" w:bidi="ar-SA"/>
      </w:rPr>
    </w:lvl>
    <w:lvl w:ilvl="3" w:tplc="7A745546">
      <w:numFmt w:val="bullet"/>
      <w:lvlText w:val="•"/>
      <w:lvlJc w:val="left"/>
      <w:pPr>
        <w:ind w:left="3149" w:hanging="317"/>
      </w:pPr>
      <w:rPr>
        <w:rFonts w:hint="default"/>
        <w:lang w:val="es-ES" w:eastAsia="en-US" w:bidi="ar-SA"/>
      </w:rPr>
    </w:lvl>
    <w:lvl w:ilvl="4" w:tplc="B6462560">
      <w:numFmt w:val="bullet"/>
      <w:lvlText w:val="•"/>
      <w:lvlJc w:val="left"/>
      <w:pPr>
        <w:ind w:left="4084" w:hanging="317"/>
      </w:pPr>
      <w:rPr>
        <w:rFonts w:hint="default"/>
        <w:lang w:val="es-ES" w:eastAsia="en-US" w:bidi="ar-SA"/>
      </w:rPr>
    </w:lvl>
    <w:lvl w:ilvl="5" w:tplc="3C10C638">
      <w:numFmt w:val="bullet"/>
      <w:lvlText w:val="•"/>
      <w:lvlJc w:val="left"/>
      <w:pPr>
        <w:ind w:left="5018" w:hanging="317"/>
      </w:pPr>
      <w:rPr>
        <w:rFonts w:hint="default"/>
        <w:lang w:val="es-ES" w:eastAsia="en-US" w:bidi="ar-SA"/>
      </w:rPr>
    </w:lvl>
    <w:lvl w:ilvl="6" w:tplc="F2B82E46">
      <w:numFmt w:val="bullet"/>
      <w:lvlText w:val="•"/>
      <w:lvlJc w:val="left"/>
      <w:pPr>
        <w:ind w:left="5953" w:hanging="317"/>
      </w:pPr>
      <w:rPr>
        <w:rFonts w:hint="default"/>
        <w:lang w:val="es-ES" w:eastAsia="en-US" w:bidi="ar-SA"/>
      </w:rPr>
    </w:lvl>
    <w:lvl w:ilvl="7" w:tplc="BFC47D84">
      <w:numFmt w:val="bullet"/>
      <w:lvlText w:val="•"/>
      <w:lvlJc w:val="left"/>
      <w:pPr>
        <w:ind w:left="6888" w:hanging="317"/>
      </w:pPr>
      <w:rPr>
        <w:rFonts w:hint="default"/>
        <w:lang w:val="es-ES" w:eastAsia="en-US" w:bidi="ar-SA"/>
      </w:rPr>
    </w:lvl>
    <w:lvl w:ilvl="8" w:tplc="938A87EA">
      <w:numFmt w:val="bullet"/>
      <w:lvlText w:val="•"/>
      <w:lvlJc w:val="left"/>
      <w:pPr>
        <w:ind w:left="7822" w:hanging="317"/>
      </w:pPr>
      <w:rPr>
        <w:rFonts w:hint="default"/>
        <w:lang w:val="es-ES" w:eastAsia="en-US" w:bidi="ar-SA"/>
      </w:rPr>
    </w:lvl>
  </w:abstractNum>
  <w:abstractNum w:abstractNumId="3" w15:restartNumberingAfterBreak="0">
    <w:nsid w:val="1C785C02"/>
    <w:multiLevelType w:val="multilevel"/>
    <w:tmpl w:val="9C2830F4"/>
    <w:lvl w:ilvl="0">
      <w:start w:val="1"/>
      <w:numFmt w:val="decimal"/>
      <w:lvlText w:val="%1."/>
      <w:lvlJc w:val="left"/>
      <w:pPr>
        <w:ind w:left="1778" w:hanging="360"/>
      </w:pPr>
      <w:rPr>
        <w:rFonts w:ascii="Arial" w:eastAsia="Times New Roman" w:hAnsi="Arial" w:cs="Arial" w:hint="default"/>
        <w:b w:val="0"/>
        <w:i w:val="0"/>
        <w:color w:val="auto"/>
        <w:sz w:val="26"/>
        <w:szCs w:val="26"/>
        <w:lang w:val="es-ES_tradnl"/>
      </w:rPr>
    </w:lvl>
    <w:lvl w:ilvl="1">
      <w:start w:val="1"/>
      <w:numFmt w:val="decimal"/>
      <w:lvlText w:val="%2)"/>
      <w:lvlJc w:val="left"/>
      <w:pPr>
        <w:ind w:left="780" w:hanging="780"/>
      </w:pPr>
    </w:lvl>
    <w:lvl w:ilvl="2">
      <w:start w:val="1"/>
      <w:numFmt w:val="decimal"/>
      <w:isLgl/>
      <w:lvlText w:val="%1.%2.%3"/>
      <w:lvlJc w:val="left"/>
      <w:pPr>
        <w:ind w:left="780" w:hanging="780"/>
      </w:pPr>
    </w:lvl>
    <w:lvl w:ilvl="3">
      <w:start w:val="1"/>
      <w:numFmt w:val="decimal"/>
      <w:isLgl/>
      <w:lvlText w:val="%1.%2.%3.%4"/>
      <w:lvlJc w:val="left"/>
      <w:pPr>
        <w:ind w:left="1080" w:hanging="1080"/>
      </w:pPr>
    </w:lvl>
    <w:lvl w:ilvl="4">
      <w:start w:val="1"/>
      <w:numFmt w:val="decimal"/>
      <w:isLgl/>
      <w:lvlText w:val="%1.%2.%3.%4.%5"/>
      <w:lvlJc w:val="left"/>
      <w:pPr>
        <w:ind w:left="1440" w:hanging="1440"/>
      </w:pPr>
    </w:lvl>
    <w:lvl w:ilvl="5">
      <w:start w:val="1"/>
      <w:numFmt w:val="decimal"/>
      <w:isLgl/>
      <w:lvlText w:val="%1.%2.%3.%4.%5.%6"/>
      <w:lvlJc w:val="left"/>
      <w:pPr>
        <w:ind w:left="1440" w:hanging="1440"/>
      </w:pPr>
    </w:lvl>
    <w:lvl w:ilvl="6">
      <w:start w:val="1"/>
      <w:numFmt w:val="decimal"/>
      <w:isLgl/>
      <w:lvlText w:val="%1.%2.%3.%4.%5.%6.%7"/>
      <w:lvlJc w:val="left"/>
      <w:pPr>
        <w:ind w:left="1800" w:hanging="1800"/>
      </w:pPr>
    </w:lvl>
    <w:lvl w:ilvl="7">
      <w:start w:val="1"/>
      <w:numFmt w:val="decimal"/>
      <w:isLgl/>
      <w:lvlText w:val="%1.%2.%3.%4.%5.%6.%7.%8"/>
      <w:lvlJc w:val="left"/>
      <w:pPr>
        <w:ind w:left="1800" w:hanging="1800"/>
      </w:pPr>
    </w:lvl>
    <w:lvl w:ilvl="8">
      <w:start w:val="1"/>
      <w:numFmt w:val="decimal"/>
      <w:isLgl/>
      <w:lvlText w:val="%1.%2.%3.%4.%5.%6.%7.%8.%9"/>
      <w:lvlJc w:val="left"/>
      <w:pPr>
        <w:ind w:left="2160" w:hanging="2160"/>
      </w:pPr>
    </w:lvl>
  </w:abstractNum>
  <w:abstractNum w:abstractNumId="4" w15:restartNumberingAfterBreak="0">
    <w:nsid w:val="1D295DA2"/>
    <w:multiLevelType w:val="multilevel"/>
    <w:tmpl w:val="C9904D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626AA7"/>
    <w:multiLevelType w:val="multilevel"/>
    <w:tmpl w:val="8F867DC6"/>
    <w:lvl w:ilvl="0">
      <w:start w:val="1"/>
      <w:numFmt w:val="upperRoman"/>
      <w:lvlText w:val="%1."/>
      <w:lvlJc w:val="left"/>
      <w:pPr>
        <w:ind w:left="108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A21686F"/>
    <w:multiLevelType w:val="hybridMultilevel"/>
    <w:tmpl w:val="1F7AF39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5AD6AA5"/>
    <w:multiLevelType w:val="hybridMultilevel"/>
    <w:tmpl w:val="D152CCA0"/>
    <w:lvl w:ilvl="0" w:tplc="B8D8B548">
      <w:start w:val="22"/>
      <w:numFmt w:val="decimal"/>
      <w:lvlText w:val="%1."/>
      <w:lvlJc w:val="left"/>
      <w:pPr>
        <w:ind w:left="3552" w:hanging="720"/>
      </w:pPr>
      <w:rPr>
        <w:rFonts w:ascii="Arial" w:eastAsia="Times New Roman" w:hAnsi="Arial" w:cs="Arial" w:hint="default"/>
        <w:b w:val="0"/>
        <w:sz w:val="26"/>
        <w:szCs w:val="26"/>
        <w:lang w:val="es-MX"/>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6FE5C6E"/>
    <w:multiLevelType w:val="hybridMultilevel"/>
    <w:tmpl w:val="514067FE"/>
    <w:lvl w:ilvl="0" w:tplc="01F20C12">
      <w:start w:val="1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BE32D58"/>
    <w:multiLevelType w:val="hybridMultilevel"/>
    <w:tmpl w:val="2F5ADE1A"/>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9EA67FA"/>
    <w:multiLevelType w:val="hybridMultilevel"/>
    <w:tmpl w:val="BF72158E"/>
    <w:lvl w:ilvl="0" w:tplc="6C044C76">
      <w:start w:val="1"/>
      <w:numFmt w:val="upperRoman"/>
      <w:lvlText w:val="%1."/>
      <w:lvlJc w:val="left"/>
      <w:pPr>
        <w:ind w:left="1080" w:hanging="720"/>
      </w:pPr>
      <w:rPr>
        <w:rFonts w:hint="default"/>
        <w:b/>
        <w:lang w:val="es-MX"/>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E5D7B0A"/>
    <w:multiLevelType w:val="hybridMultilevel"/>
    <w:tmpl w:val="2F5ADE1A"/>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1487D41"/>
    <w:multiLevelType w:val="hybridMultilevel"/>
    <w:tmpl w:val="0A248278"/>
    <w:lvl w:ilvl="0" w:tplc="C08656FA">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A217109"/>
    <w:multiLevelType w:val="hybridMultilevel"/>
    <w:tmpl w:val="D312DCEC"/>
    <w:lvl w:ilvl="0" w:tplc="149C13D2">
      <w:start w:val="1"/>
      <w:numFmt w:val="low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5AFE16B0"/>
    <w:multiLevelType w:val="hybridMultilevel"/>
    <w:tmpl w:val="B5027BA2"/>
    <w:lvl w:ilvl="0" w:tplc="6B0E9A42">
      <w:start w:val="1"/>
      <w:numFmt w:val="upperRoman"/>
      <w:lvlText w:val="%1."/>
      <w:lvlJc w:val="left"/>
      <w:pPr>
        <w:ind w:left="1440" w:hanging="720"/>
      </w:pPr>
      <w:rPr>
        <w:rFonts w:hint="default"/>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15:restartNumberingAfterBreak="0">
    <w:nsid w:val="5BC860FA"/>
    <w:multiLevelType w:val="hybridMultilevel"/>
    <w:tmpl w:val="93FCC2FC"/>
    <w:lvl w:ilvl="0" w:tplc="E12A9834">
      <w:start w:val="1"/>
      <w:numFmt w:val="decimal"/>
      <w:pStyle w:val="Ttulo5"/>
      <w:lvlText w:val="%1."/>
      <w:lvlJc w:val="left"/>
      <w:pPr>
        <w:ind w:left="720" w:hanging="360"/>
      </w:pPr>
      <w:rPr>
        <w:rFonts w:hint="default"/>
        <w:b w:val="0"/>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5CCC4974"/>
    <w:multiLevelType w:val="hybridMultilevel"/>
    <w:tmpl w:val="2F5ADE1A"/>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61C75684"/>
    <w:multiLevelType w:val="hybridMultilevel"/>
    <w:tmpl w:val="2444A1C6"/>
    <w:lvl w:ilvl="0" w:tplc="C93A2C2C">
      <w:start w:val="1"/>
      <w:numFmt w:val="decimal"/>
      <w:lvlText w:val="%1."/>
      <w:lvlJc w:val="left"/>
      <w:pPr>
        <w:ind w:left="360" w:hanging="360"/>
      </w:pPr>
      <w:rPr>
        <w:rFonts w:ascii="Arial" w:eastAsia="Times New Roman" w:hAnsi="Arial" w:cs="Arial"/>
        <w:b w:val="0"/>
        <w:bCs/>
        <w:i w:val="0"/>
        <w:iCs w:val="0"/>
        <w:sz w:val="26"/>
        <w:szCs w:val="26"/>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9885FAF"/>
    <w:multiLevelType w:val="hybridMultilevel"/>
    <w:tmpl w:val="39ACCF58"/>
    <w:lvl w:ilvl="0" w:tplc="FA7AB866">
      <w:start w:val="1"/>
      <w:numFmt w:val="upperRoman"/>
      <w:pStyle w:val="Ttulo3"/>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DB63805"/>
    <w:multiLevelType w:val="hybridMultilevel"/>
    <w:tmpl w:val="892E2596"/>
    <w:lvl w:ilvl="0" w:tplc="6446269C">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7BE250D2"/>
    <w:multiLevelType w:val="multilevel"/>
    <w:tmpl w:val="18BC2C04"/>
    <w:lvl w:ilvl="0">
      <w:start w:val="30"/>
      <w:numFmt w:val="decimal"/>
      <w:lvlText w:val="%1."/>
      <w:lvlJc w:val="left"/>
      <w:pPr>
        <w:ind w:left="720" w:hanging="360"/>
      </w:pPr>
      <w:rPr>
        <w:rFonts w:ascii="Arial" w:eastAsia="Arial" w:hAnsi="Arial" w:cs="Arial" w:hint="default"/>
        <w:b w:val="0"/>
        <w:bCs/>
        <w:color w:val="000000"/>
        <w:sz w:val="26"/>
        <w:szCs w:val="26"/>
      </w:rPr>
    </w:lvl>
    <w:lvl w:ilvl="1">
      <w:start w:val="1"/>
      <w:numFmt w:val="lowerLetter"/>
      <w:lvlText w:val="%2."/>
      <w:lvlJc w:val="left"/>
      <w:pPr>
        <w:ind w:left="360" w:hanging="360"/>
      </w:pPr>
      <w:rPr>
        <w:rFonts w:hint="default"/>
        <w:b/>
        <w:bCs/>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27300942">
    <w:abstractNumId w:val="18"/>
  </w:num>
  <w:num w:numId="2" w16cid:durableId="600601133">
    <w:abstractNumId w:val="15"/>
  </w:num>
  <w:num w:numId="3" w16cid:durableId="2033529846">
    <w:abstractNumId w:val="1"/>
  </w:num>
  <w:num w:numId="4" w16cid:durableId="874348361">
    <w:abstractNumId w:val="9"/>
  </w:num>
  <w:num w:numId="5" w16cid:durableId="1521311446">
    <w:abstractNumId w:val="16"/>
  </w:num>
  <w:num w:numId="6" w16cid:durableId="199243335">
    <w:abstractNumId w:val="11"/>
  </w:num>
  <w:num w:numId="7" w16cid:durableId="73020130">
    <w:abstractNumId w:val="12"/>
  </w:num>
  <w:num w:numId="8" w16cid:durableId="1079062651">
    <w:abstractNumId w:val="19"/>
  </w:num>
  <w:num w:numId="9" w16cid:durableId="189033386">
    <w:abstractNumId w:val="6"/>
  </w:num>
  <w:num w:numId="10" w16cid:durableId="1723628310">
    <w:abstractNumId w:val="20"/>
  </w:num>
  <w:num w:numId="11" w16cid:durableId="1026566473">
    <w:abstractNumId w:val="5"/>
  </w:num>
  <w:num w:numId="12" w16cid:durableId="271203347">
    <w:abstractNumId w:val="15"/>
  </w:num>
  <w:num w:numId="13" w16cid:durableId="616984476">
    <w:abstractNumId w:val="0"/>
  </w:num>
  <w:num w:numId="14" w16cid:durableId="402027955">
    <w:abstractNumId w:val="17"/>
  </w:num>
  <w:num w:numId="15" w16cid:durableId="2005816248">
    <w:abstractNumId w:val="4"/>
  </w:num>
  <w:num w:numId="16" w16cid:durableId="442962002">
    <w:abstractNumId w:val="2"/>
  </w:num>
  <w:num w:numId="17" w16cid:durableId="317072168">
    <w:abstractNumId w:val="8"/>
  </w:num>
  <w:num w:numId="18" w16cid:durableId="537089289">
    <w:abstractNumId w:val="13"/>
  </w:num>
  <w:num w:numId="19" w16cid:durableId="1081486148">
    <w:abstractNumId w:val="14"/>
  </w:num>
  <w:num w:numId="20" w16cid:durableId="640232294">
    <w:abstractNumId w:val="10"/>
  </w:num>
  <w:num w:numId="21" w16cid:durableId="1156146095">
    <w:abstractNumId w:val="3"/>
  </w:num>
  <w:num w:numId="22" w16cid:durableId="1835605410">
    <w:abstractNumId w:val="7"/>
  </w:num>
  <w:num w:numId="23" w16cid:durableId="1998996831">
    <w:abstractNumId w:val="18"/>
  </w:num>
  <w:num w:numId="24" w16cid:durableId="281502185">
    <w:abstractNumId w:val="15"/>
  </w:num>
  <w:num w:numId="25" w16cid:durableId="2130973398">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C9A"/>
    <w:rsid w:val="000000DE"/>
    <w:rsid w:val="000000E8"/>
    <w:rsid w:val="0000018F"/>
    <w:rsid w:val="0000068C"/>
    <w:rsid w:val="00001729"/>
    <w:rsid w:val="00001867"/>
    <w:rsid w:val="000019A8"/>
    <w:rsid w:val="00001B7B"/>
    <w:rsid w:val="00001E79"/>
    <w:rsid w:val="000020B3"/>
    <w:rsid w:val="0000227D"/>
    <w:rsid w:val="00002C63"/>
    <w:rsid w:val="00002D2C"/>
    <w:rsid w:val="00002FCD"/>
    <w:rsid w:val="00003DF7"/>
    <w:rsid w:val="00003F13"/>
    <w:rsid w:val="000046A1"/>
    <w:rsid w:val="00004945"/>
    <w:rsid w:val="00004DC8"/>
    <w:rsid w:val="00005B3D"/>
    <w:rsid w:val="00006ACF"/>
    <w:rsid w:val="00006B22"/>
    <w:rsid w:val="000073C2"/>
    <w:rsid w:val="000110CD"/>
    <w:rsid w:val="00011A55"/>
    <w:rsid w:val="00012FAC"/>
    <w:rsid w:val="000132E7"/>
    <w:rsid w:val="00013325"/>
    <w:rsid w:val="0001400F"/>
    <w:rsid w:val="0001491C"/>
    <w:rsid w:val="00014EFD"/>
    <w:rsid w:val="0001532E"/>
    <w:rsid w:val="00015CBF"/>
    <w:rsid w:val="00016074"/>
    <w:rsid w:val="0001651A"/>
    <w:rsid w:val="00016CC5"/>
    <w:rsid w:val="0001731F"/>
    <w:rsid w:val="000177B1"/>
    <w:rsid w:val="00017AAE"/>
    <w:rsid w:val="00020A89"/>
    <w:rsid w:val="00020ECE"/>
    <w:rsid w:val="0002102F"/>
    <w:rsid w:val="00021119"/>
    <w:rsid w:val="000218A1"/>
    <w:rsid w:val="00021B55"/>
    <w:rsid w:val="000222A5"/>
    <w:rsid w:val="00022743"/>
    <w:rsid w:val="00023085"/>
    <w:rsid w:val="000235DC"/>
    <w:rsid w:val="00023A0E"/>
    <w:rsid w:val="000240C8"/>
    <w:rsid w:val="000243F6"/>
    <w:rsid w:val="00024872"/>
    <w:rsid w:val="00025EFF"/>
    <w:rsid w:val="000269AA"/>
    <w:rsid w:val="000269CE"/>
    <w:rsid w:val="00026DD0"/>
    <w:rsid w:val="0002723F"/>
    <w:rsid w:val="000273DF"/>
    <w:rsid w:val="00027BE6"/>
    <w:rsid w:val="00027C1C"/>
    <w:rsid w:val="00027FE6"/>
    <w:rsid w:val="00030B05"/>
    <w:rsid w:val="00030B29"/>
    <w:rsid w:val="00030E88"/>
    <w:rsid w:val="00030F14"/>
    <w:rsid w:val="0003102F"/>
    <w:rsid w:val="00031789"/>
    <w:rsid w:val="00031C3B"/>
    <w:rsid w:val="00031FEA"/>
    <w:rsid w:val="00032AED"/>
    <w:rsid w:val="00032DD4"/>
    <w:rsid w:val="00032FC3"/>
    <w:rsid w:val="0003414C"/>
    <w:rsid w:val="00035C66"/>
    <w:rsid w:val="00035E0F"/>
    <w:rsid w:val="000366EE"/>
    <w:rsid w:val="000372A8"/>
    <w:rsid w:val="0003734D"/>
    <w:rsid w:val="000373E8"/>
    <w:rsid w:val="000375EF"/>
    <w:rsid w:val="00037C1D"/>
    <w:rsid w:val="00040440"/>
    <w:rsid w:val="00040D3E"/>
    <w:rsid w:val="00041201"/>
    <w:rsid w:val="000412BF"/>
    <w:rsid w:val="000414AE"/>
    <w:rsid w:val="00041C9C"/>
    <w:rsid w:val="000420D6"/>
    <w:rsid w:val="0004348D"/>
    <w:rsid w:val="000439B5"/>
    <w:rsid w:val="0004417E"/>
    <w:rsid w:val="00044531"/>
    <w:rsid w:val="00045D0B"/>
    <w:rsid w:val="000473F6"/>
    <w:rsid w:val="000475AE"/>
    <w:rsid w:val="00047DBA"/>
    <w:rsid w:val="00050645"/>
    <w:rsid w:val="00050D08"/>
    <w:rsid w:val="000527AB"/>
    <w:rsid w:val="000528AC"/>
    <w:rsid w:val="00053325"/>
    <w:rsid w:val="00053399"/>
    <w:rsid w:val="000537C0"/>
    <w:rsid w:val="00053E6A"/>
    <w:rsid w:val="000548B6"/>
    <w:rsid w:val="000552E2"/>
    <w:rsid w:val="0005532C"/>
    <w:rsid w:val="00055C43"/>
    <w:rsid w:val="00055DE9"/>
    <w:rsid w:val="0005630E"/>
    <w:rsid w:val="00056ED7"/>
    <w:rsid w:val="00057DD4"/>
    <w:rsid w:val="000601FA"/>
    <w:rsid w:val="00060931"/>
    <w:rsid w:val="00061A08"/>
    <w:rsid w:val="000621BC"/>
    <w:rsid w:val="00063F28"/>
    <w:rsid w:val="000645EA"/>
    <w:rsid w:val="00065064"/>
    <w:rsid w:val="00065675"/>
    <w:rsid w:val="00065B7A"/>
    <w:rsid w:val="000661E2"/>
    <w:rsid w:val="0006620C"/>
    <w:rsid w:val="000671D4"/>
    <w:rsid w:val="00067455"/>
    <w:rsid w:val="00067771"/>
    <w:rsid w:val="00067B17"/>
    <w:rsid w:val="00070EE5"/>
    <w:rsid w:val="00070F3E"/>
    <w:rsid w:val="00070F50"/>
    <w:rsid w:val="00071523"/>
    <w:rsid w:val="0007219F"/>
    <w:rsid w:val="000730D0"/>
    <w:rsid w:val="00073144"/>
    <w:rsid w:val="00073566"/>
    <w:rsid w:val="00073788"/>
    <w:rsid w:val="00073E3E"/>
    <w:rsid w:val="000747EA"/>
    <w:rsid w:val="000755FF"/>
    <w:rsid w:val="000763C0"/>
    <w:rsid w:val="0007646B"/>
    <w:rsid w:val="000770FD"/>
    <w:rsid w:val="00077A0D"/>
    <w:rsid w:val="000801D7"/>
    <w:rsid w:val="000815C1"/>
    <w:rsid w:val="00082CEE"/>
    <w:rsid w:val="000831C0"/>
    <w:rsid w:val="000837F1"/>
    <w:rsid w:val="00084236"/>
    <w:rsid w:val="00084C17"/>
    <w:rsid w:val="00084C2F"/>
    <w:rsid w:val="00085B38"/>
    <w:rsid w:val="00085FD7"/>
    <w:rsid w:val="0008652A"/>
    <w:rsid w:val="00086E7D"/>
    <w:rsid w:val="000871D4"/>
    <w:rsid w:val="00087C24"/>
    <w:rsid w:val="00087E99"/>
    <w:rsid w:val="00090FF0"/>
    <w:rsid w:val="0009160B"/>
    <w:rsid w:val="00091FA9"/>
    <w:rsid w:val="00092381"/>
    <w:rsid w:val="0009300A"/>
    <w:rsid w:val="00094D56"/>
    <w:rsid w:val="00094F5E"/>
    <w:rsid w:val="0009505E"/>
    <w:rsid w:val="000953EA"/>
    <w:rsid w:val="000959E6"/>
    <w:rsid w:val="00095B43"/>
    <w:rsid w:val="00097173"/>
    <w:rsid w:val="000A00EC"/>
    <w:rsid w:val="000A01C9"/>
    <w:rsid w:val="000A0944"/>
    <w:rsid w:val="000A0CAD"/>
    <w:rsid w:val="000A1184"/>
    <w:rsid w:val="000A1306"/>
    <w:rsid w:val="000A17F9"/>
    <w:rsid w:val="000A1BA7"/>
    <w:rsid w:val="000A23F5"/>
    <w:rsid w:val="000A2464"/>
    <w:rsid w:val="000A2784"/>
    <w:rsid w:val="000A2D35"/>
    <w:rsid w:val="000A2D8F"/>
    <w:rsid w:val="000A3F18"/>
    <w:rsid w:val="000A435B"/>
    <w:rsid w:val="000A5798"/>
    <w:rsid w:val="000A5F7E"/>
    <w:rsid w:val="000A652B"/>
    <w:rsid w:val="000A7964"/>
    <w:rsid w:val="000B0344"/>
    <w:rsid w:val="000B06DF"/>
    <w:rsid w:val="000B06E1"/>
    <w:rsid w:val="000B08ED"/>
    <w:rsid w:val="000B09FF"/>
    <w:rsid w:val="000B0BFC"/>
    <w:rsid w:val="000B0C31"/>
    <w:rsid w:val="000B1991"/>
    <w:rsid w:val="000B250C"/>
    <w:rsid w:val="000B2B89"/>
    <w:rsid w:val="000B2D5A"/>
    <w:rsid w:val="000B33DD"/>
    <w:rsid w:val="000B3E02"/>
    <w:rsid w:val="000B3E4E"/>
    <w:rsid w:val="000B41E7"/>
    <w:rsid w:val="000B4AA5"/>
    <w:rsid w:val="000B5EAC"/>
    <w:rsid w:val="000B73F6"/>
    <w:rsid w:val="000C00FE"/>
    <w:rsid w:val="000C0192"/>
    <w:rsid w:val="000C0BCE"/>
    <w:rsid w:val="000C0E3D"/>
    <w:rsid w:val="000C126A"/>
    <w:rsid w:val="000C12E9"/>
    <w:rsid w:val="000C14E3"/>
    <w:rsid w:val="000C1509"/>
    <w:rsid w:val="000C1843"/>
    <w:rsid w:val="000C2667"/>
    <w:rsid w:val="000C2734"/>
    <w:rsid w:val="000C2CFF"/>
    <w:rsid w:val="000C310B"/>
    <w:rsid w:val="000C33EB"/>
    <w:rsid w:val="000C3777"/>
    <w:rsid w:val="000C38F1"/>
    <w:rsid w:val="000C42CE"/>
    <w:rsid w:val="000C432C"/>
    <w:rsid w:val="000C45E3"/>
    <w:rsid w:val="000C4758"/>
    <w:rsid w:val="000C5627"/>
    <w:rsid w:val="000C6603"/>
    <w:rsid w:val="000C686E"/>
    <w:rsid w:val="000C6C4A"/>
    <w:rsid w:val="000C6FA1"/>
    <w:rsid w:val="000C7AE1"/>
    <w:rsid w:val="000D0CDA"/>
    <w:rsid w:val="000D147C"/>
    <w:rsid w:val="000D1499"/>
    <w:rsid w:val="000D1E84"/>
    <w:rsid w:val="000D243F"/>
    <w:rsid w:val="000D2FCB"/>
    <w:rsid w:val="000D328C"/>
    <w:rsid w:val="000D3D96"/>
    <w:rsid w:val="000D4CEA"/>
    <w:rsid w:val="000D512E"/>
    <w:rsid w:val="000D61D9"/>
    <w:rsid w:val="000D63EA"/>
    <w:rsid w:val="000D6441"/>
    <w:rsid w:val="000D6DDE"/>
    <w:rsid w:val="000D7034"/>
    <w:rsid w:val="000D7C6E"/>
    <w:rsid w:val="000E1C60"/>
    <w:rsid w:val="000E2DE6"/>
    <w:rsid w:val="000E31C5"/>
    <w:rsid w:val="000E3C82"/>
    <w:rsid w:val="000E3FA4"/>
    <w:rsid w:val="000E4093"/>
    <w:rsid w:val="000E40A4"/>
    <w:rsid w:val="000E4207"/>
    <w:rsid w:val="000E4579"/>
    <w:rsid w:val="000E493C"/>
    <w:rsid w:val="000E5A21"/>
    <w:rsid w:val="000E5C20"/>
    <w:rsid w:val="000E6172"/>
    <w:rsid w:val="000E6C35"/>
    <w:rsid w:val="000E6EBF"/>
    <w:rsid w:val="000F23F9"/>
    <w:rsid w:val="000F3395"/>
    <w:rsid w:val="000F3397"/>
    <w:rsid w:val="000F35C3"/>
    <w:rsid w:val="000F36C0"/>
    <w:rsid w:val="000F3BFA"/>
    <w:rsid w:val="000F3EB0"/>
    <w:rsid w:val="000F3F08"/>
    <w:rsid w:val="000F4018"/>
    <w:rsid w:val="000F4F28"/>
    <w:rsid w:val="000F4FB9"/>
    <w:rsid w:val="000F50DB"/>
    <w:rsid w:val="000F63DB"/>
    <w:rsid w:val="000F6EEA"/>
    <w:rsid w:val="000F73FC"/>
    <w:rsid w:val="000F768A"/>
    <w:rsid w:val="00100A4D"/>
    <w:rsid w:val="00100A9A"/>
    <w:rsid w:val="00100AD8"/>
    <w:rsid w:val="00100E87"/>
    <w:rsid w:val="00101B38"/>
    <w:rsid w:val="00101DAB"/>
    <w:rsid w:val="0010219F"/>
    <w:rsid w:val="00102504"/>
    <w:rsid w:val="0010299A"/>
    <w:rsid w:val="00102B9E"/>
    <w:rsid w:val="001033C3"/>
    <w:rsid w:val="00103B61"/>
    <w:rsid w:val="001047C8"/>
    <w:rsid w:val="00106E7C"/>
    <w:rsid w:val="00107916"/>
    <w:rsid w:val="00107E2D"/>
    <w:rsid w:val="0011005B"/>
    <w:rsid w:val="001115F5"/>
    <w:rsid w:val="001115FD"/>
    <w:rsid w:val="00111FB6"/>
    <w:rsid w:val="00112743"/>
    <w:rsid w:val="00112BCB"/>
    <w:rsid w:val="00113571"/>
    <w:rsid w:val="001135B1"/>
    <w:rsid w:val="00113A98"/>
    <w:rsid w:val="00113BD3"/>
    <w:rsid w:val="00113DA6"/>
    <w:rsid w:val="00113EF0"/>
    <w:rsid w:val="00116AFA"/>
    <w:rsid w:val="0011755A"/>
    <w:rsid w:val="00117D36"/>
    <w:rsid w:val="00117DD2"/>
    <w:rsid w:val="00117E1A"/>
    <w:rsid w:val="00120D6C"/>
    <w:rsid w:val="00122D56"/>
    <w:rsid w:val="001230C2"/>
    <w:rsid w:val="001230C8"/>
    <w:rsid w:val="001235D5"/>
    <w:rsid w:val="0012383C"/>
    <w:rsid w:val="00123D47"/>
    <w:rsid w:val="001241FF"/>
    <w:rsid w:val="0012438A"/>
    <w:rsid w:val="00125A2E"/>
    <w:rsid w:val="00126849"/>
    <w:rsid w:val="001268DB"/>
    <w:rsid w:val="00127FCB"/>
    <w:rsid w:val="0013021F"/>
    <w:rsid w:val="00131185"/>
    <w:rsid w:val="00131ED6"/>
    <w:rsid w:val="0013227F"/>
    <w:rsid w:val="00132364"/>
    <w:rsid w:val="0013283B"/>
    <w:rsid w:val="00133056"/>
    <w:rsid w:val="00133AFA"/>
    <w:rsid w:val="00133E9C"/>
    <w:rsid w:val="00133FD8"/>
    <w:rsid w:val="0013409A"/>
    <w:rsid w:val="0013488A"/>
    <w:rsid w:val="00134FCE"/>
    <w:rsid w:val="001351E9"/>
    <w:rsid w:val="00135651"/>
    <w:rsid w:val="00136079"/>
    <w:rsid w:val="00136DCC"/>
    <w:rsid w:val="00137482"/>
    <w:rsid w:val="00140B4B"/>
    <w:rsid w:val="00141004"/>
    <w:rsid w:val="00141E45"/>
    <w:rsid w:val="00142593"/>
    <w:rsid w:val="001431D1"/>
    <w:rsid w:val="00144DBC"/>
    <w:rsid w:val="00145E17"/>
    <w:rsid w:val="00146494"/>
    <w:rsid w:val="00146F2C"/>
    <w:rsid w:val="00147437"/>
    <w:rsid w:val="00147968"/>
    <w:rsid w:val="00147D53"/>
    <w:rsid w:val="00147D8F"/>
    <w:rsid w:val="00151C78"/>
    <w:rsid w:val="00151F6B"/>
    <w:rsid w:val="001523AF"/>
    <w:rsid w:val="0015240B"/>
    <w:rsid w:val="001527F0"/>
    <w:rsid w:val="00152CA9"/>
    <w:rsid w:val="001532DE"/>
    <w:rsid w:val="00153C69"/>
    <w:rsid w:val="00155063"/>
    <w:rsid w:val="00160469"/>
    <w:rsid w:val="00160968"/>
    <w:rsid w:val="00160C6D"/>
    <w:rsid w:val="001628A9"/>
    <w:rsid w:val="00162EF3"/>
    <w:rsid w:val="00163AD6"/>
    <w:rsid w:val="00163C37"/>
    <w:rsid w:val="00163C74"/>
    <w:rsid w:val="00164EB2"/>
    <w:rsid w:val="00165DBD"/>
    <w:rsid w:val="00165DD5"/>
    <w:rsid w:val="001671A8"/>
    <w:rsid w:val="001708E4"/>
    <w:rsid w:val="0017096A"/>
    <w:rsid w:val="00170EEC"/>
    <w:rsid w:val="00171A17"/>
    <w:rsid w:val="00171B6D"/>
    <w:rsid w:val="00171F94"/>
    <w:rsid w:val="001721F1"/>
    <w:rsid w:val="0017246E"/>
    <w:rsid w:val="00172626"/>
    <w:rsid w:val="00172FA4"/>
    <w:rsid w:val="00173780"/>
    <w:rsid w:val="001737B5"/>
    <w:rsid w:val="001745D2"/>
    <w:rsid w:val="00174D3D"/>
    <w:rsid w:val="00175288"/>
    <w:rsid w:val="001758EF"/>
    <w:rsid w:val="001764D1"/>
    <w:rsid w:val="00177B69"/>
    <w:rsid w:val="00177F94"/>
    <w:rsid w:val="00177FA8"/>
    <w:rsid w:val="001804D4"/>
    <w:rsid w:val="00180BAA"/>
    <w:rsid w:val="00180D13"/>
    <w:rsid w:val="00181030"/>
    <w:rsid w:val="0018170A"/>
    <w:rsid w:val="0018194C"/>
    <w:rsid w:val="00182083"/>
    <w:rsid w:val="0018229D"/>
    <w:rsid w:val="00182B1D"/>
    <w:rsid w:val="00182BC0"/>
    <w:rsid w:val="00183422"/>
    <w:rsid w:val="00183DAA"/>
    <w:rsid w:val="00184021"/>
    <w:rsid w:val="001844D6"/>
    <w:rsid w:val="001844EE"/>
    <w:rsid w:val="0018469D"/>
    <w:rsid w:val="001865DE"/>
    <w:rsid w:val="001872CE"/>
    <w:rsid w:val="00190573"/>
    <w:rsid w:val="00190E4B"/>
    <w:rsid w:val="00190F12"/>
    <w:rsid w:val="0019214E"/>
    <w:rsid w:val="001921B5"/>
    <w:rsid w:val="0019238E"/>
    <w:rsid w:val="00192B37"/>
    <w:rsid w:val="0019359D"/>
    <w:rsid w:val="00193743"/>
    <w:rsid w:val="00193A04"/>
    <w:rsid w:val="00193A2A"/>
    <w:rsid w:val="00194428"/>
    <w:rsid w:val="00194705"/>
    <w:rsid w:val="00194C51"/>
    <w:rsid w:val="00194C78"/>
    <w:rsid w:val="001952E0"/>
    <w:rsid w:val="00195723"/>
    <w:rsid w:val="0019573B"/>
    <w:rsid w:val="00195B3E"/>
    <w:rsid w:val="00195F25"/>
    <w:rsid w:val="00196350"/>
    <w:rsid w:val="0019799C"/>
    <w:rsid w:val="00197C9C"/>
    <w:rsid w:val="001A0A9E"/>
    <w:rsid w:val="001A0BCA"/>
    <w:rsid w:val="001A1B78"/>
    <w:rsid w:val="001A1CC6"/>
    <w:rsid w:val="001A2973"/>
    <w:rsid w:val="001A2FCD"/>
    <w:rsid w:val="001A347C"/>
    <w:rsid w:val="001A3A03"/>
    <w:rsid w:val="001A4402"/>
    <w:rsid w:val="001A445B"/>
    <w:rsid w:val="001A4B0E"/>
    <w:rsid w:val="001A6066"/>
    <w:rsid w:val="001A662F"/>
    <w:rsid w:val="001A72AC"/>
    <w:rsid w:val="001A7991"/>
    <w:rsid w:val="001A7B5E"/>
    <w:rsid w:val="001B034F"/>
    <w:rsid w:val="001B09A5"/>
    <w:rsid w:val="001B09B2"/>
    <w:rsid w:val="001B2710"/>
    <w:rsid w:val="001B2F0A"/>
    <w:rsid w:val="001B3231"/>
    <w:rsid w:val="001B351E"/>
    <w:rsid w:val="001B3A40"/>
    <w:rsid w:val="001B4BBC"/>
    <w:rsid w:val="001B4E43"/>
    <w:rsid w:val="001B4FDC"/>
    <w:rsid w:val="001B504C"/>
    <w:rsid w:val="001B59F6"/>
    <w:rsid w:val="001B5AD3"/>
    <w:rsid w:val="001B5E86"/>
    <w:rsid w:val="001B600A"/>
    <w:rsid w:val="001B66F1"/>
    <w:rsid w:val="001B6DC0"/>
    <w:rsid w:val="001B7BCA"/>
    <w:rsid w:val="001B7C6B"/>
    <w:rsid w:val="001C126C"/>
    <w:rsid w:val="001C129D"/>
    <w:rsid w:val="001C172E"/>
    <w:rsid w:val="001C2172"/>
    <w:rsid w:val="001C42B5"/>
    <w:rsid w:val="001C520B"/>
    <w:rsid w:val="001C5E12"/>
    <w:rsid w:val="001C66EB"/>
    <w:rsid w:val="001C6AC1"/>
    <w:rsid w:val="001C6E01"/>
    <w:rsid w:val="001D03DC"/>
    <w:rsid w:val="001D07B1"/>
    <w:rsid w:val="001D10C4"/>
    <w:rsid w:val="001D2147"/>
    <w:rsid w:val="001D295F"/>
    <w:rsid w:val="001D2C5B"/>
    <w:rsid w:val="001D4BCB"/>
    <w:rsid w:val="001D4DFF"/>
    <w:rsid w:val="001D518B"/>
    <w:rsid w:val="001D55AF"/>
    <w:rsid w:val="001D59D0"/>
    <w:rsid w:val="001D5D14"/>
    <w:rsid w:val="001D7A7E"/>
    <w:rsid w:val="001D7B99"/>
    <w:rsid w:val="001E0830"/>
    <w:rsid w:val="001E1C21"/>
    <w:rsid w:val="001E256C"/>
    <w:rsid w:val="001E2D9D"/>
    <w:rsid w:val="001E3859"/>
    <w:rsid w:val="001E38A7"/>
    <w:rsid w:val="001E39B8"/>
    <w:rsid w:val="001E3EAD"/>
    <w:rsid w:val="001E3ED9"/>
    <w:rsid w:val="001E4E9C"/>
    <w:rsid w:val="001E552A"/>
    <w:rsid w:val="001E64E7"/>
    <w:rsid w:val="001E7531"/>
    <w:rsid w:val="001E7E24"/>
    <w:rsid w:val="001F0DAE"/>
    <w:rsid w:val="001F19C4"/>
    <w:rsid w:val="001F1D1D"/>
    <w:rsid w:val="001F2213"/>
    <w:rsid w:val="001F24B3"/>
    <w:rsid w:val="001F3123"/>
    <w:rsid w:val="001F3B17"/>
    <w:rsid w:val="001F3D71"/>
    <w:rsid w:val="001F41BF"/>
    <w:rsid w:val="001F6461"/>
    <w:rsid w:val="001F6FEC"/>
    <w:rsid w:val="002000BA"/>
    <w:rsid w:val="002002E3"/>
    <w:rsid w:val="0020116C"/>
    <w:rsid w:val="00201203"/>
    <w:rsid w:val="00201638"/>
    <w:rsid w:val="002018D8"/>
    <w:rsid w:val="002022D5"/>
    <w:rsid w:val="002032F2"/>
    <w:rsid w:val="00204018"/>
    <w:rsid w:val="0020482C"/>
    <w:rsid w:val="00204B72"/>
    <w:rsid w:val="00205164"/>
    <w:rsid w:val="00205177"/>
    <w:rsid w:val="0020518E"/>
    <w:rsid w:val="002058A9"/>
    <w:rsid w:val="00205D09"/>
    <w:rsid w:val="002068EC"/>
    <w:rsid w:val="00206D79"/>
    <w:rsid w:val="0020725C"/>
    <w:rsid w:val="00210576"/>
    <w:rsid w:val="00211B92"/>
    <w:rsid w:val="00211DAE"/>
    <w:rsid w:val="00211FA9"/>
    <w:rsid w:val="00211FFB"/>
    <w:rsid w:val="00212647"/>
    <w:rsid w:val="0021309C"/>
    <w:rsid w:val="002132FA"/>
    <w:rsid w:val="00213570"/>
    <w:rsid w:val="00213722"/>
    <w:rsid w:val="002141E7"/>
    <w:rsid w:val="0021503A"/>
    <w:rsid w:val="0021590E"/>
    <w:rsid w:val="0021596E"/>
    <w:rsid w:val="00215A20"/>
    <w:rsid w:val="00215A37"/>
    <w:rsid w:val="002160AF"/>
    <w:rsid w:val="00216482"/>
    <w:rsid w:val="00216872"/>
    <w:rsid w:val="0021690B"/>
    <w:rsid w:val="00217019"/>
    <w:rsid w:val="002200B5"/>
    <w:rsid w:val="002206FF"/>
    <w:rsid w:val="00220D56"/>
    <w:rsid w:val="00221095"/>
    <w:rsid w:val="00222738"/>
    <w:rsid w:val="00223D6D"/>
    <w:rsid w:val="00224214"/>
    <w:rsid w:val="0022452E"/>
    <w:rsid w:val="002249D5"/>
    <w:rsid w:val="00224AC3"/>
    <w:rsid w:val="00224D05"/>
    <w:rsid w:val="0022510B"/>
    <w:rsid w:val="00225280"/>
    <w:rsid w:val="00225356"/>
    <w:rsid w:val="002255B4"/>
    <w:rsid w:val="0022564F"/>
    <w:rsid w:val="002257C7"/>
    <w:rsid w:val="00225D22"/>
    <w:rsid w:val="002261C6"/>
    <w:rsid w:val="002268CF"/>
    <w:rsid w:val="00226FE4"/>
    <w:rsid w:val="002279F8"/>
    <w:rsid w:val="00227C64"/>
    <w:rsid w:val="00230FFB"/>
    <w:rsid w:val="0023239E"/>
    <w:rsid w:val="002326A9"/>
    <w:rsid w:val="00232D84"/>
    <w:rsid w:val="0023431A"/>
    <w:rsid w:val="002345C7"/>
    <w:rsid w:val="0023460A"/>
    <w:rsid w:val="00235071"/>
    <w:rsid w:val="00235EF6"/>
    <w:rsid w:val="0023658E"/>
    <w:rsid w:val="00236D5B"/>
    <w:rsid w:val="00237090"/>
    <w:rsid w:val="00237103"/>
    <w:rsid w:val="00237C7F"/>
    <w:rsid w:val="0024027A"/>
    <w:rsid w:val="002404F3"/>
    <w:rsid w:val="00241A48"/>
    <w:rsid w:val="00241BDB"/>
    <w:rsid w:val="00241CE2"/>
    <w:rsid w:val="002426AB"/>
    <w:rsid w:val="00242EA6"/>
    <w:rsid w:val="00243B51"/>
    <w:rsid w:val="00243D68"/>
    <w:rsid w:val="00243DFF"/>
    <w:rsid w:val="00243FEE"/>
    <w:rsid w:val="00244507"/>
    <w:rsid w:val="00244C2A"/>
    <w:rsid w:val="00244C94"/>
    <w:rsid w:val="002452EA"/>
    <w:rsid w:val="0024599F"/>
    <w:rsid w:val="002476B2"/>
    <w:rsid w:val="00247AE5"/>
    <w:rsid w:val="00250570"/>
    <w:rsid w:val="00250EDD"/>
    <w:rsid w:val="00251012"/>
    <w:rsid w:val="0025145D"/>
    <w:rsid w:val="00251A17"/>
    <w:rsid w:val="00252754"/>
    <w:rsid w:val="00252D5B"/>
    <w:rsid w:val="00253CB0"/>
    <w:rsid w:val="00253F0E"/>
    <w:rsid w:val="00254615"/>
    <w:rsid w:val="002558A9"/>
    <w:rsid w:val="002574F0"/>
    <w:rsid w:val="00257562"/>
    <w:rsid w:val="00257844"/>
    <w:rsid w:val="0025790A"/>
    <w:rsid w:val="0026087E"/>
    <w:rsid w:val="00260BCB"/>
    <w:rsid w:val="00261B5D"/>
    <w:rsid w:val="0026203A"/>
    <w:rsid w:val="00263547"/>
    <w:rsid w:val="002639B3"/>
    <w:rsid w:val="002649E6"/>
    <w:rsid w:val="00264CC8"/>
    <w:rsid w:val="00264E65"/>
    <w:rsid w:val="00265101"/>
    <w:rsid w:val="002679DE"/>
    <w:rsid w:val="00271060"/>
    <w:rsid w:val="00271F0A"/>
    <w:rsid w:val="0027259C"/>
    <w:rsid w:val="00272B21"/>
    <w:rsid w:val="00273093"/>
    <w:rsid w:val="00273505"/>
    <w:rsid w:val="0027367D"/>
    <w:rsid w:val="00273710"/>
    <w:rsid w:val="002738C0"/>
    <w:rsid w:val="00273F59"/>
    <w:rsid w:val="00274312"/>
    <w:rsid w:val="00274BF4"/>
    <w:rsid w:val="0027518D"/>
    <w:rsid w:val="00275332"/>
    <w:rsid w:val="002754CD"/>
    <w:rsid w:val="00275C5D"/>
    <w:rsid w:val="00275D8C"/>
    <w:rsid w:val="0027604F"/>
    <w:rsid w:val="00276332"/>
    <w:rsid w:val="00277234"/>
    <w:rsid w:val="002777E6"/>
    <w:rsid w:val="00280446"/>
    <w:rsid w:val="00280CA0"/>
    <w:rsid w:val="002818F8"/>
    <w:rsid w:val="00283778"/>
    <w:rsid w:val="00283E34"/>
    <w:rsid w:val="0028537A"/>
    <w:rsid w:val="002853CE"/>
    <w:rsid w:val="0028594E"/>
    <w:rsid w:val="002861F5"/>
    <w:rsid w:val="0028629A"/>
    <w:rsid w:val="002865CD"/>
    <w:rsid w:val="002865FF"/>
    <w:rsid w:val="002878B5"/>
    <w:rsid w:val="002922D7"/>
    <w:rsid w:val="0029236C"/>
    <w:rsid w:val="0029252E"/>
    <w:rsid w:val="002926A7"/>
    <w:rsid w:val="00293EBC"/>
    <w:rsid w:val="00294015"/>
    <w:rsid w:val="0029434F"/>
    <w:rsid w:val="00294D71"/>
    <w:rsid w:val="002950C6"/>
    <w:rsid w:val="0029550E"/>
    <w:rsid w:val="0029568E"/>
    <w:rsid w:val="00295832"/>
    <w:rsid w:val="0029639C"/>
    <w:rsid w:val="002963A2"/>
    <w:rsid w:val="00297165"/>
    <w:rsid w:val="002978F2"/>
    <w:rsid w:val="00297B5F"/>
    <w:rsid w:val="002A0725"/>
    <w:rsid w:val="002A09FE"/>
    <w:rsid w:val="002A0D0D"/>
    <w:rsid w:val="002A113B"/>
    <w:rsid w:val="002A181B"/>
    <w:rsid w:val="002A2006"/>
    <w:rsid w:val="002A30EE"/>
    <w:rsid w:val="002A3942"/>
    <w:rsid w:val="002A39BD"/>
    <w:rsid w:val="002A56E3"/>
    <w:rsid w:val="002A707B"/>
    <w:rsid w:val="002A7227"/>
    <w:rsid w:val="002A72F9"/>
    <w:rsid w:val="002B14D6"/>
    <w:rsid w:val="002B1BDA"/>
    <w:rsid w:val="002B1DF2"/>
    <w:rsid w:val="002B2E2D"/>
    <w:rsid w:val="002B3FEE"/>
    <w:rsid w:val="002B4143"/>
    <w:rsid w:val="002B5BEC"/>
    <w:rsid w:val="002B6B9A"/>
    <w:rsid w:val="002B6BCA"/>
    <w:rsid w:val="002B728B"/>
    <w:rsid w:val="002B7E16"/>
    <w:rsid w:val="002B7F26"/>
    <w:rsid w:val="002C0690"/>
    <w:rsid w:val="002C149C"/>
    <w:rsid w:val="002C15CA"/>
    <w:rsid w:val="002C2643"/>
    <w:rsid w:val="002C4873"/>
    <w:rsid w:val="002C4CF9"/>
    <w:rsid w:val="002C4F72"/>
    <w:rsid w:val="002C4F8C"/>
    <w:rsid w:val="002C51F5"/>
    <w:rsid w:val="002C52D2"/>
    <w:rsid w:val="002C53FF"/>
    <w:rsid w:val="002C6486"/>
    <w:rsid w:val="002C7A05"/>
    <w:rsid w:val="002D03A4"/>
    <w:rsid w:val="002D05FB"/>
    <w:rsid w:val="002D0B0B"/>
    <w:rsid w:val="002D0CE6"/>
    <w:rsid w:val="002D0D90"/>
    <w:rsid w:val="002D128E"/>
    <w:rsid w:val="002D1523"/>
    <w:rsid w:val="002D192F"/>
    <w:rsid w:val="002D2089"/>
    <w:rsid w:val="002D20DB"/>
    <w:rsid w:val="002D20E0"/>
    <w:rsid w:val="002D22BE"/>
    <w:rsid w:val="002D3493"/>
    <w:rsid w:val="002D37BB"/>
    <w:rsid w:val="002D3BA1"/>
    <w:rsid w:val="002D4153"/>
    <w:rsid w:val="002D485B"/>
    <w:rsid w:val="002D4B83"/>
    <w:rsid w:val="002D4D92"/>
    <w:rsid w:val="002D4F2C"/>
    <w:rsid w:val="002D51BA"/>
    <w:rsid w:val="002D5E3C"/>
    <w:rsid w:val="002D608E"/>
    <w:rsid w:val="002D63B9"/>
    <w:rsid w:val="002D6C7D"/>
    <w:rsid w:val="002D6CEC"/>
    <w:rsid w:val="002D6D8F"/>
    <w:rsid w:val="002D70C9"/>
    <w:rsid w:val="002D7A0A"/>
    <w:rsid w:val="002E0AC4"/>
    <w:rsid w:val="002E0BBB"/>
    <w:rsid w:val="002E0C76"/>
    <w:rsid w:val="002E11E7"/>
    <w:rsid w:val="002E2A06"/>
    <w:rsid w:val="002E2EAA"/>
    <w:rsid w:val="002E2F86"/>
    <w:rsid w:val="002E355B"/>
    <w:rsid w:val="002E3B13"/>
    <w:rsid w:val="002E3F52"/>
    <w:rsid w:val="002E4839"/>
    <w:rsid w:val="002E4FD0"/>
    <w:rsid w:val="002E54CC"/>
    <w:rsid w:val="002E5B62"/>
    <w:rsid w:val="002E6062"/>
    <w:rsid w:val="002E6A4E"/>
    <w:rsid w:val="002E79E7"/>
    <w:rsid w:val="002F12A8"/>
    <w:rsid w:val="002F23EC"/>
    <w:rsid w:val="002F31D3"/>
    <w:rsid w:val="002F365B"/>
    <w:rsid w:val="002F3736"/>
    <w:rsid w:val="002F39A0"/>
    <w:rsid w:val="002F3E3B"/>
    <w:rsid w:val="002F4D65"/>
    <w:rsid w:val="002F4E19"/>
    <w:rsid w:val="002F5162"/>
    <w:rsid w:val="002F52CD"/>
    <w:rsid w:val="002F5657"/>
    <w:rsid w:val="002F56A7"/>
    <w:rsid w:val="002F57B9"/>
    <w:rsid w:val="002F5B05"/>
    <w:rsid w:val="002F5FCF"/>
    <w:rsid w:val="002F60FE"/>
    <w:rsid w:val="002F6C73"/>
    <w:rsid w:val="002F6EFE"/>
    <w:rsid w:val="0030016F"/>
    <w:rsid w:val="0030032D"/>
    <w:rsid w:val="0030096A"/>
    <w:rsid w:val="00300AEB"/>
    <w:rsid w:val="00301324"/>
    <w:rsid w:val="003013CC"/>
    <w:rsid w:val="0030283C"/>
    <w:rsid w:val="00303083"/>
    <w:rsid w:val="00303D95"/>
    <w:rsid w:val="003040B8"/>
    <w:rsid w:val="003042B9"/>
    <w:rsid w:val="003050B3"/>
    <w:rsid w:val="003050F8"/>
    <w:rsid w:val="00305B09"/>
    <w:rsid w:val="0030631C"/>
    <w:rsid w:val="00306BFA"/>
    <w:rsid w:val="0030759A"/>
    <w:rsid w:val="00307F17"/>
    <w:rsid w:val="00310003"/>
    <w:rsid w:val="00310363"/>
    <w:rsid w:val="0031046E"/>
    <w:rsid w:val="00311505"/>
    <w:rsid w:val="00311921"/>
    <w:rsid w:val="0031251F"/>
    <w:rsid w:val="0031295E"/>
    <w:rsid w:val="00312F10"/>
    <w:rsid w:val="0031350D"/>
    <w:rsid w:val="003140C0"/>
    <w:rsid w:val="003141C5"/>
    <w:rsid w:val="003141E9"/>
    <w:rsid w:val="003146A1"/>
    <w:rsid w:val="00315453"/>
    <w:rsid w:val="0031565D"/>
    <w:rsid w:val="00316056"/>
    <w:rsid w:val="0031651F"/>
    <w:rsid w:val="00316FEE"/>
    <w:rsid w:val="003174F0"/>
    <w:rsid w:val="003174FE"/>
    <w:rsid w:val="00320089"/>
    <w:rsid w:val="00320465"/>
    <w:rsid w:val="00322367"/>
    <w:rsid w:val="00323C0C"/>
    <w:rsid w:val="00323D8E"/>
    <w:rsid w:val="0032423F"/>
    <w:rsid w:val="00324499"/>
    <w:rsid w:val="00324926"/>
    <w:rsid w:val="00325437"/>
    <w:rsid w:val="00326233"/>
    <w:rsid w:val="00326AE0"/>
    <w:rsid w:val="00327831"/>
    <w:rsid w:val="00327C3E"/>
    <w:rsid w:val="00330C80"/>
    <w:rsid w:val="00330ECA"/>
    <w:rsid w:val="003314B3"/>
    <w:rsid w:val="00331B7E"/>
    <w:rsid w:val="00331C2B"/>
    <w:rsid w:val="00331EAA"/>
    <w:rsid w:val="003327AE"/>
    <w:rsid w:val="00332E3E"/>
    <w:rsid w:val="00333A1E"/>
    <w:rsid w:val="00333BE7"/>
    <w:rsid w:val="00333D3D"/>
    <w:rsid w:val="00334314"/>
    <w:rsid w:val="00334E5C"/>
    <w:rsid w:val="003351E5"/>
    <w:rsid w:val="0033543A"/>
    <w:rsid w:val="00336789"/>
    <w:rsid w:val="003373C7"/>
    <w:rsid w:val="0033744C"/>
    <w:rsid w:val="00337B09"/>
    <w:rsid w:val="00337CFB"/>
    <w:rsid w:val="00340A5A"/>
    <w:rsid w:val="00341718"/>
    <w:rsid w:val="00341C08"/>
    <w:rsid w:val="00341F88"/>
    <w:rsid w:val="00342125"/>
    <w:rsid w:val="003423AC"/>
    <w:rsid w:val="0034310D"/>
    <w:rsid w:val="00344111"/>
    <w:rsid w:val="00345641"/>
    <w:rsid w:val="00345AD7"/>
    <w:rsid w:val="003460A3"/>
    <w:rsid w:val="0034767A"/>
    <w:rsid w:val="003504A2"/>
    <w:rsid w:val="00351315"/>
    <w:rsid w:val="00351483"/>
    <w:rsid w:val="00351701"/>
    <w:rsid w:val="00351BDC"/>
    <w:rsid w:val="00351D40"/>
    <w:rsid w:val="00351E9D"/>
    <w:rsid w:val="003529A4"/>
    <w:rsid w:val="00353294"/>
    <w:rsid w:val="00353849"/>
    <w:rsid w:val="00354284"/>
    <w:rsid w:val="00354650"/>
    <w:rsid w:val="003553C5"/>
    <w:rsid w:val="003566B9"/>
    <w:rsid w:val="003566F7"/>
    <w:rsid w:val="003567E2"/>
    <w:rsid w:val="003609F0"/>
    <w:rsid w:val="00360E5D"/>
    <w:rsid w:val="0036129E"/>
    <w:rsid w:val="00361B25"/>
    <w:rsid w:val="00361CD5"/>
    <w:rsid w:val="00361EDD"/>
    <w:rsid w:val="00363563"/>
    <w:rsid w:val="003637F7"/>
    <w:rsid w:val="00364DE3"/>
    <w:rsid w:val="0036541E"/>
    <w:rsid w:val="00365C6E"/>
    <w:rsid w:val="00365D3B"/>
    <w:rsid w:val="00366772"/>
    <w:rsid w:val="00366900"/>
    <w:rsid w:val="00366FFC"/>
    <w:rsid w:val="0036753C"/>
    <w:rsid w:val="0037005E"/>
    <w:rsid w:val="00371E8C"/>
    <w:rsid w:val="00372355"/>
    <w:rsid w:val="003726DF"/>
    <w:rsid w:val="003732A6"/>
    <w:rsid w:val="00373448"/>
    <w:rsid w:val="00373E71"/>
    <w:rsid w:val="003750C4"/>
    <w:rsid w:val="003752B2"/>
    <w:rsid w:val="00375377"/>
    <w:rsid w:val="0037581C"/>
    <w:rsid w:val="00375A90"/>
    <w:rsid w:val="00375BA6"/>
    <w:rsid w:val="00375CB5"/>
    <w:rsid w:val="00377059"/>
    <w:rsid w:val="00380443"/>
    <w:rsid w:val="00380513"/>
    <w:rsid w:val="00380D95"/>
    <w:rsid w:val="00380EB5"/>
    <w:rsid w:val="0038116F"/>
    <w:rsid w:val="0038122B"/>
    <w:rsid w:val="003813B1"/>
    <w:rsid w:val="003822A3"/>
    <w:rsid w:val="0038253F"/>
    <w:rsid w:val="00382888"/>
    <w:rsid w:val="00382B26"/>
    <w:rsid w:val="00382E4F"/>
    <w:rsid w:val="00383B87"/>
    <w:rsid w:val="003842D1"/>
    <w:rsid w:val="00384838"/>
    <w:rsid w:val="00384BF8"/>
    <w:rsid w:val="0038503C"/>
    <w:rsid w:val="00385523"/>
    <w:rsid w:val="003857C4"/>
    <w:rsid w:val="00386027"/>
    <w:rsid w:val="0038607E"/>
    <w:rsid w:val="00386700"/>
    <w:rsid w:val="00387084"/>
    <w:rsid w:val="00387862"/>
    <w:rsid w:val="003879F1"/>
    <w:rsid w:val="00387C3E"/>
    <w:rsid w:val="003903F1"/>
    <w:rsid w:val="00390694"/>
    <w:rsid w:val="0039131D"/>
    <w:rsid w:val="0039140C"/>
    <w:rsid w:val="0039164D"/>
    <w:rsid w:val="0039182A"/>
    <w:rsid w:val="0039215E"/>
    <w:rsid w:val="003928B2"/>
    <w:rsid w:val="003935AC"/>
    <w:rsid w:val="0039428B"/>
    <w:rsid w:val="00394445"/>
    <w:rsid w:val="003950D6"/>
    <w:rsid w:val="003950D8"/>
    <w:rsid w:val="0039532E"/>
    <w:rsid w:val="00395420"/>
    <w:rsid w:val="0039579C"/>
    <w:rsid w:val="003957AD"/>
    <w:rsid w:val="003959E8"/>
    <w:rsid w:val="00395F22"/>
    <w:rsid w:val="00396D08"/>
    <w:rsid w:val="00396DED"/>
    <w:rsid w:val="00397125"/>
    <w:rsid w:val="00397CF9"/>
    <w:rsid w:val="003A041C"/>
    <w:rsid w:val="003A09DE"/>
    <w:rsid w:val="003A20ED"/>
    <w:rsid w:val="003A2F77"/>
    <w:rsid w:val="003A3BD1"/>
    <w:rsid w:val="003A439D"/>
    <w:rsid w:val="003A4CD3"/>
    <w:rsid w:val="003A501C"/>
    <w:rsid w:val="003A5160"/>
    <w:rsid w:val="003A534D"/>
    <w:rsid w:val="003A5537"/>
    <w:rsid w:val="003A5637"/>
    <w:rsid w:val="003A5828"/>
    <w:rsid w:val="003A5B81"/>
    <w:rsid w:val="003A6332"/>
    <w:rsid w:val="003A6522"/>
    <w:rsid w:val="003A658D"/>
    <w:rsid w:val="003A6652"/>
    <w:rsid w:val="003A67BC"/>
    <w:rsid w:val="003A6FEB"/>
    <w:rsid w:val="003A704E"/>
    <w:rsid w:val="003A71AA"/>
    <w:rsid w:val="003B03AD"/>
    <w:rsid w:val="003B05D1"/>
    <w:rsid w:val="003B073E"/>
    <w:rsid w:val="003B11DA"/>
    <w:rsid w:val="003B1F81"/>
    <w:rsid w:val="003B35B6"/>
    <w:rsid w:val="003B3C5C"/>
    <w:rsid w:val="003B3E2B"/>
    <w:rsid w:val="003B3EC4"/>
    <w:rsid w:val="003B4637"/>
    <w:rsid w:val="003B4E68"/>
    <w:rsid w:val="003B5CC9"/>
    <w:rsid w:val="003B5CFD"/>
    <w:rsid w:val="003B60B4"/>
    <w:rsid w:val="003B62B0"/>
    <w:rsid w:val="003B6715"/>
    <w:rsid w:val="003B7276"/>
    <w:rsid w:val="003C00C7"/>
    <w:rsid w:val="003C016A"/>
    <w:rsid w:val="003C0791"/>
    <w:rsid w:val="003C0DA9"/>
    <w:rsid w:val="003C108C"/>
    <w:rsid w:val="003C1FD0"/>
    <w:rsid w:val="003C2A25"/>
    <w:rsid w:val="003C39E2"/>
    <w:rsid w:val="003C4808"/>
    <w:rsid w:val="003C4854"/>
    <w:rsid w:val="003C48EF"/>
    <w:rsid w:val="003C4D69"/>
    <w:rsid w:val="003C4F10"/>
    <w:rsid w:val="003C5524"/>
    <w:rsid w:val="003C63F7"/>
    <w:rsid w:val="003C640D"/>
    <w:rsid w:val="003C6BC2"/>
    <w:rsid w:val="003D062A"/>
    <w:rsid w:val="003D16EA"/>
    <w:rsid w:val="003D18EA"/>
    <w:rsid w:val="003D1E8D"/>
    <w:rsid w:val="003D1FB4"/>
    <w:rsid w:val="003D207A"/>
    <w:rsid w:val="003D21F3"/>
    <w:rsid w:val="003D22D2"/>
    <w:rsid w:val="003D2504"/>
    <w:rsid w:val="003D259A"/>
    <w:rsid w:val="003D2621"/>
    <w:rsid w:val="003D2F0F"/>
    <w:rsid w:val="003D31BF"/>
    <w:rsid w:val="003D3625"/>
    <w:rsid w:val="003D3F04"/>
    <w:rsid w:val="003D41B4"/>
    <w:rsid w:val="003D489D"/>
    <w:rsid w:val="003D4954"/>
    <w:rsid w:val="003D4D8D"/>
    <w:rsid w:val="003D4F31"/>
    <w:rsid w:val="003D5314"/>
    <w:rsid w:val="003D573B"/>
    <w:rsid w:val="003D7616"/>
    <w:rsid w:val="003D7918"/>
    <w:rsid w:val="003E00ED"/>
    <w:rsid w:val="003E031F"/>
    <w:rsid w:val="003E091E"/>
    <w:rsid w:val="003E09C5"/>
    <w:rsid w:val="003E0D9F"/>
    <w:rsid w:val="003E0E69"/>
    <w:rsid w:val="003E1468"/>
    <w:rsid w:val="003E178F"/>
    <w:rsid w:val="003E1A8D"/>
    <w:rsid w:val="003E1B41"/>
    <w:rsid w:val="003E241A"/>
    <w:rsid w:val="003E2FAB"/>
    <w:rsid w:val="003E33D8"/>
    <w:rsid w:val="003E37FA"/>
    <w:rsid w:val="003E3F06"/>
    <w:rsid w:val="003E41CC"/>
    <w:rsid w:val="003E43D4"/>
    <w:rsid w:val="003E4652"/>
    <w:rsid w:val="003E4905"/>
    <w:rsid w:val="003E50D0"/>
    <w:rsid w:val="003E5244"/>
    <w:rsid w:val="003E5383"/>
    <w:rsid w:val="003E5431"/>
    <w:rsid w:val="003E56E4"/>
    <w:rsid w:val="003E5A2B"/>
    <w:rsid w:val="003E63CF"/>
    <w:rsid w:val="003E65C8"/>
    <w:rsid w:val="003E6A17"/>
    <w:rsid w:val="003E6F98"/>
    <w:rsid w:val="003E736B"/>
    <w:rsid w:val="003F0193"/>
    <w:rsid w:val="003F01E7"/>
    <w:rsid w:val="003F0685"/>
    <w:rsid w:val="003F0987"/>
    <w:rsid w:val="003F0D4A"/>
    <w:rsid w:val="003F1BC1"/>
    <w:rsid w:val="003F2346"/>
    <w:rsid w:val="003F289D"/>
    <w:rsid w:val="003F2A1D"/>
    <w:rsid w:val="003F30CD"/>
    <w:rsid w:val="003F3112"/>
    <w:rsid w:val="003F3207"/>
    <w:rsid w:val="003F391C"/>
    <w:rsid w:val="003F431A"/>
    <w:rsid w:val="003F4414"/>
    <w:rsid w:val="003F4908"/>
    <w:rsid w:val="003F54F4"/>
    <w:rsid w:val="003F5508"/>
    <w:rsid w:val="003F5E2B"/>
    <w:rsid w:val="003F6529"/>
    <w:rsid w:val="003F6A8F"/>
    <w:rsid w:val="003F73D9"/>
    <w:rsid w:val="003F772D"/>
    <w:rsid w:val="00400777"/>
    <w:rsid w:val="004008A5"/>
    <w:rsid w:val="0040215B"/>
    <w:rsid w:val="004023DC"/>
    <w:rsid w:val="004027CE"/>
    <w:rsid w:val="00402953"/>
    <w:rsid w:val="00402A3C"/>
    <w:rsid w:val="00403606"/>
    <w:rsid w:val="004037A5"/>
    <w:rsid w:val="0040384D"/>
    <w:rsid w:val="00403850"/>
    <w:rsid w:val="00403CDE"/>
    <w:rsid w:val="00403DD9"/>
    <w:rsid w:val="00404592"/>
    <w:rsid w:val="00404F0D"/>
    <w:rsid w:val="004053D4"/>
    <w:rsid w:val="00405663"/>
    <w:rsid w:val="004058C0"/>
    <w:rsid w:val="00405D5F"/>
    <w:rsid w:val="0040700C"/>
    <w:rsid w:val="00410507"/>
    <w:rsid w:val="00410941"/>
    <w:rsid w:val="00411CB4"/>
    <w:rsid w:val="0041282C"/>
    <w:rsid w:val="00412CD7"/>
    <w:rsid w:val="00412E2E"/>
    <w:rsid w:val="00413A56"/>
    <w:rsid w:val="00413CEB"/>
    <w:rsid w:val="00413E53"/>
    <w:rsid w:val="0041468F"/>
    <w:rsid w:val="00414EBB"/>
    <w:rsid w:val="00416044"/>
    <w:rsid w:val="0041672D"/>
    <w:rsid w:val="0041720A"/>
    <w:rsid w:val="004173D8"/>
    <w:rsid w:val="00417BE0"/>
    <w:rsid w:val="00417C08"/>
    <w:rsid w:val="00417C80"/>
    <w:rsid w:val="00417E69"/>
    <w:rsid w:val="004201A6"/>
    <w:rsid w:val="00420694"/>
    <w:rsid w:val="00420BD1"/>
    <w:rsid w:val="004217BD"/>
    <w:rsid w:val="00421CA7"/>
    <w:rsid w:val="00421E6F"/>
    <w:rsid w:val="00422B3F"/>
    <w:rsid w:val="0042380F"/>
    <w:rsid w:val="004241A4"/>
    <w:rsid w:val="00424AC0"/>
    <w:rsid w:val="004251A6"/>
    <w:rsid w:val="00425593"/>
    <w:rsid w:val="00425F97"/>
    <w:rsid w:val="00427599"/>
    <w:rsid w:val="00427CDD"/>
    <w:rsid w:val="00427DBE"/>
    <w:rsid w:val="00430016"/>
    <w:rsid w:val="00430D23"/>
    <w:rsid w:val="0043230D"/>
    <w:rsid w:val="004325DF"/>
    <w:rsid w:val="00432B3E"/>
    <w:rsid w:val="00433C6F"/>
    <w:rsid w:val="00434A3E"/>
    <w:rsid w:val="00434BDC"/>
    <w:rsid w:val="00434BF5"/>
    <w:rsid w:val="00434C0D"/>
    <w:rsid w:val="00435E2C"/>
    <w:rsid w:val="004361BD"/>
    <w:rsid w:val="004362C9"/>
    <w:rsid w:val="00436545"/>
    <w:rsid w:val="004370FA"/>
    <w:rsid w:val="00437347"/>
    <w:rsid w:val="00440184"/>
    <w:rsid w:val="00440A42"/>
    <w:rsid w:val="0044187B"/>
    <w:rsid w:val="00442E49"/>
    <w:rsid w:val="00443A41"/>
    <w:rsid w:val="00444966"/>
    <w:rsid w:val="00444C3F"/>
    <w:rsid w:val="00445EE7"/>
    <w:rsid w:val="00446261"/>
    <w:rsid w:val="00446DA6"/>
    <w:rsid w:val="00447FB4"/>
    <w:rsid w:val="00450E25"/>
    <w:rsid w:val="004518E6"/>
    <w:rsid w:val="0045207F"/>
    <w:rsid w:val="00452D12"/>
    <w:rsid w:val="0045311C"/>
    <w:rsid w:val="004532C5"/>
    <w:rsid w:val="00453639"/>
    <w:rsid w:val="004555DD"/>
    <w:rsid w:val="00456006"/>
    <w:rsid w:val="00456F8D"/>
    <w:rsid w:val="004570AA"/>
    <w:rsid w:val="0045795B"/>
    <w:rsid w:val="00460949"/>
    <w:rsid w:val="00460F87"/>
    <w:rsid w:val="00462577"/>
    <w:rsid w:val="00462BC7"/>
    <w:rsid w:val="00462C20"/>
    <w:rsid w:val="004632CF"/>
    <w:rsid w:val="00463A92"/>
    <w:rsid w:val="00464E0E"/>
    <w:rsid w:val="0046574E"/>
    <w:rsid w:val="00465D30"/>
    <w:rsid w:val="00466438"/>
    <w:rsid w:val="00466461"/>
    <w:rsid w:val="00466EDB"/>
    <w:rsid w:val="004670B1"/>
    <w:rsid w:val="004673EF"/>
    <w:rsid w:val="00467B81"/>
    <w:rsid w:val="00467FC2"/>
    <w:rsid w:val="0047098F"/>
    <w:rsid w:val="00470A78"/>
    <w:rsid w:val="00470CEE"/>
    <w:rsid w:val="00471404"/>
    <w:rsid w:val="00471DCF"/>
    <w:rsid w:val="004720A3"/>
    <w:rsid w:val="0047333D"/>
    <w:rsid w:val="0047358F"/>
    <w:rsid w:val="00473FA2"/>
    <w:rsid w:val="004740F1"/>
    <w:rsid w:val="00474F2D"/>
    <w:rsid w:val="00475253"/>
    <w:rsid w:val="00475297"/>
    <w:rsid w:val="00476AEF"/>
    <w:rsid w:val="004772C7"/>
    <w:rsid w:val="004774FA"/>
    <w:rsid w:val="0047767E"/>
    <w:rsid w:val="00477E66"/>
    <w:rsid w:val="00480366"/>
    <w:rsid w:val="0048037A"/>
    <w:rsid w:val="004809F0"/>
    <w:rsid w:val="00481654"/>
    <w:rsid w:val="004829DA"/>
    <w:rsid w:val="00483D12"/>
    <w:rsid w:val="004856B6"/>
    <w:rsid w:val="00486350"/>
    <w:rsid w:val="004875D8"/>
    <w:rsid w:val="00487C9A"/>
    <w:rsid w:val="00487E77"/>
    <w:rsid w:val="00487F79"/>
    <w:rsid w:val="00490751"/>
    <w:rsid w:val="00490F81"/>
    <w:rsid w:val="004912B6"/>
    <w:rsid w:val="0049277A"/>
    <w:rsid w:val="00492D2A"/>
    <w:rsid w:val="00492FBB"/>
    <w:rsid w:val="00493020"/>
    <w:rsid w:val="00493283"/>
    <w:rsid w:val="004933D3"/>
    <w:rsid w:val="00493F76"/>
    <w:rsid w:val="00494163"/>
    <w:rsid w:val="00494808"/>
    <w:rsid w:val="00495330"/>
    <w:rsid w:val="004955C6"/>
    <w:rsid w:val="00495B11"/>
    <w:rsid w:val="00495E79"/>
    <w:rsid w:val="00495F56"/>
    <w:rsid w:val="0049617E"/>
    <w:rsid w:val="0049629A"/>
    <w:rsid w:val="00496350"/>
    <w:rsid w:val="00496B67"/>
    <w:rsid w:val="00496C43"/>
    <w:rsid w:val="004974F3"/>
    <w:rsid w:val="004975EC"/>
    <w:rsid w:val="004A15AE"/>
    <w:rsid w:val="004A160E"/>
    <w:rsid w:val="004A1B4D"/>
    <w:rsid w:val="004A338F"/>
    <w:rsid w:val="004A38F5"/>
    <w:rsid w:val="004A4424"/>
    <w:rsid w:val="004A4618"/>
    <w:rsid w:val="004A47AF"/>
    <w:rsid w:val="004A47E9"/>
    <w:rsid w:val="004A4849"/>
    <w:rsid w:val="004A5A57"/>
    <w:rsid w:val="004A6457"/>
    <w:rsid w:val="004A6699"/>
    <w:rsid w:val="004A6D53"/>
    <w:rsid w:val="004A6D8D"/>
    <w:rsid w:val="004A74A5"/>
    <w:rsid w:val="004A756E"/>
    <w:rsid w:val="004B0375"/>
    <w:rsid w:val="004B0AE3"/>
    <w:rsid w:val="004B15D2"/>
    <w:rsid w:val="004B194A"/>
    <w:rsid w:val="004B2F6D"/>
    <w:rsid w:val="004B346E"/>
    <w:rsid w:val="004B3758"/>
    <w:rsid w:val="004B4A4D"/>
    <w:rsid w:val="004B6B0E"/>
    <w:rsid w:val="004B6CD8"/>
    <w:rsid w:val="004B7C09"/>
    <w:rsid w:val="004C133C"/>
    <w:rsid w:val="004C1B5F"/>
    <w:rsid w:val="004C1D8C"/>
    <w:rsid w:val="004C1F5C"/>
    <w:rsid w:val="004C2224"/>
    <w:rsid w:val="004C2AB9"/>
    <w:rsid w:val="004C306D"/>
    <w:rsid w:val="004C4353"/>
    <w:rsid w:val="004C4BCB"/>
    <w:rsid w:val="004C5712"/>
    <w:rsid w:val="004C5851"/>
    <w:rsid w:val="004C694C"/>
    <w:rsid w:val="004C6A83"/>
    <w:rsid w:val="004C6D86"/>
    <w:rsid w:val="004C6F69"/>
    <w:rsid w:val="004C7A71"/>
    <w:rsid w:val="004C7AFC"/>
    <w:rsid w:val="004C7B68"/>
    <w:rsid w:val="004D0D99"/>
    <w:rsid w:val="004D2BF9"/>
    <w:rsid w:val="004D31D6"/>
    <w:rsid w:val="004D359C"/>
    <w:rsid w:val="004D374C"/>
    <w:rsid w:val="004D4787"/>
    <w:rsid w:val="004D53A4"/>
    <w:rsid w:val="004D6420"/>
    <w:rsid w:val="004D7DE9"/>
    <w:rsid w:val="004E01A9"/>
    <w:rsid w:val="004E0334"/>
    <w:rsid w:val="004E126C"/>
    <w:rsid w:val="004E13B1"/>
    <w:rsid w:val="004E1B9A"/>
    <w:rsid w:val="004E2826"/>
    <w:rsid w:val="004E2C7A"/>
    <w:rsid w:val="004E2FC1"/>
    <w:rsid w:val="004E344D"/>
    <w:rsid w:val="004E3516"/>
    <w:rsid w:val="004E3DD3"/>
    <w:rsid w:val="004E411F"/>
    <w:rsid w:val="004E468B"/>
    <w:rsid w:val="004E50ED"/>
    <w:rsid w:val="004E52E0"/>
    <w:rsid w:val="004E556F"/>
    <w:rsid w:val="004E5AC5"/>
    <w:rsid w:val="004E5FCC"/>
    <w:rsid w:val="004E716C"/>
    <w:rsid w:val="004E768D"/>
    <w:rsid w:val="004E7C9A"/>
    <w:rsid w:val="004F1510"/>
    <w:rsid w:val="004F1588"/>
    <w:rsid w:val="004F2EDF"/>
    <w:rsid w:val="004F3300"/>
    <w:rsid w:val="004F3307"/>
    <w:rsid w:val="004F3A3C"/>
    <w:rsid w:val="004F3E84"/>
    <w:rsid w:val="004F44E4"/>
    <w:rsid w:val="004F4C5B"/>
    <w:rsid w:val="004F50C8"/>
    <w:rsid w:val="004F51D6"/>
    <w:rsid w:val="004F553F"/>
    <w:rsid w:val="004F7369"/>
    <w:rsid w:val="004F7A39"/>
    <w:rsid w:val="004F7B40"/>
    <w:rsid w:val="005005D3"/>
    <w:rsid w:val="00500905"/>
    <w:rsid w:val="00500ADB"/>
    <w:rsid w:val="00500E6C"/>
    <w:rsid w:val="00501AC1"/>
    <w:rsid w:val="00504A02"/>
    <w:rsid w:val="00505394"/>
    <w:rsid w:val="00506F9B"/>
    <w:rsid w:val="005077A4"/>
    <w:rsid w:val="00507FD3"/>
    <w:rsid w:val="0051038A"/>
    <w:rsid w:val="005108D7"/>
    <w:rsid w:val="00510A27"/>
    <w:rsid w:val="005110A2"/>
    <w:rsid w:val="0051196F"/>
    <w:rsid w:val="0051237A"/>
    <w:rsid w:val="00512947"/>
    <w:rsid w:val="005145AC"/>
    <w:rsid w:val="00514BE5"/>
    <w:rsid w:val="005168C3"/>
    <w:rsid w:val="00516953"/>
    <w:rsid w:val="00517346"/>
    <w:rsid w:val="005178E9"/>
    <w:rsid w:val="005179F1"/>
    <w:rsid w:val="00520577"/>
    <w:rsid w:val="005223B0"/>
    <w:rsid w:val="005226FD"/>
    <w:rsid w:val="00523213"/>
    <w:rsid w:val="00523756"/>
    <w:rsid w:val="005238FD"/>
    <w:rsid w:val="005244BD"/>
    <w:rsid w:val="00524FC7"/>
    <w:rsid w:val="00525425"/>
    <w:rsid w:val="00525919"/>
    <w:rsid w:val="00525DA5"/>
    <w:rsid w:val="0052618C"/>
    <w:rsid w:val="005261A3"/>
    <w:rsid w:val="00526385"/>
    <w:rsid w:val="005265A3"/>
    <w:rsid w:val="00526830"/>
    <w:rsid w:val="0052691C"/>
    <w:rsid w:val="00526EF5"/>
    <w:rsid w:val="0052703B"/>
    <w:rsid w:val="005272F1"/>
    <w:rsid w:val="00527485"/>
    <w:rsid w:val="005302DF"/>
    <w:rsid w:val="005308AE"/>
    <w:rsid w:val="005327F1"/>
    <w:rsid w:val="00532978"/>
    <w:rsid w:val="00532B39"/>
    <w:rsid w:val="005334B8"/>
    <w:rsid w:val="0053463A"/>
    <w:rsid w:val="005358E9"/>
    <w:rsid w:val="00535CC5"/>
    <w:rsid w:val="00536402"/>
    <w:rsid w:val="005364C6"/>
    <w:rsid w:val="00537C80"/>
    <w:rsid w:val="00540000"/>
    <w:rsid w:val="005404BC"/>
    <w:rsid w:val="00540AE4"/>
    <w:rsid w:val="00540C9B"/>
    <w:rsid w:val="00540F47"/>
    <w:rsid w:val="00541579"/>
    <w:rsid w:val="0054166D"/>
    <w:rsid w:val="00542C22"/>
    <w:rsid w:val="0054356B"/>
    <w:rsid w:val="005436F9"/>
    <w:rsid w:val="00543700"/>
    <w:rsid w:val="00543C1A"/>
    <w:rsid w:val="0054400C"/>
    <w:rsid w:val="00544AE8"/>
    <w:rsid w:val="00544CD2"/>
    <w:rsid w:val="00544E83"/>
    <w:rsid w:val="0054599F"/>
    <w:rsid w:val="00545D87"/>
    <w:rsid w:val="00546417"/>
    <w:rsid w:val="005465EE"/>
    <w:rsid w:val="00546C6A"/>
    <w:rsid w:val="005471E1"/>
    <w:rsid w:val="00547546"/>
    <w:rsid w:val="00547587"/>
    <w:rsid w:val="00547CF6"/>
    <w:rsid w:val="005501B4"/>
    <w:rsid w:val="00550830"/>
    <w:rsid w:val="00550EE9"/>
    <w:rsid w:val="00550EEF"/>
    <w:rsid w:val="005517D5"/>
    <w:rsid w:val="005525F7"/>
    <w:rsid w:val="005527EC"/>
    <w:rsid w:val="0055322F"/>
    <w:rsid w:val="00553410"/>
    <w:rsid w:val="005537D6"/>
    <w:rsid w:val="00553F40"/>
    <w:rsid w:val="00554E55"/>
    <w:rsid w:val="00554F87"/>
    <w:rsid w:val="00555592"/>
    <w:rsid w:val="00555828"/>
    <w:rsid w:val="00555B8C"/>
    <w:rsid w:val="00555EE3"/>
    <w:rsid w:val="00556395"/>
    <w:rsid w:val="005564B5"/>
    <w:rsid w:val="005564E0"/>
    <w:rsid w:val="00557583"/>
    <w:rsid w:val="00557ADA"/>
    <w:rsid w:val="00561519"/>
    <w:rsid w:val="00561A8B"/>
    <w:rsid w:val="00562001"/>
    <w:rsid w:val="005625C3"/>
    <w:rsid w:val="00562F93"/>
    <w:rsid w:val="00563F3C"/>
    <w:rsid w:val="00563FC8"/>
    <w:rsid w:val="00564558"/>
    <w:rsid w:val="005649ED"/>
    <w:rsid w:val="005651AE"/>
    <w:rsid w:val="005652CF"/>
    <w:rsid w:val="0056563B"/>
    <w:rsid w:val="00565EC7"/>
    <w:rsid w:val="0056626B"/>
    <w:rsid w:val="005662E6"/>
    <w:rsid w:val="00566898"/>
    <w:rsid w:val="005673E6"/>
    <w:rsid w:val="005677A6"/>
    <w:rsid w:val="00567CD7"/>
    <w:rsid w:val="0057028B"/>
    <w:rsid w:val="00571147"/>
    <w:rsid w:val="00571634"/>
    <w:rsid w:val="005724DB"/>
    <w:rsid w:val="00573017"/>
    <w:rsid w:val="005737E4"/>
    <w:rsid w:val="00574D8E"/>
    <w:rsid w:val="0057593A"/>
    <w:rsid w:val="00575E82"/>
    <w:rsid w:val="0057677F"/>
    <w:rsid w:val="00577D7C"/>
    <w:rsid w:val="005802FA"/>
    <w:rsid w:val="005807B6"/>
    <w:rsid w:val="00580FBD"/>
    <w:rsid w:val="00581173"/>
    <w:rsid w:val="00581267"/>
    <w:rsid w:val="00582A48"/>
    <w:rsid w:val="005831E1"/>
    <w:rsid w:val="005834A7"/>
    <w:rsid w:val="00583E6F"/>
    <w:rsid w:val="00584CC0"/>
    <w:rsid w:val="00585BE0"/>
    <w:rsid w:val="00585E25"/>
    <w:rsid w:val="0058732E"/>
    <w:rsid w:val="005873F3"/>
    <w:rsid w:val="00587842"/>
    <w:rsid w:val="00587E69"/>
    <w:rsid w:val="00587EA7"/>
    <w:rsid w:val="00587F9F"/>
    <w:rsid w:val="00590DBA"/>
    <w:rsid w:val="00590DFC"/>
    <w:rsid w:val="00591882"/>
    <w:rsid w:val="00591BE6"/>
    <w:rsid w:val="00592174"/>
    <w:rsid w:val="0059292A"/>
    <w:rsid w:val="0059320A"/>
    <w:rsid w:val="0059369C"/>
    <w:rsid w:val="005942DD"/>
    <w:rsid w:val="00594442"/>
    <w:rsid w:val="00594C70"/>
    <w:rsid w:val="00594DDE"/>
    <w:rsid w:val="00595F80"/>
    <w:rsid w:val="00596120"/>
    <w:rsid w:val="005965A9"/>
    <w:rsid w:val="0059715D"/>
    <w:rsid w:val="00597974"/>
    <w:rsid w:val="00597C83"/>
    <w:rsid w:val="005A09ED"/>
    <w:rsid w:val="005A1525"/>
    <w:rsid w:val="005A25C8"/>
    <w:rsid w:val="005A25DC"/>
    <w:rsid w:val="005A29B3"/>
    <w:rsid w:val="005A32FF"/>
    <w:rsid w:val="005A3FDA"/>
    <w:rsid w:val="005A4A54"/>
    <w:rsid w:val="005A4AF6"/>
    <w:rsid w:val="005A4DE9"/>
    <w:rsid w:val="005A4F6B"/>
    <w:rsid w:val="005A51D0"/>
    <w:rsid w:val="005A5C87"/>
    <w:rsid w:val="005A5CB2"/>
    <w:rsid w:val="005A69D7"/>
    <w:rsid w:val="005A7446"/>
    <w:rsid w:val="005A7C60"/>
    <w:rsid w:val="005A7E38"/>
    <w:rsid w:val="005B045D"/>
    <w:rsid w:val="005B1C6C"/>
    <w:rsid w:val="005B1D04"/>
    <w:rsid w:val="005B1FF9"/>
    <w:rsid w:val="005B237B"/>
    <w:rsid w:val="005B289D"/>
    <w:rsid w:val="005B4220"/>
    <w:rsid w:val="005B4FF2"/>
    <w:rsid w:val="005B63A8"/>
    <w:rsid w:val="005B657E"/>
    <w:rsid w:val="005B68D4"/>
    <w:rsid w:val="005B6C31"/>
    <w:rsid w:val="005B7A24"/>
    <w:rsid w:val="005B7D34"/>
    <w:rsid w:val="005C0163"/>
    <w:rsid w:val="005C01F2"/>
    <w:rsid w:val="005C01F6"/>
    <w:rsid w:val="005C0BCD"/>
    <w:rsid w:val="005C2664"/>
    <w:rsid w:val="005C2804"/>
    <w:rsid w:val="005C2FD2"/>
    <w:rsid w:val="005C3119"/>
    <w:rsid w:val="005C31CD"/>
    <w:rsid w:val="005C334D"/>
    <w:rsid w:val="005C335C"/>
    <w:rsid w:val="005C3BD5"/>
    <w:rsid w:val="005C4052"/>
    <w:rsid w:val="005C4F76"/>
    <w:rsid w:val="005C50D4"/>
    <w:rsid w:val="005C529B"/>
    <w:rsid w:val="005C52F1"/>
    <w:rsid w:val="005C5314"/>
    <w:rsid w:val="005C539B"/>
    <w:rsid w:val="005C6953"/>
    <w:rsid w:val="005C6B2D"/>
    <w:rsid w:val="005C7538"/>
    <w:rsid w:val="005C799E"/>
    <w:rsid w:val="005D04FB"/>
    <w:rsid w:val="005D066D"/>
    <w:rsid w:val="005D0688"/>
    <w:rsid w:val="005D1B36"/>
    <w:rsid w:val="005D1B37"/>
    <w:rsid w:val="005D2701"/>
    <w:rsid w:val="005D2765"/>
    <w:rsid w:val="005D2929"/>
    <w:rsid w:val="005D2A7F"/>
    <w:rsid w:val="005D2E6A"/>
    <w:rsid w:val="005D46EA"/>
    <w:rsid w:val="005D4AF7"/>
    <w:rsid w:val="005D5DA9"/>
    <w:rsid w:val="005D5EFB"/>
    <w:rsid w:val="005D694A"/>
    <w:rsid w:val="005D6AF9"/>
    <w:rsid w:val="005D6B90"/>
    <w:rsid w:val="005D74EE"/>
    <w:rsid w:val="005E03C7"/>
    <w:rsid w:val="005E1A6E"/>
    <w:rsid w:val="005E2716"/>
    <w:rsid w:val="005E2859"/>
    <w:rsid w:val="005E3042"/>
    <w:rsid w:val="005E3545"/>
    <w:rsid w:val="005E3CE8"/>
    <w:rsid w:val="005E3DDB"/>
    <w:rsid w:val="005E3E31"/>
    <w:rsid w:val="005E439E"/>
    <w:rsid w:val="005E4F53"/>
    <w:rsid w:val="005E56A1"/>
    <w:rsid w:val="005E6043"/>
    <w:rsid w:val="005E63C5"/>
    <w:rsid w:val="005E6821"/>
    <w:rsid w:val="005E7093"/>
    <w:rsid w:val="005E73D8"/>
    <w:rsid w:val="005E7B9B"/>
    <w:rsid w:val="005E7EBB"/>
    <w:rsid w:val="005F0BEC"/>
    <w:rsid w:val="005F1389"/>
    <w:rsid w:val="005F1979"/>
    <w:rsid w:val="005F1CF0"/>
    <w:rsid w:val="005F21D4"/>
    <w:rsid w:val="005F23C2"/>
    <w:rsid w:val="005F2719"/>
    <w:rsid w:val="005F27CF"/>
    <w:rsid w:val="005F3551"/>
    <w:rsid w:val="005F38E6"/>
    <w:rsid w:val="005F4323"/>
    <w:rsid w:val="005F5D0F"/>
    <w:rsid w:val="005F5D9A"/>
    <w:rsid w:val="005F65E2"/>
    <w:rsid w:val="005F6A59"/>
    <w:rsid w:val="005F6F57"/>
    <w:rsid w:val="005F6FD9"/>
    <w:rsid w:val="005F757B"/>
    <w:rsid w:val="005F7C4F"/>
    <w:rsid w:val="005F7E44"/>
    <w:rsid w:val="005F7EC6"/>
    <w:rsid w:val="006010D9"/>
    <w:rsid w:val="00601236"/>
    <w:rsid w:val="0060167C"/>
    <w:rsid w:val="006033A7"/>
    <w:rsid w:val="0060369C"/>
    <w:rsid w:val="006037F4"/>
    <w:rsid w:val="006039F8"/>
    <w:rsid w:val="00603DE9"/>
    <w:rsid w:val="00604686"/>
    <w:rsid w:val="00604ABC"/>
    <w:rsid w:val="00604C9F"/>
    <w:rsid w:val="006056F0"/>
    <w:rsid w:val="00605A5F"/>
    <w:rsid w:val="00606277"/>
    <w:rsid w:val="00607AAB"/>
    <w:rsid w:val="00607D59"/>
    <w:rsid w:val="00610414"/>
    <w:rsid w:val="006105B4"/>
    <w:rsid w:val="00610616"/>
    <w:rsid w:val="00610CA9"/>
    <w:rsid w:val="0061267E"/>
    <w:rsid w:val="00613314"/>
    <w:rsid w:val="00613A5A"/>
    <w:rsid w:val="00613F4A"/>
    <w:rsid w:val="006146BB"/>
    <w:rsid w:val="00615241"/>
    <w:rsid w:val="0061542E"/>
    <w:rsid w:val="006154D7"/>
    <w:rsid w:val="006172F2"/>
    <w:rsid w:val="00617C99"/>
    <w:rsid w:val="00617E83"/>
    <w:rsid w:val="00620A62"/>
    <w:rsid w:val="00620C95"/>
    <w:rsid w:val="00622928"/>
    <w:rsid w:val="00622DD2"/>
    <w:rsid w:val="00623B73"/>
    <w:rsid w:val="00623DFF"/>
    <w:rsid w:val="00624D66"/>
    <w:rsid w:val="00626040"/>
    <w:rsid w:val="006268C7"/>
    <w:rsid w:val="00631E1B"/>
    <w:rsid w:val="00632166"/>
    <w:rsid w:val="00632530"/>
    <w:rsid w:val="006326C3"/>
    <w:rsid w:val="00632EA0"/>
    <w:rsid w:val="006333EC"/>
    <w:rsid w:val="00633699"/>
    <w:rsid w:val="00633A33"/>
    <w:rsid w:val="00633FA2"/>
    <w:rsid w:val="00634477"/>
    <w:rsid w:val="006361F8"/>
    <w:rsid w:val="00636EF5"/>
    <w:rsid w:val="0063706F"/>
    <w:rsid w:val="00640326"/>
    <w:rsid w:val="006405E6"/>
    <w:rsid w:val="006412CF"/>
    <w:rsid w:val="00641ACA"/>
    <w:rsid w:val="00643D07"/>
    <w:rsid w:val="00643ED3"/>
    <w:rsid w:val="0064415B"/>
    <w:rsid w:val="006444EE"/>
    <w:rsid w:val="00644AA9"/>
    <w:rsid w:val="00644D3B"/>
    <w:rsid w:val="00645400"/>
    <w:rsid w:val="0064736A"/>
    <w:rsid w:val="0065024A"/>
    <w:rsid w:val="0065040F"/>
    <w:rsid w:val="00651024"/>
    <w:rsid w:val="0065139F"/>
    <w:rsid w:val="00651BC9"/>
    <w:rsid w:val="0065212B"/>
    <w:rsid w:val="00652CED"/>
    <w:rsid w:val="00653388"/>
    <w:rsid w:val="006534C7"/>
    <w:rsid w:val="006535E2"/>
    <w:rsid w:val="00653985"/>
    <w:rsid w:val="0065417E"/>
    <w:rsid w:val="00654A98"/>
    <w:rsid w:val="00654DA3"/>
    <w:rsid w:val="00654F0B"/>
    <w:rsid w:val="0065593E"/>
    <w:rsid w:val="00655F28"/>
    <w:rsid w:val="006565B2"/>
    <w:rsid w:val="00656ADD"/>
    <w:rsid w:val="00656BBE"/>
    <w:rsid w:val="00656D0D"/>
    <w:rsid w:val="00656F50"/>
    <w:rsid w:val="00657BB9"/>
    <w:rsid w:val="00657E5C"/>
    <w:rsid w:val="0066011D"/>
    <w:rsid w:val="00660D26"/>
    <w:rsid w:val="00660D65"/>
    <w:rsid w:val="00661044"/>
    <w:rsid w:val="006610BF"/>
    <w:rsid w:val="006610E0"/>
    <w:rsid w:val="006612B9"/>
    <w:rsid w:val="00661EE3"/>
    <w:rsid w:val="00662E4D"/>
    <w:rsid w:val="00662F23"/>
    <w:rsid w:val="00663EA9"/>
    <w:rsid w:val="0066432E"/>
    <w:rsid w:val="00665639"/>
    <w:rsid w:val="00666B55"/>
    <w:rsid w:val="00667781"/>
    <w:rsid w:val="006702B7"/>
    <w:rsid w:val="006703AF"/>
    <w:rsid w:val="00672C5A"/>
    <w:rsid w:val="006730E1"/>
    <w:rsid w:val="006737DA"/>
    <w:rsid w:val="00673D45"/>
    <w:rsid w:val="00676819"/>
    <w:rsid w:val="00676CED"/>
    <w:rsid w:val="00676D43"/>
    <w:rsid w:val="00676DFB"/>
    <w:rsid w:val="00677186"/>
    <w:rsid w:val="00677353"/>
    <w:rsid w:val="006779BD"/>
    <w:rsid w:val="00677BA9"/>
    <w:rsid w:val="00680273"/>
    <w:rsid w:val="006802BC"/>
    <w:rsid w:val="00680571"/>
    <w:rsid w:val="006809A9"/>
    <w:rsid w:val="00680C71"/>
    <w:rsid w:val="00681ECF"/>
    <w:rsid w:val="00682908"/>
    <w:rsid w:val="006834C2"/>
    <w:rsid w:val="00683AD4"/>
    <w:rsid w:val="00683FCD"/>
    <w:rsid w:val="006842BE"/>
    <w:rsid w:val="006846D2"/>
    <w:rsid w:val="00685448"/>
    <w:rsid w:val="0068560A"/>
    <w:rsid w:val="00685758"/>
    <w:rsid w:val="00685CAB"/>
    <w:rsid w:val="00686922"/>
    <w:rsid w:val="00686C5B"/>
    <w:rsid w:val="00686EBD"/>
    <w:rsid w:val="00687788"/>
    <w:rsid w:val="00690179"/>
    <w:rsid w:val="006902D2"/>
    <w:rsid w:val="00690B8E"/>
    <w:rsid w:val="00690F98"/>
    <w:rsid w:val="0069239E"/>
    <w:rsid w:val="00692411"/>
    <w:rsid w:val="00692840"/>
    <w:rsid w:val="00692CF6"/>
    <w:rsid w:val="00693647"/>
    <w:rsid w:val="00693AB6"/>
    <w:rsid w:val="00693F3C"/>
    <w:rsid w:val="006947C2"/>
    <w:rsid w:val="0069544C"/>
    <w:rsid w:val="00695489"/>
    <w:rsid w:val="00696BD9"/>
    <w:rsid w:val="00697573"/>
    <w:rsid w:val="006A19BE"/>
    <w:rsid w:val="006A239F"/>
    <w:rsid w:val="006A25D1"/>
    <w:rsid w:val="006A2A40"/>
    <w:rsid w:val="006A3832"/>
    <w:rsid w:val="006A4161"/>
    <w:rsid w:val="006A434F"/>
    <w:rsid w:val="006A46D5"/>
    <w:rsid w:val="006A69F6"/>
    <w:rsid w:val="006B06F7"/>
    <w:rsid w:val="006B0B4B"/>
    <w:rsid w:val="006B1E09"/>
    <w:rsid w:val="006B2254"/>
    <w:rsid w:val="006B2978"/>
    <w:rsid w:val="006B2BB0"/>
    <w:rsid w:val="006B3059"/>
    <w:rsid w:val="006B3F1F"/>
    <w:rsid w:val="006B4861"/>
    <w:rsid w:val="006B4E47"/>
    <w:rsid w:val="006B5C3F"/>
    <w:rsid w:val="006B6B60"/>
    <w:rsid w:val="006B6E41"/>
    <w:rsid w:val="006B77E1"/>
    <w:rsid w:val="006C024D"/>
    <w:rsid w:val="006C0AC7"/>
    <w:rsid w:val="006C11D6"/>
    <w:rsid w:val="006C1329"/>
    <w:rsid w:val="006C1BC4"/>
    <w:rsid w:val="006C3981"/>
    <w:rsid w:val="006C3D29"/>
    <w:rsid w:val="006C45A8"/>
    <w:rsid w:val="006C48D5"/>
    <w:rsid w:val="006C54BC"/>
    <w:rsid w:val="006C57EB"/>
    <w:rsid w:val="006C5BE4"/>
    <w:rsid w:val="006C5DA0"/>
    <w:rsid w:val="006C5F65"/>
    <w:rsid w:val="006C6B0D"/>
    <w:rsid w:val="006C7017"/>
    <w:rsid w:val="006C7F41"/>
    <w:rsid w:val="006D0784"/>
    <w:rsid w:val="006D099A"/>
    <w:rsid w:val="006D1B42"/>
    <w:rsid w:val="006D1EAC"/>
    <w:rsid w:val="006D2A40"/>
    <w:rsid w:val="006D354B"/>
    <w:rsid w:val="006D3AAE"/>
    <w:rsid w:val="006D475D"/>
    <w:rsid w:val="006D48DA"/>
    <w:rsid w:val="006D4FBF"/>
    <w:rsid w:val="006D51CB"/>
    <w:rsid w:val="006D59C1"/>
    <w:rsid w:val="006D6396"/>
    <w:rsid w:val="006E070D"/>
    <w:rsid w:val="006E09F0"/>
    <w:rsid w:val="006E0CE1"/>
    <w:rsid w:val="006E0D20"/>
    <w:rsid w:val="006E0DCF"/>
    <w:rsid w:val="006E1811"/>
    <w:rsid w:val="006E1A11"/>
    <w:rsid w:val="006E1BBB"/>
    <w:rsid w:val="006E1CB0"/>
    <w:rsid w:val="006E1DB2"/>
    <w:rsid w:val="006E1EFB"/>
    <w:rsid w:val="006E1F12"/>
    <w:rsid w:val="006E257D"/>
    <w:rsid w:val="006E3262"/>
    <w:rsid w:val="006E3619"/>
    <w:rsid w:val="006E4EE0"/>
    <w:rsid w:val="006E5877"/>
    <w:rsid w:val="006E637C"/>
    <w:rsid w:val="006E675B"/>
    <w:rsid w:val="006E6A73"/>
    <w:rsid w:val="006E6B95"/>
    <w:rsid w:val="006E6C57"/>
    <w:rsid w:val="006E6E12"/>
    <w:rsid w:val="006E7E1A"/>
    <w:rsid w:val="006F1E25"/>
    <w:rsid w:val="006F21F9"/>
    <w:rsid w:val="006F2982"/>
    <w:rsid w:val="006F2AC0"/>
    <w:rsid w:val="006F2DDE"/>
    <w:rsid w:val="006F3674"/>
    <w:rsid w:val="006F3AC9"/>
    <w:rsid w:val="006F46A1"/>
    <w:rsid w:val="006F4C86"/>
    <w:rsid w:val="006F5616"/>
    <w:rsid w:val="006F5AB1"/>
    <w:rsid w:val="006F5DE7"/>
    <w:rsid w:val="006F6B39"/>
    <w:rsid w:val="006F7E6D"/>
    <w:rsid w:val="007014D7"/>
    <w:rsid w:val="00701C12"/>
    <w:rsid w:val="00702416"/>
    <w:rsid w:val="007024E6"/>
    <w:rsid w:val="00702DF2"/>
    <w:rsid w:val="00703177"/>
    <w:rsid w:val="0070358D"/>
    <w:rsid w:val="0070390A"/>
    <w:rsid w:val="007050C8"/>
    <w:rsid w:val="00705A66"/>
    <w:rsid w:val="00706ECC"/>
    <w:rsid w:val="0070716D"/>
    <w:rsid w:val="0070765A"/>
    <w:rsid w:val="007079AD"/>
    <w:rsid w:val="007101FE"/>
    <w:rsid w:val="00711A73"/>
    <w:rsid w:val="00712324"/>
    <w:rsid w:val="00712FFC"/>
    <w:rsid w:val="007146DB"/>
    <w:rsid w:val="00714F7A"/>
    <w:rsid w:val="00715280"/>
    <w:rsid w:val="0071586A"/>
    <w:rsid w:val="00715C05"/>
    <w:rsid w:val="00716927"/>
    <w:rsid w:val="00717091"/>
    <w:rsid w:val="00717172"/>
    <w:rsid w:val="0071790D"/>
    <w:rsid w:val="00721285"/>
    <w:rsid w:val="00721334"/>
    <w:rsid w:val="00721AE1"/>
    <w:rsid w:val="00721B64"/>
    <w:rsid w:val="00721D85"/>
    <w:rsid w:val="007226AC"/>
    <w:rsid w:val="0072286E"/>
    <w:rsid w:val="00723368"/>
    <w:rsid w:val="007236E8"/>
    <w:rsid w:val="00723D21"/>
    <w:rsid w:val="0072573E"/>
    <w:rsid w:val="00725984"/>
    <w:rsid w:val="00725E5A"/>
    <w:rsid w:val="0072699E"/>
    <w:rsid w:val="00726CFE"/>
    <w:rsid w:val="0072727B"/>
    <w:rsid w:val="0073044E"/>
    <w:rsid w:val="00731058"/>
    <w:rsid w:val="007310E0"/>
    <w:rsid w:val="00731A5D"/>
    <w:rsid w:val="00731E12"/>
    <w:rsid w:val="00733117"/>
    <w:rsid w:val="007337C4"/>
    <w:rsid w:val="00734312"/>
    <w:rsid w:val="007346A2"/>
    <w:rsid w:val="007354B8"/>
    <w:rsid w:val="00736333"/>
    <w:rsid w:val="00737391"/>
    <w:rsid w:val="00741EA4"/>
    <w:rsid w:val="00742414"/>
    <w:rsid w:val="0074248C"/>
    <w:rsid w:val="0074251C"/>
    <w:rsid w:val="00742D94"/>
    <w:rsid w:val="007433D5"/>
    <w:rsid w:val="0074342E"/>
    <w:rsid w:val="007436C3"/>
    <w:rsid w:val="00744D21"/>
    <w:rsid w:val="0074528F"/>
    <w:rsid w:val="007454CF"/>
    <w:rsid w:val="00745EBB"/>
    <w:rsid w:val="00746A24"/>
    <w:rsid w:val="00746E01"/>
    <w:rsid w:val="00746EE4"/>
    <w:rsid w:val="0074798E"/>
    <w:rsid w:val="007479BD"/>
    <w:rsid w:val="00750805"/>
    <w:rsid w:val="0075266B"/>
    <w:rsid w:val="0075292E"/>
    <w:rsid w:val="00752DBA"/>
    <w:rsid w:val="00753B63"/>
    <w:rsid w:val="00753E70"/>
    <w:rsid w:val="00754248"/>
    <w:rsid w:val="00755D9A"/>
    <w:rsid w:val="00755E96"/>
    <w:rsid w:val="00756295"/>
    <w:rsid w:val="0075629B"/>
    <w:rsid w:val="007579B6"/>
    <w:rsid w:val="00757DBA"/>
    <w:rsid w:val="00760629"/>
    <w:rsid w:val="00762331"/>
    <w:rsid w:val="007634F1"/>
    <w:rsid w:val="007636B7"/>
    <w:rsid w:val="00763919"/>
    <w:rsid w:val="00763C6C"/>
    <w:rsid w:val="00764472"/>
    <w:rsid w:val="00764FD1"/>
    <w:rsid w:val="00765225"/>
    <w:rsid w:val="0076550C"/>
    <w:rsid w:val="00765B8B"/>
    <w:rsid w:val="00765E3A"/>
    <w:rsid w:val="00765F26"/>
    <w:rsid w:val="0076613F"/>
    <w:rsid w:val="007664C3"/>
    <w:rsid w:val="0076684B"/>
    <w:rsid w:val="0076699B"/>
    <w:rsid w:val="00766B3C"/>
    <w:rsid w:val="00766D1F"/>
    <w:rsid w:val="00767725"/>
    <w:rsid w:val="00767AB4"/>
    <w:rsid w:val="007700E6"/>
    <w:rsid w:val="00770461"/>
    <w:rsid w:val="0077073A"/>
    <w:rsid w:val="00771563"/>
    <w:rsid w:val="007715D5"/>
    <w:rsid w:val="00771BC4"/>
    <w:rsid w:val="00772116"/>
    <w:rsid w:val="007721C4"/>
    <w:rsid w:val="007727B5"/>
    <w:rsid w:val="00772887"/>
    <w:rsid w:val="00773299"/>
    <w:rsid w:val="00773BAA"/>
    <w:rsid w:val="0077439C"/>
    <w:rsid w:val="0077493A"/>
    <w:rsid w:val="00774CAF"/>
    <w:rsid w:val="00774F67"/>
    <w:rsid w:val="00775042"/>
    <w:rsid w:val="00776695"/>
    <w:rsid w:val="00777524"/>
    <w:rsid w:val="007803D6"/>
    <w:rsid w:val="00780FCA"/>
    <w:rsid w:val="00780FCD"/>
    <w:rsid w:val="0078106E"/>
    <w:rsid w:val="00781953"/>
    <w:rsid w:val="00781C51"/>
    <w:rsid w:val="00781E6D"/>
    <w:rsid w:val="007820C2"/>
    <w:rsid w:val="00782866"/>
    <w:rsid w:val="007828DC"/>
    <w:rsid w:val="00783BF2"/>
    <w:rsid w:val="00783C89"/>
    <w:rsid w:val="0078430D"/>
    <w:rsid w:val="0078456A"/>
    <w:rsid w:val="0078491C"/>
    <w:rsid w:val="00784C4F"/>
    <w:rsid w:val="00785305"/>
    <w:rsid w:val="00785400"/>
    <w:rsid w:val="0078558C"/>
    <w:rsid w:val="00786007"/>
    <w:rsid w:val="0078614A"/>
    <w:rsid w:val="00787A42"/>
    <w:rsid w:val="007911B2"/>
    <w:rsid w:val="00792BF2"/>
    <w:rsid w:val="00793271"/>
    <w:rsid w:val="00794017"/>
    <w:rsid w:val="007954E6"/>
    <w:rsid w:val="00795768"/>
    <w:rsid w:val="00795DEF"/>
    <w:rsid w:val="007960E3"/>
    <w:rsid w:val="0079703A"/>
    <w:rsid w:val="007972C6"/>
    <w:rsid w:val="00797608"/>
    <w:rsid w:val="00797852"/>
    <w:rsid w:val="00797DA2"/>
    <w:rsid w:val="00797EDE"/>
    <w:rsid w:val="007A0F67"/>
    <w:rsid w:val="007A19C6"/>
    <w:rsid w:val="007A1A23"/>
    <w:rsid w:val="007A1C12"/>
    <w:rsid w:val="007A228C"/>
    <w:rsid w:val="007A580A"/>
    <w:rsid w:val="007A5FFD"/>
    <w:rsid w:val="007A60D2"/>
    <w:rsid w:val="007A6A1C"/>
    <w:rsid w:val="007A6EDC"/>
    <w:rsid w:val="007A77B2"/>
    <w:rsid w:val="007A7AA1"/>
    <w:rsid w:val="007B0316"/>
    <w:rsid w:val="007B0ADF"/>
    <w:rsid w:val="007B0BE0"/>
    <w:rsid w:val="007B0D67"/>
    <w:rsid w:val="007B1BE1"/>
    <w:rsid w:val="007B325A"/>
    <w:rsid w:val="007B3A2C"/>
    <w:rsid w:val="007B4DC0"/>
    <w:rsid w:val="007B5843"/>
    <w:rsid w:val="007B6433"/>
    <w:rsid w:val="007B7231"/>
    <w:rsid w:val="007B747F"/>
    <w:rsid w:val="007B7F9B"/>
    <w:rsid w:val="007C0059"/>
    <w:rsid w:val="007C0831"/>
    <w:rsid w:val="007C0BB4"/>
    <w:rsid w:val="007C0DC4"/>
    <w:rsid w:val="007C10D4"/>
    <w:rsid w:val="007C132C"/>
    <w:rsid w:val="007C1518"/>
    <w:rsid w:val="007C157A"/>
    <w:rsid w:val="007C16BB"/>
    <w:rsid w:val="007C1DF0"/>
    <w:rsid w:val="007C2C34"/>
    <w:rsid w:val="007C31D1"/>
    <w:rsid w:val="007C3B2D"/>
    <w:rsid w:val="007C3F37"/>
    <w:rsid w:val="007C44A4"/>
    <w:rsid w:val="007C4C4E"/>
    <w:rsid w:val="007C526E"/>
    <w:rsid w:val="007C53DB"/>
    <w:rsid w:val="007C6583"/>
    <w:rsid w:val="007C674B"/>
    <w:rsid w:val="007C6D20"/>
    <w:rsid w:val="007C7A72"/>
    <w:rsid w:val="007C7EC6"/>
    <w:rsid w:val="007C7F34"/>
    <w:rsid w:val="007D0619"/>
    <w:rsid w:val="007D0AB6"/>
    <w:rsid w:val="007D0CC9"/>
    <w:rsid w:val="007D27A5"/>
    <w:rsid w:val="007D27DE"/>
    <w:rsid w:val="007D2A95"/>
    <w:rsid w:val="007D2BF3"/>
    <w:rsid w:val="007D2E49"/>
    <w:rsid w:val="007D344C"/>
    <w:rsid w:val="007D3DED"/>
    <w:rsid w:val="007D4E90"/>
    <w:rsid w:val="007D4FD7"/>
    <w:rsid w:val="007D4FEE"/>
    <w:rsid w:val="007D5C24"/>
    <w:rsid w:val="007D5ED5"/>
    <w:rsid w:val="007D6D3F"/>
    <w:rsid w:val="007D7370"/>
    <w:rsid w:val="007D7433"/>
    <w:rsid w:val="007D7ED9"/>
    <w:rsid w:val="007E0161"/>
    <w:rsid w:val="007E01BC"/>
    <w:rsid w:val="007E0ABB"/>
    <w:rsid w:val="007E0B4C"/>
    <w:rsid w:val="007E1BB1"/>
    <w:rsid w:val="007E26E0"/>
    <w:rsid w:val="007E2988"/>
    <w:rsid w:val="007E2E2F"/>
    <w:rsid w:val="007E2E5C"/>
    <w:rsid w:val="007E4C0E"/>
    <w:rsid w:val="007E6149"/>
    <w:rsid w:val="007E66C4"/>
    <w:rsid w:val="007E6E47"/>
    <w:rsid w:val="007E759A"/>
    <w:rsid w:val="007E7947"/>
    <w:rsid w:val="007E7A73"/>
    <w:rsid w:val="007E7F8A"/>
    <w:rsid w:val="007F0ED1"/>
    <w:rsid w:val="007F1BB0"/>
    <w:rsid w:val="007F1C30"/>
    <w:rsid w:val="007F2039"/>
    <w:rsid w:val="007F337B"/>
    <w:rsid w:val="007F481B"/>
    <w:rsid w:val="007F4E87"/>
    <w:rsid w:val="007F624F"/>
    <w:rsid w:val="007F6751"/>
    <w:rsid w:val="007F72D7"/>
    <w:rsid w:val="007F7360"/>
    <w:rsid w:val="00800289"/>
    <w:rsid w:val="008006D4"/>
    <w:rsid w:val="00800BC4"/>
    <w:rsid w:val="00800C33"/>
    <w:rsid w:val="00801662"/>
    <w:rsid w:val="00801ADB"/>
    <w:rsid w:val="00801FB1"/>
    <w:rsid w:val="0080219F"/>
    <w:rsid w:val="008026D1"/>
    <w:rsid w:val="008027D2"/>
    <w:rsid w:val="00802F06"/>
    <w:rsid w:val="00803DA7"/>
    <w:rsid w:val="00804636"/>
    <w:rsid w:val="00804992"/>
    <w:rsid w:val="00805013"/>
    <w:rsid w:val="00805567"/>
    <w:rsid w:val="00805959"/>
    <w:rsid w:val="00805C6F"/>
    <w:rsid w:val="0080614E"/>
    <w:rsid w:val="0080633F"/>
    <w:rsid w:val="008063C8"/>
    <w:rsid w:val="00806472"/>
    <w:rsid w:val="008071D5"/>
    <w:rsid w:val="00807676"/>
    <w:rsid w:val="00807A99"/>
    <w:rsid w:val="0081123B"/>
    <w:rsid w:val="008113B2"/>
    <w:rsid w:val="00811844"/>
    <w:rsid w:val="00811A56"/>
    <w:rsid w:val="00811BFC"/>
    <w:rsid w:val="00811F82"/>
    <w:rsid w:val="008123A1"/>
    <w:rsid w:val="008125A7"/>
    <w:rsid w:val="008129BA"/>
    <w:rsid w:val="00812EAC"/>
    <w:rsid w:val="00812EFD"/>
    <w:rsid w:val="008138DC"/>
    <w:rsid w:val="00814360"/>
    <w:rsid w:val="00814B79"/>
    <w:rsid w:val="008150A6"/>
    <w:rsid w:val="008153A7"/>
    <w:rsid w:val="008153EC"/>
    <w:rsid w:val="008158B0"/>
    <w:rsid w:val="0081697D"/>
    <w:rsid w:val="00816EE6"/>
    <w:rsid w:val="008201D1"/>
    <w:rsid w:val="00821948"/>
    <w:rsid w:val="008219EB"/>
    <w:rsid w:val="00821A35"/>
    <w:rsid w:val="00821F3D"/>
    <w:rsid w:val="00822D87"/>
    <w:rsid w:val="00823234"/>
    <w:rsid w:val="008233EE"/>
    <w:rsid w:val="008238DB"/>
    <w:rsid w:val="00823B23"/>
    <w:rsid w:val="00824523"/>
    <w:rsid w:val="008245D2"/>
    <w:rsid w:val="00824655"/>
    <w:rsid w:val="00825F1D"/>
    <w:rsid w:val="00826125"/>
    <w:rsid w:val="008262AB"/>
    <w:rsid w:val="0082669D"/>
    <w:rsid w:val="00826F38"/>
    <w:rsid w:val="0082778C"/>
    <w:rsid w:val="0082780C"/>
    <w:rsid w:val="00830EB6"/>
    <w:rsid w:val="00831B3A"/>
    <w:rsid w:val="00831C6F"/>
    <w:rsid w:val="008323A2"/>
    <w:rsid w:val="00833351"/>
    <w:rsid w:val="00833A03"/>
    <w:rsid w:val="00833DE9"/>
    <w:rsid w:val="008352D9"/>
    <w:rsid w:val="008357FB"/>
    <w:rsid w:val="00835C11"/>
    <w:rsid w:val="00836714"/>
    <w:rsid w:val="008377DA"/>
    <w:rsid w:val="0084016B"/>
    <w:rsid w:val="0084058A"/>
    <w:rsid w:val="00840F0B"/>
    <w:rsid w:val="00841201"/>
    <w:rsid w:val="0084166B"/>
    <w:rsid w:val="008419B1"/>
    <w:rsid w:val="00841F76"/>
    <w:rsid w:val="008429EA"/>
    <w:rsid w:val="008433FA"/>
    <w:rsid w:val="00843868"/>
    <w:rsid w:val="00843983"/>
    <w:rsid w:val="00843E4E"/>
    <w:rsid w:val="00844E22"/>
    <w:rsid w:val="008453C3"/>
    <w:rsid w:val="00845883"/>
    <w:rsid w:val="008459EA"/>
    <w:rsid w:val="00845F4C"/>
    <w:rsid w:val="00845F5C"/>
    <w:rsid w:val="00846CB4"/>
    <w:rsid w:val="008477BE"/>
    <w:rsid w:val="00847B8D"/>
    <w:rsid w:val="00850729"/>
    <w:rsid w:val="00850C20"/>
    <w:rsid w:val="00850EF4"/>
    <w:rsid w:val="00854552"/>
    <w:rsid w:val="0085462A"/>
    <w:rsid w:val="00855347"/>
    <w:rsid w:val="00855A84"/>
    <w:rsid w:val="008568A9"/>
    <w:rsid w:val="00856A21"/>
    <w:rsid w:val="00857131"/>
    <w:rsid w:val="008579D6"/>
    <w:rsid w:val="00857BD0"/>
    <w:rsid w:val="0086029E"/>
    <w:rsid w:val="00860307"/>
    <w:rsid w:val="0086082A"/>
    <w:rsid w:val="00860F55"/>
    <w:rsid w:val="00861C7B"/>
    <w:rsid w:val="00861CD5"/>
    <w:rsid w:val="008621FF"/>
    <w:rsid w:val="0086302F"/>
    <w:rsid w:val="0086362D"/>
    <w:rsid w:val="00864A96"/>
    <w:rsid w:val="00864AF0"/>
    <w:rsid w:val="0086503F"/>
    <w:rsid w:val="008652D3"/>
    <w:rsid w:val="0086683A"/>
    <w:rsid w:val="00866B0D"/>
    <w:rsid w:val="00866BE5"/>
    <w:rsid w:val="00867431"/>
    <w:rsid w:val="008704DB"/>
    <w:rsid w:val="008704FF"/>
    <w:rsid w:val="0087057C"/>
    <w:rsid w:val="00870A89"/>
    <w:rsid w:val="00870AD7"/>
    <w:rsid w:val="00871043"/>
    <w:rsid w:val="00872D56"/>
    <w:rsid w:val="00872DDE"/>
    <w:rsid w:val="00873E2E"/>
    <w:rsid w:val="00873FE8"/>
    <w:rsid w:val="0087505F"/>
    <w:rsid w:val="00875B46"/>
    <w:rsid w:val="00876B1B"/>
    <w:rsid w:val="008772EC"/>
    <w:rsid w:val="0088061C"/>
    <w:rsid w:val="0088098E"/>
    <w:rsid w:val="008810D0"/>
    <w:rsid w:val="00881AA6"/>
    <w:rsid w:val="00882B03"/>
    <w:rsid w:val="00882B0B"/>
    <w:rsid w:val="00882D3A"/>
    <w:rsid w:val="008847A6"/>
    <w:rsid w:val="00885815"/>
    <w:rsid w:val="00885A3C"/>
    <w:rsid w:val="0088694C"/>
    <w:rsid w:val="00887AA0"/>
    <w:rsid w:val="00887C1D"/>
    <w:rsid w:val="00887CEF"/>
    <w:rsid w:val="00890AA6"/>
    <w:rsid w:val="00891529"/>
    <w:rsid w:val="0089163D"/>
    <w:rsid w:val="0089199A"/>
    <w:rsid w:val="00891A86"/>
    <w:rsid w:val="008926EB"/>
    <w:rsid w:val="008930FA"/>
    <w:rsid w:val="008931F0"/>
    <w:rsid w:val="00893292"/>
    <w:rsid w:val="0089429A"/>
    <w:rsid w:val="0089525F"/>
    <w:rsid w:val="00895FFD"/>
    <w:rsid w:val="008960E4"/>
    <w:rsid w:val="00896496"/>
    <w:rsid w:val="008973C4"/>
    <w:rsid w:val="00897683"/>
    <w:rsid w:val="0089776E"/>
    <w:rsid w:val="00897A1B"/>
    <w:rsid w:val="00897A7B"/>
    <w:rsid w:val="008A04E0"/>
    <w:rsid w:val="008A0691"/>
    <w:rsid w:val="008A0984"/>
    <w:rsid w:val="008A30E5"/>
    <w:rsid w:val="008A31D8"/>
    <w:rsid w:val="008A374A"/>
    <w:rsid w:val="008A3941"/>
    <w:rsid w:val="008A3B61"/>
    <w:rsid w:val="008A40A9"/>
    <w:rsid w:val="008A4929"/>
    <w:rsid w:val="008A4FD5"/>
    <w:rsid w:val="008A573E"/>
    <w:rsid w:val="008A6398"/>
    <w:rsid w:val="008A6E41"/>
    <w:rsid w:val="008A7D98"/>
    <w:rsid w:val="008B01D8"/>
    <w:rsid w:val="008B01EF"/>
    <w:rsid w:val="008B03C6"/>
    <w:rsid w:val="008B311C"/>
    <w:rsid w:val="008B330F"/>
    <w:rsid w:val="008B3822"/>
    <w:rsid w:val="008B4161"/>
    <w:rsid w:val="008B49B6"/>
    <w:rsid w:val="008B4B9A"/>
    <w:rsid w:val="008B4C41"/>
    <w:rsid w:val="008B4C96"/>
    <w:rsid w:val="008B53A2"/>
    <w:rsid w:val="008B597A"/>
    <w:rsid w:val="008B62C5"/>
    <w:rsid w:val="008B63BD"/>
    <w:rsid w:val="008B6CA9"/>
    <w:rsid w:val="008B7D2A"/>
    <w:rsid w:val="008B7DB7"/>
    <w:rsid w:val="008C0274"/>
    <w:rsid w:val="008C03FB"/>
    <w:rsid w:val="008C05A6"/>
    <w:rsid w:val="008C16EA"/>
    <w:rsid w:val="008C1701"/>
    <w:rsid w:val="008C1B79"/>
    <w:rsid w:val="008C2211"/>
    <w:rsid w:val="008C26D9"/>
    <w:rsid w:val="008C27F6"/>
    <w:rsid w:val="008C2E80"/>
    <w:rsid w:val="008C3692"/>
    <w:rsid w:val="008C3F05"/>
    <w:rsid w:val="008C4394"/>
    <w:rsid w:val="008C4A9C"/>
    <w:rsid w:val="008C4FBE"/>
    <w:rsid w:val="008C534D"/>
    <w:rsid w:val="008C5AC5"/>
    <w:rsid w:val="008C6070"/>
    <w:rsid w:val="008C6091"/>
    <w:rsid w:val="008C60CA"/>
    <w:rsid w:val="008C6391"/>
    <w:rsid w:val="008C7069"/>
    <w:rsid w:val="008C779B"/>
    <w:rsid w:val="008C798B"/>
    <w:rsid w:val="008D010E"/>
    <w:rsid w:val="008D07C4"/>
    <w:rsid w:val="008D0909"/>
    <w:rsid w:val="008D0A0E"/>
    <w:rsid w:val="008D0A98"/>
    <w:rsid w:val="008D1519"/>
    <w:rsid w:val="008D1531"/>
    <w:rsid w:val="008D20CC"/>
    <w:rsid w:val="008D3548"/>
    <w:rsid w:val="008D3F25"/>
    <w:rsid w:val="008D473F"/>
    <w:rsid w:val="008D50E5"/>
    <w:rsid w:val="008D5C9C"/>
    <w:rsid w:val="008D6B82"/>
    <w:rsid w:val="008D71B1"/>
    <w:rsid w:val="008D7616"/>
    <w:rsid w:val="008D76C4"/>
    <w:rsid w:val="008D7DD9"/>
    <w:rsid w:val="008D7E91"/>
    <w:rsid w:val="008E0AAF"/>
    <w:rsid w:val="008E1068"/>
    <w:rsid w:val="008E159B"/>
    <w:rsid w:val="008E17DA"/>
    <w:rsid w:val="008E1991"/>
    <w:rsid w:val="008E1FE9"/>
    <w:rsid w:val="008E22FF"/>
    <w:rsid w:val="008E30DB"/>
    <w:rsid w:val="008E4007"/>
    <w:rsid w:val="008E4587"/>
    <w:rsid w:val="008E58C7"/>
    <w:rsid w:val="008E5931"/>
    <w:rsid w:val="008E6BF7"/>
    <w:rsid w:val="008E6F9B"/>
    <w:rsid w:val="008E717B"/>
    <w:rsid w:val="008E7580"/>
    <w:rsid w:val="008E7A89"/>
    <w:rsid w:val="008E7B2D"/>
    <w:rsid w:val="008E7FA8"/>
    <w:rsid w:val="008F088F"/>
    <w:rsid w:val="008F0D07"/>
    <w:rsid w:val="008F13DF"/>
    <w:rsid w:val="008F1A7F"/>
    <w:rsid w:val="008F1B12"/>
    <w:rsid w:val="008F23DE"/>
    <w:rsid w:val="008F2D12"/>
    <w:rsid w:val="008F385F"/>
    <w:rsid w:val="008F452E"/>
    <w:rsid w:val="008F4925"/>
    <w:rsid w:val="008F494D"/>
    <w:rsid w:val="008F5622"/>
    <w:rsid w:val="008F5678"/>
    <w:rsid w:val="008F57C8"/>
    <w:rsid w:val="008F58D1"/>
    <w:rsid w:val="008F5B7D"/>
    <w:rsid w:val="008F5BDC"/>
    <w:rsid w:val="008F62FA"/>
    <w:rsid w:val="008F6A52"/>
    <w:rsid w:val="008F6F99"/>
    <w:rsid w:val="008F748D"/>
    <w:rsid w:val="008F7DF0"/>
    <w:rsid w:val="009006AE"/>
    <w:rsid w:val="00900AD3"/>
    <w:rsid w:val="00900CF4"/>
    <w:rsid w:val="00901A56"/>
    <w:rsid w:val="00901CFA"/>
    <w:rsid w:val="00901D8C"/>
    <w:rsid w:val="00901E85"/>
    <w:rsid w:val="00902156"/>
    <w:rsid w:val="009027C8"/>
    <w:rsid w:val="0090299E"/>
    <w:rsid w:val="00902D69"/>
    <w:rsid w:val="00903723"/>
    <w:rsid w:val="00903F47"/>
    <w:rsid w:val="00904278"/>
    <w:rsid w:val="00904AFB"/>
    <w:rsid w:val="00904EB2"/>
    <w:rsid w:val="009074F3"/>
    <w:rsid w:val="00907FF0"/>
    <w:rsid w:val="009102E2"/>
    <w:rsid w:val="00910BB4"/>
    <w:rsid w:val="00910E46"/>
    <w:rsid w:val="00911919"/>
    <w:rsid w:val="00911E6E"/>
    <w:rsid w:val="00912B72"/>
    <w:rsid w:val="00914B85"/>
    <w:rsid w:val="009158BB"/>
    <w:rsid w:val="009175B3"/>
    <w:rsid w:val="009206C9"/>
    <w:rsid w:val="00920E88"/>
    <w:rsid w:val="0092216F"/>
    <w:rsid w:val="009224A7"/>
    <w:rsid w:val="00922518"/>
    <w:rsid w:val="0092370A"/>
    <w:rsid w:val="00923ABB"/>
    <w:rsid w:val="00923E7B"/>
    <w:rsid w:val="009242FF"/>
    <w:rsid w:val="00924420"/>
    <w:rsid w:val="009246C7"/>
    <w:rsid w:val="009248BF"/>
    <w:rsid w:val="00924BE3"/>
    <w:rsid w:val="00924D00"/>
    <w:rsid w:val="00924D5C"/>
    <w:rsid w:val="00925C00"/>
    <w:rsid w:val="00925CBF"/>
    <w:rsid w:val="009270FC"/>
    <w:rsid w:val="00927490"/>
    <w:rsid w:val="00927674"/>
    <w:rsid w:val="0092799F"/>
    <w:rsid w:val="00930A84"/>
    <w:rsid w:val="00931006"/>
    <w:rsid w:val="0093119E"/>
    <w:rsid w:val="00931226"/>
    <w:rsid w:val="0093159A"/>
    <w:rsid w:val="009316B2"/>
    <w:rsid w:val="009317D4"/>
    <w:rsid w:val="00931D10"/>
    <w:rsid w:val="00932CBB"/>
    <w:rsid w:val="009335EF"/>
    <w:rsid w:val="009338AC"/>
    <w:rsid w:val="00933975"/>
    <w:rsid w:val="00934953"/>
    <w:rsid w:val="00934A31"/>
    <w:rsid w:val="009354BA"/>
    <w:rsid w:val="00935805"/>
    <w:rsid w:val="00936437"/>
    <w:rsid w:val="009364A4"/>
    <w:rsid w:val="009364FA"/>
    <w:rsid w:val="00937A0A"/>
    <w:rsid w:val="00937A7E"/>
    <w:rsid w:val="00940F4C"/>
    <w:rsid w:val="00941847"/>
    <w:rsid w:val="00941B2D"/>
    <w:rsid w:val="0094206E"/>
    <w:rsid w:val="0094227B"/>
    <w:rsid w:val="009422A4"/>
    <w:rsid w:val="0094261C"/>
    <w:rsid w:val="00943529"/>
    <w:rsid w:val="00944254"/>
    <w:rsid w:val="0094443E"/>
    <w:rsid w:val="00944543"/>
    <w:rsid w:val="00944C20"/>
    <w:rsid w:val="00944E34"/>
    <w:rsid w:val="00945035"/>
    <w:rsid w:val="00945434"/>
    <w:rsid w:val="009459BC"/>
    <w:rsid w:val="00946172"/>
    <w:rsid w:val="0094665E"/>
    <w:rsid w:val="0094679C"/>
    <w:rsid w:val="00946DED"/>
    <w:rsid w:val="009478A1"/>
    <w:rsid w:val="00947AF5"/>
    <w:rsid w:val="00947DC6"/>
    <w:rsid w:val="009506DB"/>
    <w:rsid w:val="009508BB"/>
    <w:rsid w:val="00950D60"/>
    <w:rsid w:val="009515F9"/>
    <w:rsid w:val="00951958"/>
    <w:rsid w:val="00951DB3"/>
    <w:rsid w:val="009526BA"/>
    <w:rsid w:val="00952737"/>
    <w:rsid w:val="00952C77"/>
    <w:rsid w:val="00953FB0"/>
    <w:rsid w:val="00954C82"/>
    <w:rsid w:val="00954E36"/>
    <w:rsid w:val="00955ADF"/>
    <w:rsid w:val="00956158"/>
    <w:rsid w:val="0095674A"/>
    <w:rsid w:val="009569D7"/>
    <w:rsid w:val="00956A7F"/>
    <w:rsid w:val="00956C59"/>
    <w:rsid w:val="0095720B"/>
    <w:rsid w:val="00957809"/>
    <w:rsid w:val="00957963"/>
    <w:rsid w:val="0096027A"/>
    <w:rsid w:val="0096097C"/>
    <w:rsid w:val="00961016"/>
    <w:rsid w:val="00961351"/>
    <w:rsid w:val="0096139B"/>
    <w:rsid w:val="00961892"/>
    <w:rsid w:val="009618E7"/>
    <w:rsid w:val="00961DAD"/>
    <w:rsid w:val="009628B6"/>
    <w:rsid w:val="00962B7C"/>
    <w:rsid w:val="00964869"/>
    <w:rsid w:val="009651FE"/>
    <w:rsid w:val="00965D3F"/>
    <w:rsid w:val="0096649F"/>
    <w:rsid w:val="009665D4"/>
    <w:rsid w:val="00967391"/>
    <w:rsid w:val="00967EAE"/>
    <w:rsid w:val="009706D0"/>
    <w:rsid w:val="00970905"/>
    <w:rsid w:val="00970DD8"/>
    <w:rsid w:val="00970F6E"/>
    <w:rsid w:val="00971A52"/>
    <w:rsid w:val="0097210E"/>
    <w:rsid w:val="009727C9"/>
    <w:rsid w:val="009727EF"/>
    <w:rsid w:val="009739CF"/>
    <w:rsid w:val="00973C04"/>
    <w:rsid w:val="00974430"/>
    <w:rsid w:val="0097492C"/>
    <w:rsid w:val="00974BF6"/>
    <w:rsid w:val="00974EE0"/>
    <w:rsid w:val="00975183"/>
    <w:rsid w:val="00975FFE"/>
    <w:rsid w:val="0097609B"/>
    <w:rsid w:val="00976159"/>
    <w:rsid w:val="00976AFC"/>
    <w:rsid w:val="00976EB2"/>
    <w:rsid w:val="0097779A"/>
    <w:rsid w:val="00977F66"/>
    <w:rsid w:val="00980D2B"/>
    <w:rsid w:val="009817B3"/>
    <w:rsid w:val="00981CD4"/>
    <w:rsid w:val="00981E81"/>
    <w:rsid w:val="00981EFE"/>
    <w:rsid w:val="00982668"/>
    <w:rsid w:val="00982F69"/>
    <w:rsid w:val="009830D8"/>
    <w:rsid w:val="00983314"/>
    <w:rsid w:val="0098340B"/>
    <w:rsid w:val="009847AC"/>
    <w:rsid w:val="00984DA3"/>
    <w:rsid w:val="00984F09"/>
    <w:rsid w:val="009857E8"/>
    <w:rsid w:val="00986B67"/>
    <w:rsid w:val="00986DB4"/>
    <w:rsid w:val="00986E7B"/>
    <w:rsid w:val="00986E85"/>
    <w:rsid w:val="00987169"/>
    <w:rsid w:val="00990046"/>
    <w:rsid w:val="00990479"/>
    <w:rsid w:val="00990F81"/>
    <w:rsid w:val="00991983"/>
    <w:rsid w:val="00991C76"/>
    <w:rsid w:val="00993A47"/>
    <w:rsid w:val="00993FE4"/>
    <w:rsid w:val="009955E0"/>
    <w:rsid w:val="00995EB4"/>
    <w:rsid w:val="0099625C"/>
    <w:rsid w:val="009964B1"/>
    <w:rsid w:val="009965C6"/>
    <w:rsid w:val="00996BBA"/>
    <w:rsid w:val="009970E7"/>
    <w:rsid w:val="00997179"/>
    <w:rsid w:val="0099750A"/>
    <w:rsid w:val="00997827"/>
    <w:rsid w:val="00997AB1"/>
    <w:rsid w:val="009A0EC0"/>
    <w:rsid w:val="009A1D94"/>
    <w:rsid w:val="009A2B44"/>
    <w:rsid w:val="009A2F97"/>
    <w:rsid w:val="009A3CEA"/>
    <w:rsid w:val="009A3FDC"/>
    <w:rsid w:val="009A42CA"/>
    <w:rsid w:val="009A4644"/>
    <w:rsid w:val="009A5471"/>
    <w:rsid w:val="009A58C5"/>
    <w:rsid w:val="009A5B90"/>
    <w:rsid w:val="009A645A"/>
    <w:rsid w:val="009A6EF8"/>
    <w:rsid w:val="009A6F5A"/>
    <w:rsid w:val="009A7F89"/>
    <w:rsid w:val="009B0404"/>
    <w:rsid w:val="009B0FF2"/>
    <w:rsid w:val="009B128C"/>
    <w:rsid w:val="009B1701"/>
    <w:rsid w:val="009B18B8"/>
    <w:rsid w:val="009B1D03"/>
    <w:rsid w:val="009B2141"/>
    <w:rsid w:val="009B36B9"/>
    <w:rsid w:val="009B36D3"/>
    <w:rsid w:val="009B4AF4"/>
    <w:rsid w:val="009B554F"/>
    <w:rsid w:val="009B58A8"/>
    <w:rsid w:val="009B5A0A"/>
    <w:rsid w:val="009B5D45"/>
    <w:rsid w:val="009B5F9C"/>
    <w:rsid w:val="009B662E"/>
    <w:rsid w:val="009B6D58"/>
    <w:rsid w:val="009B6F22"/>
    <w:rsid w:val="009B71A1"/>
    <w:rsid w:val="009B77B6"/>
    <w:rsid w:val="009B79BE"/>
    <w:rsid w:val="009C023D"/>
    <w:rsid w:val="009C04AF"/>
    <w:rsid w:val="009C0838"/>
    <w:rsid w:val="009C1325"/>
    <w:rsid w:val="009C1433"/>
    <w:rsid w:val="009C1750"/>
    <w:rsid w:val="009C1D79"/>
    <w:rsid w:val="009C1EBD"/>
    <w:rsid w:val="009C315C"/>
    <w:rsid w:val="009C6052"/>
    <w:rsid w:val="009C611E"/>
    <w:rsid w:val="009C6349"/>
    <w:rsid w:val="009C6876"/>
    <w:rsid w:val="009C6A69"/>
    <w:rsid w:val="009C6E76"/>
    <w:rsid w:val="009C7A03"/>
    <w:rsid w:val="009C7A81"/>
    <w:rsid w:val="009C7F5E"/>
    <w:rsid w:val="009D04D7"/>
    <w:rsid w:val="009D1C1F"/>
    <w:rsid w:val="009D28F1"/>
    <w:rsid w:val="009D2D63"/>
    <w:rsid w:val="009D2D99"/>
    <w:rsid w:val="009D3050"/>
    <w:rsid w:val="009D3280"/>
    <w:rsid w:val="009D4620"/>
    <w:rsid w:val="009D4656"/>
    <w:rsid w:val="009D5546"/>
    <w:rsid w:val="009D5815"/>
    <w:rsid w:val="009D6D10"/>
    <w:rsid w:val="009D7E48"/>
    <w:rsid w:val="009E0261"/>
    <w:rsid w:val="009E07FC"/>
    <w:rsid w:val="009E10C9"/>
    <w:rsid w:val="009E178E"/>
    <w:rsid w:val="009E1D43"/>
    <w:rsid w:val="009E275C"/>
    <w:rsid w:val="009E2E13"/>
    <w:rsid w:val="009E31B0"/>
    <w:rsid w:val="009E34CB"/>
    <w:rsid w:val="009E35DB"/>
    <w:rsid w:val="009E36FD"/>
    <w:rsid w:val="009E3E10"/>
    <w:rsid w:val="009E3FE4"/>
    <w:rsid w:val="009E4104"/>
    <w:rsid w:val="009E4B34"/>
    <w:rsid w:val="009E4C43"/>
    <w:rsid w:val="009E4D39"/>
    <w:rsid w:val="009E55DF"/>
    <w:rsid w:val="009E5B35"/>
    <w:rsid w:val="009E65F6"/>
    <w:rsid w:val="009E660A"/>
    <w:rsid w:val="009E6B1A"/>
    <w:rsid w:val="009E799F"/>
    <w:rsid w:val="009E7BF7"/>
    <w:rsid w:val="009E7FB8"/>
    <w:rsid w:val="009F03A6"/>
    <w:rsid w:val="009F042E"/>
    <w:rsid w:val="009F0A88"/>
    <w:rsid w:val="009F0B1C"/>
    <w:rsid w:val="009F0E9B"/>
    <w:rsid w:val="009F2E32"/>
    <w:rsid w:val="009F310A"/>
    <w:rsid w:val="009F45A1"/>
    <w:rsid w:val="009F4B4F"/>
    <w:rsid w:val="009F4F24"/>
    <w:rsid w:val="009F5438"/>
    <w:rsid w:val="009F6D0E"/>
    <w:rsid w:val="009F70E3"/>
    <w:rsid w:val="00A00084"/>
    <w:rsid w:val="00A01230"/>
    <w:rsid w:val="00A01AA8"/>
    <w:rsid w:val="00A01ECB"/>
    <w:rsid w:val="00A020BB"/>
    <w:rsid w:val="00A0229A"/>
    <w:rsid w:val="00A028B0"/>
    <w:rsid w:val="00A02A10"/>
    <w:rsid w:val="00A02CC3"/>
    <w:rsid w:val="00A02D52"/>
    <w:rsid w:val="00A02FF1"/>
    <w:rsid w:val="00A0384B"/>
    <w:rsid w:val="00A03875"/>
    <w:rsid w:val="00A0500C"/>
    <w:rsid w:val="00A05B72"/>
    <w:rsid w:val="00A06C0B"/>
    <w:rsid w:val="00A0751E"/>
    <w:rsid w:val="00A07628"/>
    <w:rsid w:val="00A07776"/>
    <w:rsid w:val="00A07A68"/>
    <w:rsid w:val="00A07DE7"/>
    <w:rsid w:val="00A07E45"/>
    <w:rsid w:val="00A10E02"/>
    <w:rsid w:val="00A11485"/>
    <w:rsid w:val="00A116F2"/>
    <w:rsid w:val="00A1208A"/>
    <w:rsid w:val="00A12187"/>
    <w:rsid w:val="00A12446"/>
    <w:rsid w:val="00A12747"/>
    <w:rsid w:val="00A12B75"/>
    <w:rsid w:val="00A12C56"/>
    <w:rsid w:val="00A12C8B"/>
    <w:rsid w:val="00A1355C"/>
    <w:rsid w:val="00A13E62"/>
    <w:rsid w:val="00A13E77"/>
    <w:rsid w:val="00A1434B"/>
    <w:rsid w:val="00A156C5"/>
    <w:rsid w:val="00A15ADD"/>
    <w:rsid w:val="00A16688"/>
    <w:rsid w:val="00A168E6"/>
    <w:rsid w:val="00A16EC4"/>
    <w:rsid w:val="00A171E1"/>
    <w:rsid w:val="00A17BF6"/>
    <w:rsid w:val="00A17E5F"/>
    <w:rsid w:val="00A20444"/>
    <w:rsid w:val="00A20806"/>
    <w:rsid w:val="00A21826"/>
    <w:rsid w:val="00A21D23"/>
    <w:rsid w:val="00A23688"/>
    <w:rsid w:val="00A2425D"/>
    <w:rsid w:val="00A245CD"/>
    <w:rsid w:val="00A249C5"/>
    <w:rsid w:val="00A2519B"/>
    <w:rsid w:val="00A258C6"/>
    <w:rsid w:val="00A25C95"/>
    <w:rsid w:val="00A25DA2"/>
    <w:rsid w:val="00A262B4"/>
    <w:rsid w:val="00A26E22"/>
    <w:rsid w:val="00A26E7E"/>
    <w:rsid w:val="00A26FB7"/>
    <w:rsid w:val="00A27208"/>
    <w:rsid w:val="00A277AA"/>
    <w:rsid w:val="00A30D78"/>
    <w:rsid w:val="00A30EBD"/>
    <w:rsid w:val="00A3177A"/>
    <w:rsid w:val="00A321EE"/>
    <w:rsid w:val="00A32346"/>
    <w:rsid w:val="00A32617"/>
    <w:rsid w:val="00A32CC0"/>
    <w:rsid w:val="00A3337D"/>
    <w:rsid w:val="00A352FC"/>
    <w:rsid w:val="00A36120"/>
    <w:rsid w:val="00A362E9"/>
    <w:rsid w:val="00A36520"/>
    <w:rsid w:val="00A369CF"/>
    <w:rsid w:val="00A36E61"/>
    <w:rsid w:val="00A400CD"/>
    <w:rsid w:val="00A4185B"/>
    <w:rsid w:val="00A4187A"/>
    <w:rsid w:val="00A424ED"/>
    <w:rsid w:val="00A42B23"/>
    <w:rsid w:val="00A42EBB"/>
    <w:rsid w:val="00A4374E"/>
    <w:rsid w:val="00A44825"/>
    <w:rsid w:val="00A44B93"/>
    <w:rsid w:val="00A45204"/>
    <w:rsid w:val="00A455D2"/>
    <w:rsid w:val="00A46CF1"/>
    <w:rsid w:val="00A46EBC"/>
    <w:rsid w:val="00A47AA8"/>
    <w:rsid w:val="00A47BF3"/>
    <w:rsid w:val="00A47F48"/>
    <w:rsid w:val="00A50495"/>
    <w:rsid w:val="00A509B1"/>
    <w:rsid w:val="00A53A04"/>
    <w:rsid w:val="00A545DF"/>
    <w:rsid w:val="00A551D7"/>
    <w:rsid w:val="00A5530A"/>
    <w:rsid w:val="00A55376"/>
    <w:rsid w:val="00A55395"/>
    <w:rsid w:val="00A55773"/>
    <w:rsid w:val="00A55EF0"/>
    <w:rsid w:val="00A56775"/>
    <w:rsid w:val="00A56F12"/>
    <w:rsid w:val="00A56F7A"/>
    <w:rsid w:val="00A570D8"/>
    <w:rsid w:val="00A5736D"/>
    <w:rsid w:val="00A5763E"/>
    <w:rsid w:val="00A57CEA"/>
    <w:rsid w:val="00A603B3"/>
    <w:rsid w:val="00A60B78"/>
    <w:rsid w:val="00A61B92"/>
    <w:rsid w:val="00A6206B"/>
    <w:rsid w:val="00A623D4"/>
    <w:rsid w:val="00A627E6"/>
    <w:rsid w:val="00A632A9"/>
    <w:rsid w:val="00A63B56"/>
    <w:rsid w:val="00A64A97"/>
    <w:rsid w:val="00A64D7D"/>
    <w:rsid w:val="00A64EC1"/>
    <w:rsid w:val="00A65339"/>
    <w:rsid w:val="00A6542B"/>
    <w:rsid w:val="00A65B21"/>
    <w:rsid w:val="00A66694"/>
    <w:rsid w:val="00A66A79"/>
    <w:rsid w:val="00A70041"/>
    <w:rsid w:val="00A70044"/>
    <w:rsid w:val="00A704F8"/>
    <w:rsid w:val="00A70B61"/>
    <w:rsid w:val="00A70E51"/>
    <w:rsid w:val="00A71040"/>
    <w:rsid w:val="00A719C6"/>
    <w:rsid w:val="00A72263"/>
    <w:rsid w:val="00A7230A"/>
    <w:rsid w:val="00A723F5"/>
    <w:rsid w:val="00A7242D"/>
    <w:rsid w:val="00A72496"/>
    <w:rsid w:val="00A7255F"/>
    <w:rsid w:val="00A72BFD"/>
    <w:rsid w:val="00A73629"/>
    <w:rsid w:val="00A73AF6"/>
    <w:rsid w:val="00A73EDD"/>
    <w:rsid w:val="00A743B8"/>
    <w:rsid w:val="00A75679"/>
    <w:rsid w:val="00A76055"/>
    <w:rsid w:val="00A76C91"/>
    <w:rsid w:val="00A76D96"/>
    <w:rsid w:val="00A778BB"/>
    <w:rsid w:val="00A80AFA"/>
    <w:rsid w:val="00A80B5F"/>
    <w:rsid w:val="00A819EF"/>
    <w:rsid w:val="00A828F1"/>
    <w:rsid w:val="00A82A8E"/>
    <w:rsid w:val="00A837A6"/>
    <w:rsid w:val="00A85360"/>
    <w:rsid w:val="00A857D1"/>
    <w:rsid w:val="00A8582E"/>
    <w:rsid w:val="00A85AC5"/>
    <w:rsid w:val="00A86181"/>
    <w:rsid w:val="00A87FF2"/>
    <w:rsid w:val="00A926D4"/>
    <w:rsid w:val="00A92758"/>
    <w:rsid w:val="00A93822"/>
    <w:rsid w:val="00A93C57"/>
    <w:rsid w:val="00A93F14"/>
    <w:rsid w:val="00A945F7"/>
    <w:rsid w:val="00A946DA"/>
    <w:rsid w:val="00A9470C"/>
    <w:rsid w:val="00A959D5"/>
    <w:rsid w:val="00A965AA"/>
    <w:rsid w:val="00A96653"/>
    <w:rsid w:val="00A96ACA"/>
    <w:rsid w:val="00A96FCC"/>
    <w:rsid w:val="00A97367"/>
    <w:rsid w:val="00A97414"/>
    <w:rsid w:val="00A97488"/>
    <w:rsid w:val="00AA093D"/>
    <w:rsid w:val="00AA09D3"/>
    <w:rsid w:val="00AA0B79"/>
    <w:rsid w:val="00AA15A3"/>
    <w:rsid w:val="00AA25C7"/>
    <w:rsid w:val="00AA2880"/>
    <w:rsid w:val="00AA3037"/>
    <w:rsid w:val="00AA30BB"/>
    <w:rsid w:val="00AA3162"/>
    <w:rsid w:val="00AA3464"/>
    <w:rsid w:val="00AA354A"/>
    <w:rsid w:val="00AA4099"/>
    <w:rsid w:val="00AA4708"/>
    <w:rsid w:val="00AA5232"/>
    <w:rsid w:val="00AA5471"/>
    <w:rsid w:val="00AA67A4"/>
    <w:rsid w:val="00AA6EF4"/>
    <w:rsid w:val="00AA6F54"/>
    <w:rsid w:val="00AA70D7"/>
    <w:rsid w:val="00AA7C0E"/>
    <w:rsid w:val="00AB0740"/>
    <w:rsid w:val="00AB0BCA"/>
    <w:rsid w:val="00AB15E3"/>
    <w:rsid w:val="00AB182D"/>
    <w:rsid w:val="00AB235F"/>
    <w:rsid w:val="00AB3590"/>
    <w:rsid w:val="00AB369F"/>
    <w:rsid w:val="00AB5404"/>
    <w:rsid w:val="00AB57E7"/>
    <w:rsid w:val="00AB58A1"/>
    <w:rsid w:val="00AB7D56"/>
    <w:rsid w:val="00AC0036"/>
    <w:rsid w:val="00AC2542"/>
    <w:rsid w:val="00AC2703"/>
    <w:rsid w:val="00AC3747"/>
    <w:rsid w:val="00AC431F"/>
    <w:rsid w:val="00AC57A9"/>
    <w:rsid w:val="00AC697B"/>
    <w:rsid w:val="00AC6B6C"/>
    <w:rsid w:val="00AC6BB5"/>
    <w:rsid w:val="00AC6D50"/>
    <w:rsid w:val="00AD03EE"/>
    <w:rsid w:val="00AD059A"/>
    <w:rsid w:val="00AD0996"/>
    <w:rsid w:val="00AD0B0E"/>
    <w:rsid w:val="00AD0D1F"/>
    <w:rsid w:val="00AD0F93"/>
    <w:rsid w:val="00AD0FFD"/>
    <w:rsid w:val="00AD1121"/>
    <w:rsid w:val="00AD12F1"/>
    <w:rsid w:val="00AD14DD"/>
    <w:rsid w:val="00AD1ADD"/>
    <w:rsid w:val="00AD25E1"/>
    <w:rsid w:val="00AD2A3B"/>
    <w:rsid w:val="00AD2A5F"/>
    <w:rsid w:val="00AD3260"/>
    <w:rsid w:val="00AD3B5C"/>
    <w:rsid w:val="00AD4A4B"/>
    <w:rsid w:val="00AD4E4A"/>
    <w:rsid w:val="00AD5093"/>
    <w:rsid w:val="00AD5403"/>
    <w:rsid w:val="00AD5F1F"/>
    <w:rsid w:val="00AD6586"/>
    <w:rsid w:val="00AD6A2D"/>
    <w:rsid w:val="00AD6C92"/>
    <w:rsid w:val="00AD7462"/>
    <w:rsid w:val="00AD77D0"/>
    <w:rsid w:val="00AE043E"/>
    <w:rsid w:val="00AE0AE8"/>
    <w:rsid w:val="00AE1C3D"/>
    <w:rsid w:val="00AE2128"/>
    <w:rsid w:val="00AE2E39"/>
    <w:rsid w:val="00AE3EB0"/>
    <w:rsid w:val="00AE479E"/>
    <w:rsid w:val="00AE4BEE"/>
    <w:rsid w:val="00AE576D"/>
    <w:rsid w:val="00AE5863"/>
    <w:rsid w:val="00AE5872"/>
    <w:rsid w:val="00AE76DF"/>
    <w:rsid w:val="00AE7DCE"/>
    <w:rsid w:val="00AE7E62"/>
    <w:rsid w:val="00AF01AB"/>
    <w:rsid w:val="00AF0B64"/>
    <w:rsid w:val="00AF0BB4"/>
    <w:rsid w:val="00AF109A"/>
    <w:rsid w:val="00AF147D"/>
    <w:rsid w:val="00AF17E1"/>
    <w:rsid w:val="00AF23E8"/>
    <w:rsid w:val="00AF2476"/>
    <w:rsid w:val="00AF25D0"/>
    <w:rsid w:val="00AF271E"/>
    <w:rsid w:val="00AF2EAA"/>
    <w:rsid w:val="00AF311E"/>
    <w:rsid w:val="00AF322E"/>
    <w:rsid w:val="00AF33AB"/>
    <w:rsid w:val="00AF3ED2"/>
    <w:rsid w:val="00AF4160"/>
    <w:rsid w:val="00AF41B1"/>
    <w:rsid w:val="00AF5F44"/>
    <w:rsid w:val="00AF6529"/>
    <w:rsid w:val="00AF67C9"/>
    <w:rsid w:val="00AF699C"/>
    <w:rsid w:val="00AF7481"/>
    <w:rsid w:val="00AF78FC"/>
    <w:rsid w:val="00AF7A9D"/>
    <w:rsid w:val="00AF7C1F"/>
    <w:rsid w:val="00B006DF"/>
    <w:rsid w:val="00B01538"/>
    <w:rsid w:val="00B02548"/>
    <w:rsid w:val="00B02DD6"/>
    <w:rsid w:val="00B04535"/>
    <w:rsid w:val="00B05B15"/>
    <w:rsid w:val="00B05B86"/>
    <w:rsid w:val="00B06619"/>
    <w:rsid w:val="00B06825"/>
    <w:rsid w:val="00B06DD3"/>
    <w:rsid w:val="00B0770C"/>
    <w:rsid w:val="00B102EE"/>
    <w:rsid w:val="00B10782"/>
    <w:rsid w:val="00B10D1B"/>
    <w:rsid w:val="00B11416"/>
    <w:rsid w:val="00B1159A"/>
    <w:rsid w:val="00B11658"/>
    <w:rsid w:val="00B11FC8"/>
    <w:rsid w:val="00B12BAD"/>
    <w:rsid w:val="00B131A9"/>
    <w:rsid w:val="00B15363"/>
    <w:rsid w:val="00B1544B"/>
    <w:rsid w:val="00B1646B"/>
    <w:rsid w:val="00B169DC"/>
    <w:rsid w:val="00B173AE"/>
    <w:rsid w:val="00B17A36"/>
    <w:rsid w:val="00B17D32"/>
    <w:rsid w:val="00B17F61"/>
    <w:rsid w:val="00B2000F"/>
    <w:rsid w:val="00B202FD"/>
    <w:rsid w:val="00B212B7"/>
    <w:rsid w:val="00B21C2B"/>
    <w:rsid w:val="00B22A54"/>
    <w:rsid w:val="00B2329E"/>
    <w:rsid w:val="00B234B0"/>
    <w:rsid w:val="00B23706"/>
    <w:rsid w:val="00B23B9F"/>
    <w:rsid w:val="00B246A4"/>
    <w:rsid w:val="00B255D1"/>
    <w:rsid w:val="00B256F9"/>
    <w:rsid w:val="00B25728"/>
    <w:rsid w:val="00B269EE"/>
    <w:rsid w:val="00B26A37"/>
    <w:rsid w:val="00B26C66"/>
    <w:rsid w:val="00B26ED4"/>
    <w:rsid w:val="00B27FB3"/>
    <w:rsid w:val="00B3031D"/>
    <w:rsid w:val="00B30C91"/>
    <w:rsid w:val="00B312A4"/>
    <w:rsid w:val="00B3185D"/>
    <w:rsid w:val="00B31F16"/>
    <w:rsid w:val="00B3251F"/>
    <w:rsid w:val="00B32635"/>
    <w:rsid w:val="00B32CC7"/>
    <w:rsid w:val="00B3398A"/>
    <w:rsid w:val="00B33A79"/>
    <w:rsid w:val="00B33F3D"/>
    <w:rsid w:val="00B34736"/>
    <w:rsid w:val="00B35582"/>
    <w:rsid w:val="00B357B4"/>
    <w:rsid w:val="00B3581D"/>
    <w:rsid w:val="00B36670"/>
    <w:rsid w:val="00B36A28"/>
    <w:rsid w:val="00B370B9"/>
    <w:rsid w:val="00B377BF"/>
    <w:rsid w:val="00B37832"/>
    <w:rsid w:val="00B37F89"/>
    <w:rsid w:val="00B404AA"/>
    <w:rsid w:val="00B406A5"/>
    <w:rsid w:val="00B40774"/>
    <w:rsid w:val="00B41776"/>
    <w:rsid w:val="00B418A7"/>
    <w:rsid w:val="00B4192C"/>
    <w:rsid w:val="00B41F6E"/>
    <w:rsid w:val="00B42221"/>
    <w:rsid w:val="00B42666"/>
    <w:rsid w:val="00B43113"/>
    <w:rsid w:val="00B432BA"/>
    <w:rsid w:val="00B43B33"/>
    <w:rsid w:val="00B44911"/>
    <w:rsid w:val="00B4590B"/>
    <w:rsid w:val="00B4634C"/>
    <w:rsid w:val="00B463B5"/>
    <w:rsid w:val="00B4662D"/>
    <w:rsid w:val="00B467EC"/>
    <w:rsid w:val="00B4759A"/>
    <w:rsid w:val="00B47E16"/>
    <w:rsid w:val="00B47EB5"/>
    <w:rsid w:val="00B50102"/>
    <w:rsid w:val="00B50D3C"/>
    <w:rsid w:val="00B5193B"/>
    <w:rsid w:val="00B529B7"/>
    <w:rsid w:val="00B5317A"/>
    <w:rsid w:val="00B53602"/>
    <w:rsid w:val="00B536DE"/>
    <w:rsid w:val="00B557E1"/>
    <w:rsid w:val="00B559A2"/>
    <w:rsid w:val="00B55D88"/>
    <w:rsid w:val="00B56031"/>
    <w:rsid w:val="00B56EC4"/>
    <w:rsid w:val="00B5781B"/>
    <w:rsid w:val="00B5785A"/>
    <w:rsid w:val="00B61162"/>
    <w:rsid w:val="00B61AD9"/>
    <w:rsid w:val="00B61DB5"/>
    <w:rsid w:val="00B62003"/>
    <w:rsid w:val="00B62043"/>
    <w:rsid w:val="00B623C1"/>
    <w:rsid w:val="00B638B3"/>
    <w:rsid w:val="00B63CFD"/>
    <w:rsid w:val="00B64046"/>
    <w:rsid w:val="00B64C25"/>
    <w:rsid w:val="00B66511"/>
    <w:rsid w:val="00B66EE9"/>
    <w:rsid w:val="00B674EF"/>
    <w:rsid w:val="00B67BF2"/>
    <w:rsid w:val="00B703AB"/>
    <w:rsid w:val="00B70672"/>
    <w:rsid w:val="00B709EB"/>
    <w:rsid w:val="00B72188"/>
    <w:rsid w:val="00B72E4C"/>
    <w:rsid w:val="00B73338"/>
    <w:rsid w:val="00B743CC"/>
    <w:rsid w:val="00B75413"/>
    <w:rsid w:val="00B759FB"/>
    <w:rsid w:val="00B75D4D"/>
    <w:rsid w:val="00B75E26"/>
    <w:rsid w:val="00B76A25"/>
    <w:rsid w:val="00B76A8B"/>
    <w:rsid w:val="00B772E8"/>
    <w:rsid w:val="00B77794"/>
    <w:rsid w:val="00B7787C"/>
    <w:rsid w:val="00B8106B"/>
    <w:rsid w:val="00B81749"/>
    <w:rsid w:val="00B81CAB"/>
    <w:rsid w:val="00B82A47"/>
    <w:rsid w:val="00B83C4F"/>
    <w:rsid w:val="00B83D10"/>
    <w:rsid w:val="00B84530"/>
    <w:rsid w:val="00B845A8"/>
    <w:rsid w:val="00B84B11"/>
    <w:rsid w:val="00B855D6"/>
    <w:rsid w:val="00B861BC"/>
    <w:rsid w:val="00B8643D"/>
    <w:rsid w:val="00B869D2"/>
    <w:rsid w:val="00B87973"/>
    <w:rsid w:val="00B90717"/>
    <w:rsid w:val="00B90BE7"/>
    <w:rsid w:val="00B9155A"/>
    <w:rsid w:val="00B91818"/>
    <w:rsid w:val="00B91D3F"/>
    <w:rsid w:val="00B92B8A"/>
    <w:rsid w:val="00B932C0"/>
    <w:rsid w:val="00B9365B"/>
    <w:rsid w:val="00B944CD"/>
    <w:rsid w:val="00B946A3"/>
    <w:rsid w:val="00B94A47"/>
    <w:rsid w:val="00B95979"/>
    <w:rsid w:val="00B96377"/>
    <w:rsid w:val="00B9676B"/>
    <w:rsid w:val="00B967FA"/>
    <w:rsid w:val="00B972B3"/>
    <w:rsid w:val="00B97303"/>
    <w:rsid w:val="00B9788E"/>
    <w:rsid w:val="00B97D20"/>
    <w:rsid w:val="00B97D6F"/>
    <w:rsid w:val="00BA04DA"/>
    <w:rsid w:val="00BA04EE"/>
    <w:rsid w:val="00BA0503"/>
    <w:rsid w:val="00BA085D"/>
    <w:rsid w:val="00BA0EC5"/>
    <w:rsid w:val="00BA10A1"/>
    <w:rsid w:val="00BA13A1"/>
    <w:rsid w:val="00BA1682"/>
    <w:rsid w:val="00BA18D8"/>
    <w:rsid w:val="00BA1C39"/>
    <w:rsid w:val="00BA235E"/>
    <w:rsid w:val="00BA253A"/>
    <w:rsid w:val="00BA26E3"/>
    <w:rsid w:val="00BA275F"/>
    <w:rsid w:val="00BA2918"/>
    <w:rsid w:val="00BA311C"/>
    <w:rsid w:val="00BA45DE"/>
    <w:rsid w:val="00BA4780"/>
    <w:rsid w:val="00BA5BF9"/>
    <w:rsid w:val="00BA619F"/>
    <w:rsid w:val="00BA6246"/>
    <w:rsid w:val="00BA64B9"/>
    <w:rsid w:val="00BA7059"/>
    <w:rsid w:val="00BA7B70"/>
    <w:rsid w:val="00BB243F"/>
    <w:rsid w:val="00BB2642"/>
    <w:rsid w:val="00BB2785"/>
    <w:rsid w:val="00BB34AB"/>
    <w:rsid w:val="00BB3590"/>
    <w:rsid w:val="00BB486A"/>
    <w:rsid w:val="00BB55C3"/>
    <w:rsid w:val="00BB5DED"/>
    <w:rsid w:val="00BB62CA"/>
    <w:rsid w:val="00BB6A23"/>
    <w:rsid w:val="00BB6D01"/>
    <w:rsid w:val="00BB6D0D"/>
    <w:rsid w:val="00BB7C5E"/>
    <w:rsid w:val="00BB7E2E"/>
    <w:rsid w:val="00BC06F1"/>
    <w:rsid w:val="00BC0BF2"/>
    <w:rsid w:val="00BC0E59"/>
    <w:rsid w:val="00BC1AF2"/>
    <w:rsid w:val="00BC1CA3"/>
    <w:rsid w:val="00BC1F45"/>
    <w:rsid w:val="00BC360D"/>
    <w:rsid w:val="00BC3FED"/>
    <w:rsid w:val="00BC48DD"/>
    <w:rsid w:val="00BC4A99"/>
    <w:rsid w:val="00BC537A"/>
    <w:rsid w:val="00BC7021"/>
    <w:rsid w:val="00BC788D"/>
    <w:rsid w:val="00BC7EF2"/>
    <w:rsid w:val="00BD009E"/>
    <w:rsid w:val="00BD015A"/>
    <w:rsid w:val="00BD0B04"/>
    <w:rsid w:val="00BD0F98"/>
    <w:rsid w:val="00BD100C"/>
    <w:rsid w:val="00BD1B1F"/>
    <w:rsid w:val="00BD1D40"/>
    <w:rsid w:val="00BD20BE"/>
    <w:rsid w:val="00BD24CC"/>
    <w:rsid w:val="00BD2B69"/>
    <w:rsid w:val="00BD2CC3"/>
    <w:rsid w:val="00BD3B96"/>
    <w:rsid w:val="00BD3F71"/>
    <w:rsid w:val="00BD3FE6"/>
    <w:rsid w:val="00BD4E49"/>
    <w:rsid w:val="00BD583D"/>
    <w:rsid w:val="00BD65B0"/>
    <w:rsid w:val="00BD6A34"/>
    <w:rsid w:val="00BD6B0A"/>
    <w:rsid w:val="00BD6B19"/>
    <w:rsid w:val="00BD6C50"/>
    <w:rsid w:val="00BD6F13"/>
    <w:rsid w:val="00BD7619"/>
    <w:rsid w:val="00BD7A53"/>
    <w:rsid w:val="00BE00C8"/>
    <w:rsid w:val="00BE0148"/>
    <w:rsid w:val="00BE06FF"/>
    <w:rsid w:val="00BE0AA9"/>
    <w:rsid w:val="00BE1265"/>
    <w:rsid w:val="00BE15DE"/>
    <w:rsid w:val="00BE1993"/>
    <w:rsid w:val="00BE2234"/>
    <w:rsid w:val="00BE25D3"/>
    <w:rsid w:val="00BE28D8"/>
    <w:rsid w:val="00BE2C96"/>
    <w:rsid w:val="00BE2E7C"/>
    <w:rsid w:val="00BE33CB"/>
    <w:rsid w:val="00BE3D6A"/>
    <w:rsid w:val="00BE3E9D"/>
    <w:rsid w:val="00BE509A"/>
    <w:rsid w:val="00BE5B4F"/>
    <w:rsid w:val="00BE68CE"/>
    <w:rsid w:val="00BE6911"/>
    <w:rsid w:val="00BE76B7"/>
    <w:rsid w:val="00BF0B8C"/>
    <w:rsid w:val="00BF1140"/>
    <w:rsid w:val="00BF197B"/>
    <w:rsid w:val="00BF1B2D"/>
    <w:rsid w:val="00BF1D39"/>
    <w:rsid w:val="00BF20FB"/>
    <w:rsid w:val="00BF24A2"/>
    <w:rsid w:val="00BF38DE"/>
    <w:rsid w:val="00BF3F39"/>
    <w:rsid w:val="00BF44A7"/>
    <w:rsid w:val="00BF4E6A"/>
    <w:rsid w:val="00BF503A"/>
    <w:rsid w:val="00BF568B"/>
    <w:rsid w:val="00BF57E9"/>
    <w:rsid w:val="00BF5FF2"/>
    <w:rsid w:val="00BF6CFB"/>
    <w:rsid w:val="00BF760D"/>
    <w:rsid w:val="00C0070B"/>
    <w:rsid w:val="00C008D9"/>
    <w:rsid w:val="00C00B14"/>
    <w:rsid w:val="00C00C29"/>
    <w:rsid w:val="00C00CCC"/>
    <w:rsid w:val="00C00F87"/>
    <w:rsid w:val="00C0110E"/>
    <w:rsid w:val="00C0290E"/>
    <w:rsid w:val="00C03CAF"/>
    <w:rsid w:val="00C04255"/>
    <w:rsid w:val="00C0475C"/>
    <w:rsid w:val="00C04CDE"/>
    <w:rsid w:val="00C05612"/>
    <w:rsid w:val="00C05B4B"/>
    <w:rsid w:val="00C05E44"/>
    <w:rsid w:val="00C0616D"/>
    <w:rsid w:val="00C07152"/>
    <w:rsid w:val="00C0726C"/>
    <w:rsid w:val="00C072F7"/>
    <w:rsid w:val="00C07471"/>
    <w:rsid w:val="00C07A23"/>
    <w:rsid w:val="00C07B61"/>
    <w:rsid w:val="00C1008A"/>
    <w:rsid w:val="00C100AE"/>
    <w:rsid w:val="00C1109D"/>
    <w:rsid w:val="00C111D6"/>
    <w:rsid w:val="00C11270"/>
    <w:rsid w:val="00C11853"/>
    <w:rsid w:val="00C1204D"/>
    <w:rsid w:val="00C124A9"/>
    <w:rsid w:val="00C1284B"/>
    <w:rsid w:val="00C12C9C"/>
    <w:rsid w:val="00C12DFA"/>
    <w:rsid w:val="00C13D85"/>
    <w:rsid w:val="00C141BC"/>
    <w:rsid w:val="00C150F5"/>
    <w:rsid w:val="00C151C8"/>
    <w:rsid w:val="00C15515"/>
    <w:rsid w:val="00C15C86"/>
    <w:rsid w:val="00C15C8B"/>
    <w:rsid w:val="00C15C9B"/>
    <w:rsid w:val="00C16681"/>
    <w:rsid w:val="00C1758A"/>
    <w:rsid w:val="00C17F10"/>
    <w:rsid w:val="00C2000E"/>
    <w:rsid w:val="00C207E7"/>
    <w:rsid w:val="00C2172C"/>
    <w:rsid w:val="00C218E2"/>
    <w:rsid w:val="00C21931"/>
    <w:rsid w:val="00C21945"/>
    <w:rsid w:val="00C222B0"/>
    <w:rsid w:val="00C22517"/>
    <w:rsid w:val="00C22612"/>
    <w:rsid w:val="00C22D56"/>
    <w:rsid w:val="00C22F3F"/>
    <w:rsid w:val="00C234B2"/>
    <w:rsid w:val="00C234D2"/>
    <w:rsid w:val="00C23D7A"/>
    <w:rsid w:val="00C241E8"/>
    <w:rsid w:val="00C24F8D"/>
    <w:rsid w:val="00C2539F"/>
    <w:rsid w:val="00C25748"/>
    <w:rsid w:val="00C26A61"/>
    <w:rsid w:val="00C26DE5"/>
    <w:rsid w:val="00C3056D"/>
    <w:rsid w:val="00C308DF"/>
    <w:rsid w:val="00C316AD"/>
    <w:rsid w:val="00C31EE1"/>
    <w:rsid w:val="00C31EE7"/>
    <w:rsid w:val="00C32114"/>
    <w:rsid w:val="00C32C0E"/>
    <w:rsid w:val="00C33B00"/>
    <w:rsid w:val="00C34BEE"/>
    <w:rsid w:val="00C35AE0"/>
    <w:rsid w:val="00C35D32"/>
    <w:rsid w:val="00C36418"/>
    <w:rsid w:val="00C367B3"/>
    <w:rsid w:val="00C36A68"/>
    <w:rsid w:val="00C36C74"/>
    <w:rsid w:val="00C36CAE"/>
    <w:rsid w:val="00C36CD6"/>
    <w:rsid w:val="00C37096"/>
    <w:rsid w:val="00C3729B"/>
    <w:rsid w:val="00C378AF"/>
    <w:rsid w:val="00C37E9A"/>
    <w:rsid w:val="00C37F40"/>
    <w:rsid w:val="00C4086F"/>
    <w:rsid w:val="00C40A81"/>
    <w:rsid w:val="00C40B8F"/>
    <w:rsid w:val="00C40BD7"/>
    <w:rsid w:val="00C41AD2"/>
    <w:rsid w:val="00C41E9C"/>
    <w:rsid w:val="00C42B03"/>
    <w:rsid w:val="00C436CA"/>
    <w:rsid w:val="00C43885"/>
    <w:rsid w:val="00C4395B"/>
    <w:rsid w:val="00C43E31"/>
    <w:rsid w:val="00C44D1E"/>
    <w:rsid w:val="00C44EC7"/>
    <w:rsid w:val="00C456C9"/>
    <w:rsid w:val="00C45A12"/>
    <w:rsid w:val="00C461AD"/>
    <w:rsid w:val="00C46538"/>
    <w:rsid w:val="00C4658D"/>
    <w:rsid w:val="00C46842"/>
    <w:rsid w:val="00C46A39"/>
    <w:rsid w:val="00C46E9B"/>
    <w:rsid w:val="00C47D57"/>
    <w:rsid w:val="00C506AA"/>
    <w:rsid w:val="00C506B2"/>
    <w:rsid w:val="00C50B87"/>
    <w:rsid w:val="00C51C5D"/>
    <w:rsid w:val="00C53578"/>
    <w:rsid w:val="00C53C1F"/>
    <w:rsid w:val="00C53EF5"/>
    <w:rsid w:val="00C5404C"/>
    <w:rsid w:val="00C540BA"/>
    <w:rsid w:val="00C54DE1"/>
    <w:rsid w:val="00C54E33"/>
    <w:rsid w:val="00C55278"/>
    <w:rsid w:val="00C554D7"/>
    <w:rsid w:val="00C560F1"/>
    <w:rsid w:val="00C57650"/>
    <w:rsid w:val="00C57802"/>
    <w:rsid w:val="00C578B2"/>
    <w:rsid w:val="00C57B4A"/>
    <w:rsid w:val="00C57E32"/>
    <w:rsid w:val="00C60D51"/>
    <w:rsid w:val="00C61B40"/>
    <w:rsid w:val="00C61B46"/>
    <w:rsid w:val="00C62933"/>
    <w:rsid w:val="00C63608"/>
    <w:rsid w:val="00C63826"/>
    <w:rsid w:val="00C642A3"/>
    <w:rsid w:val="00C6435E"/>
    <w:rsid w:val="00C64589"/>
    <w:rsid w:val="00C645CC"/>
    <w:rsid w:val="00C646E0"/>
    <w:rsid w:val="00C65164"/>
    <w:rsid w:val="00C661F4"/>
    <w:rsid w:val="00C67CD9"/>
    <w:rsid w:val="00C700AD"/>
    <w:rsid w:val="00C70E45"/>
    <w:rsid w:val="00C72495"/>
    <w:rsid w:val="00C72D69"/>
    <w:rsid w:val="00C73082"/>
    <w:rsid w:val="00C73208"/>
    <w:rsid w:val="00C73D51"/>
    <w:rsid w:val="00C74897"/>
    <w:rsid w:val="00C75192"/>
    <w:rsid w:val="00C75965"/>
    <w:rsid w:val="00C75A06"/>
    <w:rsid w:val="00C75BEF"/>
    <w:rsid w:val="00C75D6B"/>
    <w:rsid w:val="00C765FB"/>
    <w:rsid w:val="00C767C4"/>
    <w:rsid w:val="00C76ADC"/>
    <w:rsid w:val="00C76C2F"/>
    <w:rsid w:val="00C777EA"/>
    <w:rsid w:val="00C8007B"/>
    <w:rsid w:val="00C80C9D"/>
    <w:rsid w:val="00C8245F"/>
    <w:rsid w:val="00C82CEF"/>
    <w:rsid w:val="00C82EA2"/>
    <w:rsid w:val="00C8348E"/>
    <w:rsid w:val="00C84DFE"/>
    <w:rsid w:val="00C85016"/>
    <w:rsid w:val="00C85417"/>
    <w:rsid w:val="00C85543"/>
    <w:rsid w:val="00C855D1"/>
    <w:rsid w:val="00C86087"/>
    <w:rsid w:val="00C8617A"/>
    <w:rsid w:val="00C863B2"/>
    <w:rsid w:val="00C86784"/>
    <w:rsid w:val="00C86F7A"/>
    <w:rsid w:val="00C870B8"/>
    <w:rsid w:val="00C8724E"/>
    <w:rsid w:val="00C877E1"/>
    <w:rsid w:val="00C87C00"/>
    <w:rsid w:val="00C90743"/>
    <w:rsid w:val="00C90BBD"/>
    <w:rsid w:val="00C90BE7"/>
    <w:rsid w:val="00C90C92"/>
    <w:rsid w:val="00C9124F"/>
    <w:rsid w:val="00C912B0"/>
    <w:rsid w:val="00C92081"/>
    <w:rsid w:val="00C936C8"/>
    <w:rsid w:val="00C93E21"/>
    <w:rsid w:val="00C954F9"/>
    <w:rsid w:val="00C95714"/>
    <w:rsid w:val="00C958D3"/>
    <w:rsid w:val="00C95A9E"/>
    <w:rsid w:val="00C95CF4"/>
    <w:rsid w:val="00C95CF8"/>
    <w:rsid w:val="00C95D2B"/>
    <w:rsid w:val="00C961EB"/>
    <w:rsid w:val="00C97182"/>
    <w:rsid w:val="00CA1075"/>
    <w:rsid w:val="00CA1310"/>
    <w:rsid w:val="00CA1C56"/>
    <w:rsid w:val="00CA1D1C"/>
    <w:rsid w:val="00CA30AB"/>
    <w:rsid w:val="00CA3288"/>
    <w:rsid w:val="00CA392C"/>
    <w:rsid w:val="00CA3A4F"/>
    <w:rsid w:val="00CA41BB"/>
    <w:rsid w:val="00CA4B56"/>
    <w:rsid w:val="00CA5327"/>
    <w:rsid w:val="00CA5614"/>
    <w:rsid w:val="00CA5C17"/>
    <w:rsid w:val="00CA6F6E"/>
    <w:rsid w:val="00CA79E7"/>
    <w:rsid w:val="00CA7B83"/>
    <w:rsid w:val="00CA7D87"/>
    <w:rsid w:val="00CB01A7"/>
    <w:rsid w:val="00CB02CE"/>
    <w:rsid w:val="00CB0605"/>
    <w:rsid w:val="00CB09D5"/>
    <w:rsid w:val="00CB0B87"/>
    <w:rsid w:val="00CB0C3D"/>
    <w:rsid w:val="00CB17DE"/>
    <w:rsid w:val="00CB1BEC"/>
    <w:rsid w:val="00CB1C73"/>
    <w:rsid w:val="00CB20BE"/>
    <w:rsid w:val="00CB2A0A"/>
    <w:rsid w:val="00CB2AD0"/>
    <w:rsid w:val="00CB3061"/>
    <w:rsid w:val="00CB3123"/>
    <w:rsid w:val="00CB31FD"/>
    <w:rsid w:val="00CB3BBF"/>
    <w:rsid w:val="00CB408C"/>
    <w:rsid w:val="00CB4389"/>
    <w:rsid w:val="00CB4953"/>
    <w:rsid w:val="00CB4954"/>
    <w:rsid w:val="00CB4B33"/>
    <w:rsid w:val="00CB5D29"/>
    <w:rsid w:val="00CB5F6B"/>
    <w:rsid w:val="00CB6006"/>
    <w:rsid w:val="00CB60BA"/>
    <w:rsid w:val="00CB6245"/>
    <w:rsid w:val="00CB679D"/>
    <w:rsid w:val="00CB7559"/>
    <w:rsid w:val="00CC040E"/>
    <w:rsid w:val="00CC06ED"/>
    <w:rsid w:val="00CC0B65"/>
    <w:rsid w:val="00CC0C2B"/>
    <w:rsid w:val="00CC189B"/>
    <w:rsid w:val="00CC197E"/>
    <w:rsid w:val="00CC1B27"/>
    <w:rsid w:val="00CC2947"/>
    <w:rsid w:val="00CC2A2D"/>
    <w:rsid w:val="00CC3760"/>
    <w:rsid w:val="00CC3D68"/>
    <w:rsid w:val="00CC4014"/>
    <w:rsid w:val="00CC4497"/>
    <w:rsid w:val="00CC5684"/>
    <w:rsid w:val="00CC5ACA"/>
    <w:rsid w:val="00CC6808"/>
    <w:rsid w:val="00CC73F0"/>
    <w:rsid w:val="00CC7991"/>
    <w:rsid w:val="00CC7B8F"/>
    <w:rsid w:val="00CD02A2"/>
    <w:rsid w:val="00CD147C"/>
    <w:rsid w:val="00CD1911"/>
    <w:rsid w:val="00CD1B45"/>
    <w:rsid w:val="00CD306C"/>
    <w:rsid w:val="00CD3694"/>
    <w:rsid w:val="00CD4B39"/>
    <w:rsid w:val="00CD521D"/>
    <w:rsid w:val="00CD54A9"/>
    <w:rsid w:val="00CD563A"/>
    <w:rsid w:val="00CD566C"/>
    <w:rsid w:val="00CD56DA"/>
    <w:rsid w:val="00CD722A"/>
    <w:rsid w:val="00CE0AF3"/>
    <w:rsid w:val="00CE0BE4"/>
    <w:rsid w:val="00CE0F76"/>
    <w:rsid w:val="00CE118D"/>
    <w:rsid w:val="00CE1195"/>
    <w:rsid w:val="00CE26E4"/>
    <w:rsid w:val="00CE37C9"/>
    <w:rsid w:val="00CE3998"/>
    <w:rsid w:val="00CE41B9"/>
    <w:rsid w:val="00CE4225"/>
    <w:rsid w:val="00CE4398"/>
    <w:rsid w:val="00CE46DA"/>
    <w:rsid w:val="00CE593C"/>
    <w:rsid w:val="00CE5EA0"/>
    <w:rsid w:val="00CE60AF"/>
    <w:rsid w:val="00CF0793"/>
    <w:rsid w:val="00CF0B40"/>
    <w:rsid w:val="00CF0B52"/>
    <w:rsid w:val="00CF0F3E"/>
    <w:rsid w:val="00CF165F"/>
    <w:rsid w:val="00CF18E0"/>
    <w:rsid w:val="00CF2C60"/>
    <w:rsid w:val="00CF2C67"/>
    <w:rsid w:val="00CF3A80"/>
    <w:rsid w:val="00CF3D95"/>
    <w:rsid w:val="00CF3EE2"/>
    <w:rsid w:val="00CF413C"/>
    <w:rsid w:val="00CF428C"/>
    <w:rsid w:val="00CF4E24"/>
    <w:rsid w:val="00CF4FDE"/>
    <w:rsid w:val="00CF5138"/>
    <w:rsid w:val="00CF51FC"/>
    <w:rsid w:val="00CF5A19"/>
    <w:rsid w:val="00CF6D74"/>
    <w:rsid w:val="00CF713A"/>
    <w:rsid w:val="00CF7E2B"/>
    <w:rsid w:val="00CF7EF0"/>
    <w:rsid w:val="00D00D7E"/>
    <w:rsid w:val="00D01402"/>
    <w:rsid w:val="00D015FF"/>
    <w:rsid w:val="00D01A76"/>
    <w:rsid w:val="00D02248"/>
    <w:rsid w:val="00D02A42"/>
    <w:rsid w:val="00D02B08"/>
    <w:rsid w:val="00D031F4"/>
    <w:rsid w:val="00D033BC"/>
    <w:rsid w:val="00D03B6A"/>
    <w:rsid w:val="00D04375"/>
    <w:rsid w:val="00D04E3D"/>
    <w:rsid w:val="00D051FB"/>
    <w:rsid w:val="00D05782"/>
    <w:rsid w:val="00D06E2D"/>
    <w:rsid w:val="00D1087B"/>
    <w:rsid w:val="00D11D97"/>
    <w:rsid w:val="00D125C9"/>
    <w:rsid w:val="00D1275F"/>
    <w:rsid w:val="00D128DF"/>
    <w:rsid w:val="00D132C7"/>
    <w:rsid w:val="00D1452D"/>
    <w:rsid w:val="00D146CF"/>
    <w:rsid w:val="00D15900"/>
    <w:rsid w:val="00D15A72"/>
    <w:rsid w:val="00D16ABE"/>
    <w:rsid w:val="00D16AE9"/>
    <w:rsid w:val="00D16CB5"/>
    <w:rsid w:val="00D16E3D"/>
    <w:rsid w:val="00D17208"/>
    <w:rsid w:val="00D172FE"/>
    <w:rsid w:val="00D1736F"/>
    <w:rsid w:val="00D1770D"/>
    <w:rsid w:val="00D20A95"/>
    <w:rsid w:val="00D2115D"/>
    <w:rsid w:val="00D212C6"/>
    <w:rsid w:val="00D218C7"/>
    <w:rsid w:val="00D22075"/>
    <w:rsid w:val="00D22076"/>
    <w:rsid w:val="00D2262F"/>
    <w:rsid w:val="00D22815"/>
    <w:rsid w:val="00D234A0"/>
    <w:rsid w:val="00D23736"/>
    <w:rsid w:val="00D237B2"/>
    <w:rsid w:val="00D238D0"/>
    <w:rsid w:val="00D23A74"/>
    <w:rsid w:val="00D23BC0"/>
    <w:rsid w:val="00D23E51"/>
    <w:rsid w:val="00D247FF"/>
    <w:rsid w:val="00D2482B"/>
    <w:rsid w:val="00D24A8C"/>
    <w:rsid w:val="00D24BA0"/>
    <w:rsid w:val="00D267F9"/>
    <w:rsid w:val="00D26922"/>
    <w:rsid w:val="00D27452"/>
    <w:rsid w:val="00D277B6"/>
    <w:rsid w:val="00D27F80"/>
    <w:rsid w:val="00D3010E"/>
    <w:rsid w:val="00D303D1"/>
    <w:rsid w:val="00D30DBC"/>
    <w:rsid w:val="00D30F5B"/>
    <w:rsid w:val="00D31845"/>
    <w:rsid w:val="00D33226"/>
    <w:rsid w:val="00D3463C"/>
    <w:rsid w:val="00D347D8"/>
    <w:rsid w:val="00D34844"/>
    <w:rsid w:val="00D35350"/>
    <w:rsid w:val="00D35EE9"/>
    <w:rsid w:val="00D36324"/>
    <w:rsid w:val="00D369F9"/>
    <w:rsid w:val="00D36D41"/>
    <w:rsid w:val="00D36DFE"/>
    <w:rsid w:val="00D3769D"/>
    <w:rsid w:val="00D419AF"/>
    <w:rsid w:val="00D42012"/>
    <w:rsid w:val="00D422BF"/>
    <w:rsid w:val="00D43216"/>
    <w:rsid w:val="00D437B6"/>
    <w:rsid w:val="00D439A5"/>
    <w:rsid w:val="00D43D42"/>
    <w:rsid w:val="00D43F0F"/>
    <w:rsid w:val="00D44693"/>
    <w:rsid w:val="00D45B65"/>
    <w:rsid w:val="00D45D59"/>
    <w:rsid w:val="00D465C7"/>
    <w:rsid w:val="00D467E8"/>
    <w:rsid w:val="00D46F83"/>
    <w:rsid w:val="00D47703"/>
    <w:rsid w:val="00D50928"/>
    <w:rsid w:val="00D52A76"/>
    <w:rsid w:val="00D52D0F"/>
    <w:rsid w:val="00D53B98"/>
    <w:rsid w:val="00D53E1D"/>
    <w:rsid w:val="00D53F89"/>
    <w:rsid w:val="00D541DE"/>
    <w:rsid w:val="00D542E4"/>
    <w:rsid w:val="00D544D2"/>
    <w:rsid w:val="00D54BDF"/>
    <w:rsid w:val="00D55AF5"/>
    <w:rsid w:val="00D564AC"/>
    <w:rsid w:val="00D56E9F"/>
    <w:rsid w:val="00D57367"/>
    <w:rsid w:val="00D5774F"/>
    <w:rsid w:val="00D60111"/>
    <w:rsid w:val="00D60640"/>
    <w:rsid w:val="00D60F07"/>
    <w:rsid w:val="00D6102B"/>
    <w:rsid w:val="00D62ED7"/>
    <w:rsid w:val="00D6312F"/>
    <w:rsid w:val="00D63B71"/>
    <w:rsid w:val="00D653E0"/>
    <w:rsid w:val="00D66598"/>
    <w:rsid w:val="00D66716"/>
    <w:rsid w:val="00D66E08"/>
    <w:rsid w:val="00D6754C"/>
    <w:rsid w:val="00D67B20"/>
    <w:rsid w:val="00D67E41"/>
    <w:rsid w:val="00D67F9A"/>
    <w:rsid w:val="00D702E0"/>
    <w:rsid w:val="00D716D5"/>
    <w:rsid w:val="00D717D9"/>
    <w:rsid w:val="00D720E3"/>
    <w:rsid w:val="00D724C4"/>
    <w:rsid w:val="00D739E2"/>
    <w:rsid w:val="00D73BDB"/>
    <w:rsid w:val="00D73FBC"/>
    <w:rsid w:val="00D742CC"/>
    <w:rsid w:val="00D743D2"/>
    <w:rsid w:val="00D757C8"/>
    <w:rsid w:val="00D768B6"/>
    <w:rsid w:val="00D778C2"/>
    <w:rsid w:val="00D77906"/>
    <w:rsid w:val="00D803A8"/>
    <w:rsid w:val="00D80D4E"/>
    <w:rsid w:val="00D8142C"/>
    <w:rsid w:val="00D8154F"/>
    <w:rsid w:val="00D81DD1"/>
    <w:rsid w:val="00D81F79"/>
    <w:rsid w:val="00D8209D"/>
    <w:rsid w:val="00D829C1"/>
    <w:rsid w:val="00D8468B"/>
    <w:rsid w:val="00D84C85"/>
    <w:rsid w:val="00D84F55"/>
    <w:rsid w:val="00D84FFA"/>
    <w:rsid w:val="00D8505A"/>
    <w:rsid w:val="00D8528C"/>
    <w:rsid w:val="00D86293"/>
    <w:rsid w:val="00D8694A"/>
    <w:rsid w:val="00D86B25"/>
    <w:rsid w:val="00D86E1A"/>
    <w:rsid w:val="00D87A17"/>
    <w:rsid w:val="00D87FD3"/>
    <w:rsid w:val="00D903DE"/>
    <w:rsid w:val="00D90A06"/>
    <w:rsid w:val="00D90BDB"/>
    <w:rsid w:val="00D916B0"/>
    <w:rsid w:val="00D92691"/>
    <w:rsid w:val="00D92BC5"/>
    <w:rsid w:val="00D92EF6"/>
    <w:rsid w:val="00D94180"/>
    <w:rsid w:val="00D9470C"/>
    <w:rsid w:val="00D94A56"/>
    <w:rsid w:val="00D94C22"/>
    <w:rsid w:val="00D95AD0"/>
    <w:rsid w:val="00D964ED"/>
    <w:rsid w:val="00D969D3"/>
    <w:rsid w:val="00D979BB"/>
    <w:rsid w:val="00D97AFC"/>
    <w:rsid w:val="00DA02DF"/>
    <w:rsid w:val="00DA076E"/>
    <w:rsid w:val="00DA0D42"/>
    <w:rsid w:val="00DA12EB"/>
    <w:rsid w:val="00DA1781"/>
    <w:rsid w:val="00DA1912"/>
    <w:rsid w:val="00DA2D2B"/>
    <w:rsid w:val="00DA373A"/>
    <w:rsid w:val="00DA3DAA"/>
    <w:rsid w:val="00DA3FFF"/>
    <w:rsid w:val="00DA4DBF"/>
    <w:rsid w:val="00DA4DEA"/>
    <w:rsid w:val="00DA526C"/>
    <w:rsid w:val="00DA5B44"/>
    <w:rsid w:val="00DA60C6"/>
    <w:rsid w:val="00DA6109"/>
    <w:rsid w:val="00DA67DE"/>
    <w:rsid w:val="00DA6859"/>
    <w:rsid w:val="00DA6B1E"/>
    <w:rsid w:val="00DA7B6B"/>
    <w:rsid w:val="00DA7B88"/>
    <w:rsid w:val="00DB173E"/>
    <w:rsid w:val="00DB2126"/>
    <w:rsid w:val="00DB2A1F"/>
    <w:rsid w:val="00DB2D49"/>
    <w:rsid w:val="00DB30D0"/>
    <w:rsid w:val="00DB3732"/>
    <w:rsid w:val="00DB3A21"/>
    <w:rsid w:val="00DB41E1"/>
    <w:rsid w:val="00DB4D86"/>
    <w:rsid w:val="00DB792F"/>
    <w:rsid w:val="00DB79EB"/>
    <w:rsid w:val="00DB7D65"/>
    <w:rsid w:val="00DC043C"/>
    <w:rsid w:val="00DC0800"/>
    <w:rsid w:val="00DC0D55"/>
    <w:rsid w:val="00DC11FB"/>
    <w:rsid w:val="00DC1E0A"/>
    <w:rsid w:val="00DC23B5"/>
    <w:rsid w:val="00DC4205"/>
    <w:rsid w:val="00DC468F"/>
    <w:rsid w:val="00DC4C0C"/>
    <w:rsid w:val="00DC642D"/>
    <w:rsid w:val="00DC654C"/>
    <w:rsid w:val="00DC6930"/>
    <w:rsid w:val="00DC6F51"/>
    <w:rsid w:val="00DC7C69"/>
    <w:rsid w:val="00DC7F84"/>
    <w:rsid w:val="00DD0308"/>
    <w:rsid w:val="00DD0D05"/>
    <w:rsid w:val="00DD1274"/>
    <w:rsid w:val="00DD1BFE"/>
    <w:rsid w:val="00DD1C1D"/>
    <w:rsid w:val="00DD266A"/>
    <w:rsid w:val="00DD27C3"/>
    <w:rsid w:val="00DD362E"/>
    <w:rsid w:val="00DD3B0A"/>
    <w:rsid w:val="00DD4B1E"/>
    <w:rsid w:val="00DD4DBD"/>
    <w:rsid w:val="00DD4DE7"/>
    <w:rsid w:val="00DD57FE"/>
    <w:rsid w:val="00DD5C21"/>
    <w:rsid w:val="00DD5C99"/>
    <w:rsid w:val="00DD5F54"/>
    <w:rsid w:val="00DD6386"/>
    <w:rsid w:val="00DD7520"/>
    <w:rsid w:val="00DD7DEB"/>
    <w:rsid w:val="00DD7E70"/>
    <w:rsid w:val="00DE07F8"/>
    <w:rsid w:val="00DE0C09"/>
    <w:rsid w:val="00DE0DE5"/>
    <w:rsid w:val="00DE1620"/>
    <w:rsid w:val="00DE1D84"/>
    <w:rsid w:val="00DE308D"/>
    <w:rsid w:val="00DE32EA"/>
    <w:rsid w:val="00DE3366"/>
    <w:rsid w:val="00DE3D0F"/>
    <w:rsid w:val="00DE3DAA"/>
    <w:rsid w:val="00DE44E3"/>
    <w:rsid w:val="00DE5C12"/>
    <w:rsid w:val="00DE7983"/>
    <w:rsid w:val="00DE7B62"/>
    <w:rsid w:val="00DF05FA"/>
    <w:rsid w:val="00DF071C"/>
    <w:rsid w:val="00DF0B4E"/>
    <w:rsid w:val="00DF10F2"/>
    <w:rsid w:val="00DF12D7"/>
    <w:rsid w:val="00DF1D5F"/>
    <w:rsid w:val="00DF21FF"/>
    <w:rsid w:val="00DF2494"/>
    <w:rsid w:val="00DF2524"/>
    <w:rsid w:val="00DF2C6F"/>
    <w:rsid w:val="00DF3147"/>
    <w:rsid w:val="00DF3408"/>
    <w:rsid w:val="00DF34EC"/>
    <w:rsid w:val="00DF3D73"/>
    <w:rsid w:val="00DF3DA8"/>
    <w:rsid w:val="00DF44E9"/>
    <w:rsid w:val="00DF455C"/>
    <w:rsid w:val="00DF4941"/>
    <w:rsid w:val="00DF599F"/>
    <w:rsid w:val="00DF5BE6"/>
    <w:rsid w:val="00DF5E17"/>
    <w:rsid w:val="00DF5F03"/>
    <w:rsid w:val="00DF6005"/>
    <w:rsid w:val="00DF6188"/>
    <w:rsid w:val="00DF645D"/>
    <w:rsid w:val="00DF66ED"/>
    <w:rsid w:val="00DF68BE"/>
    <w:rsid w:val="00DF6A80"/>
    <w:rsid w:val="00DF72AB"/>
    <w:rsid w:val="00E00137"/>
    <w:rsid w:val="00E001AC"/>
    <w:rsid w:val="00E003F1"/>
    <w:rsid w:val="00E0051C"/>
    <w:rsid w:val="00E0169E"/>
    <w:rsid w:val="00E01855"/>
    <w:rsid w:val="00E01B0E"/>
    <w:rsid w:val="00E02514"/>
    <w:rsid w:val="00E02835"/>
    <w:rsid w:val="00E03F8F"/>
    <w:rsid w:val="00E04856"/>
    <w:rsid w:val="00E05560"/>
    <w:rsid w:val="00E0620A"/>
    <w:rsid w:val="00E06390"/>
    <w:rsid w:val="00E07E11"/>
    <w:rsid w:val="00E101BE"/>
    <w:rsid w:val="00E1021C"/>
    <w:rsid w:val="00E103CD"/>
    <w:rsid w:val="00E10A72"/>
    <w:rsid w:val="00E10B6F"/>
    <w:rsid w:val="00E1101E"/>
    <w:rsid w:val="00E1132E"/>
    <w:rsid w:val="00E11560"/>
    <w:rsid w:val="00E11863"/>
    <w:rsid w:val="00E12C27"/>
    <w:rsid w:val="00E13305"/>
    <w:rsid w:val="00E13572"/>
    <w:rsid w:val="00E13A50"/>
    <w:rsid w:val="00E13CC3"/>
    <w:rsid w:val="00E14064"/>
    <w:rsid w:val="00E1408D"/>
    <w:rsid w:val="00E14DDB"/>
    <w:rsid w:val="00E15075"/>
    <w:rsid w:val="00E157C4"/>
    <w:rsid w:val="00E15B9B"/>
    <w:rsid w:val="00E15C99"/>
    <w:rsid w:val="00E15CD6"/>
    <w:rsid w:val="00E164FA"/>
    <w:rsid w:val="00E16D22"/>
    <w:rsid w:val="00E17F46"/>
    <w:rsid w:val="00E2046F"/>
    <w:rsid w:val="00E2083E"/>
    <w:rsid w:val="00E2125E"/>
    <w:rsid w:val="00E216D9"/>
    <w:rsid w:val="00E231CE"/>
    <w:rsid w:val="00E23704"/>
    <w:rsid w:val="00E23C50"/>
    <w:rsid w:val="00E23E5B"/>
    <w:rsid w:val="00E24C92"/>
    <w:rsid w:val="00E25BBC"/>
    <w:rsid w:val="00E3012B"/>
    <w:rsid w:val="00E301DF"/>
    <w:rsid w:val="00E30354"/>
    <w:rsid w:val="00E30889"/>
    <w:rsid w:val="00E30939"/>
    <w:rsid w:val="00E30950"/>
    <w:rsid w:val="00E30A20"/>
    <w:rsid w:val="00E30F23"/>
    <w:rsid w:val="00E316E7"/>
    <w:rsid w:val="00E31F40"/>
    <w:rsid w:val="00E322E5"/>
    <w:rsid w:val="00E33466"/>
    <w:rsid w:val="00E33803"/>
    <w:rsid w:val="00E34209"/>
    <w:rsid w:val="00E3436B"/>
    <w:rsid w:val="00E344DD"/>
    <w:rsid w:val="00E35063"/>
    <w:rsid w:val="00E35A66"/>
    <w:rsid w:val="00E36DFC"/>
    <w:rsid w:val="00E36EBA"/>
    <w:rsid w:val="00E37BCC"/>
    <w:rsid w:val="00E402FE"/>
    <w:rsid w:val="00E40432"/>
    <w:rsid w:val="00E40C7E"/>
    <w:rsid w:val="00E40F91"/>
    <w:rsid w:val="00E416E1"/>
    <w:rsid w:val="00E41F8B"/>
    <w:rsid w:val="00E42949"/>
    <w:rsid w:val="00E43423"/>
    <w:rsid w:val="00E439F8"/>
    <w:rsid w:val="00E44669"/>
    <w:rsid w:val="00E44724"/>
    <w:rsid w:val="00E4473C"/>
    <w:rsid w:val="00E44847"/>
    <w:rsid w:val="00E449A5"/>
    <w:rsid w:val="00E457B3"/>
    <w:rsid w:val="00E45B22"/>
    <w:rsid w:val="00E467EA"/>
    <w:rsid w:val="00E46E49"/>
    <w:rsid w:val="00E474EF"/>
    <w:rsid w:val="00E47789"/>
    <w:rsid w:val="00E47BAD"/>
    <w:rsid w:val="00E50B28"/>
    <w:rsid w:val="00E50B74"/>
    <w:rsid w:val="00E512D6"/>
    <w:rsid w:val="00E51470"/>
    <w:rsid w:val="00E5155A"/>
    <w:rsid w:val="00E519AE"/>
    <w:rsid w:val="00E51D40"/>
    <w:rsid w:val="00E5468E"/>
    <w:rsid w:val="00E54894"/>
    <w:rsid w:val="00E54AA0"/>
    <w:rsid w:val="00E552F9"/>
    <w:rsid w:val="00E554CB"/>
    <w:rsid w:val="00E56232"/>
    <w:rsid w:val="00E56633"/>
    <w:rsid w:val="00E56990"/>
    <w:rsid w:val="00E56E18"/>
    <w:rsid w:val="00E57759"/>
    <w:rsid w:val="00E57A9F"/>
    <w:rsid w:val="00E61143"/>
    <w:rsid w:val="00E61B16"/>
    <w:rsid w:val="00E61B59"/>
    <w:rsid w:val="00E61BB9"/>
    <w:rsid w:val="00E62A8F"/>
    <w:rsid w:val="00E63273"/>
    <w:rsid w:val="00E63FF6"/>
    <w:rsid w:val="00E640D5"/>
    <w:rsid w:val="00E641D8"/>
    <w:rsid w:val="00E644EB"/>
    <w:rsid w:val="00E65049"/>
    <w:rsid w:val="00E66F6C"/>
    <w:rsid w:val="00E6721E"/>
    <w:rsid w:val="00E6742B"/>
    <w:rsid w:val="00E678DA"/>
    <w:rsid w:val="00E70678"/>
    <w:rsid w:val="00E7087A"/>
    <w:rsid w:val="00E70F53"/>
    <w:rsid w:val="00E71B47"/>
    <w:rsid w:val="00E71F43"/>
    <w:rsid w:val="00E7263A"/>
    <w:rsid w:val="00E72A19"/>
    <w:rsid w:val="00E73677"/>
    <w:rsid w:val="00E73E77"/>
    <w:rsid w:val="00E74747"/>
    <w:rsid w:val="00E74EB3"/>
    <w:rsid w:val="00E757DE"/>
    <w:rsid w:val="00E75F38"/>
    <w:rsid w:val="00E7708A"/>
    <w:rsid w:val="00E7737F"/>
    <w:rsid w:val="00E77E81"/>
    <w:rsid w:val="00E81801"/>
    <w:rsid w:val="00E81A25"/>
    <w:rsid w:val="00E8271F"/>
    <w:rsid w:val="00E8327B"/>
    <w:rsid w:val="00E83BB9"/>
    <w:rsid w:val="00E842B0"/>
    <w:rsid w:val="00E849F4"/>
    <w:rsid w:val="00E84B40"/>
    <w:rsid w:val="00E85311"/>
    <w:rsid w:val="00E8538A"/>
    <w:rsid w:val="00E8564E"/>
    <w:rsid w:val="00E85786"/>
    <w:rsid w:val="00E85AF3"/>
    <w:rsid w:val="00E86DB6"/>
    <w:rsid w:val="00E86F32"/>
    <w:rsid w:val="00E86F3C"/>
    <w:rsid w:val="00E87019"/>
    <w:rsid w:val="00E90374"/>
    <w:rsid w:val="00E90CF4"/>
    <w:rsid w:val="00E91264"/>
    <w:rsid w:val="00E928A5"/>
    <w:rsid w:val="00E9307A"/>
    <w:rsid w:val="00E9354A"/>
    <w:rsid w:val="00E9399D"/>
    <w:rsid w:val="00E94509"/>
    <w:rsid w:val="00E94866"/>
    <w:rsid w:val="00E94E42"/>
    <w:rsid w:val="00E95D60"/>
    <w:rsid w:val="00E9601B"/>
    <w:rsid w:val="00E9663D"/>
    <w:rsid w:val="00E96D80"/>
    <w:rsid w:val="00E96DFB"/>
    <w:rsid w:val="00E96E29"/>
    <w:rsid w:val="00EA017F"/>
    <w:rsid w:val="00EA0912"/>
    <w:rsid w:val="00EA0D3B"/>
    <w:rsid w:val="00EA1CC3"/>
    <w:rsid w:val="00EA257D"/>
    <w:rsid w:val="00EA3E0C"/>
    <w:rsid w:val="00EA40F6"/>
    <w:rsid w:val="00EA4120"/>
    <w:rsid w:val="00EA41D1"/>
    <w:rsid w:val="00EA4785"/>
    <w:rsid w:val="00EA56F6"/>
    <w:rsid w:val="00EA5934"/>
    <w:rsid w:val="00EA5AD4"/>
    <w:rsid w:val="00EB0548"/>
    <w:rsid w:val="00EB087F"/>
    <w:rsid w:val="00EB08DA"/>
    <w:rsid w:val="00EB0EE5"/>
    <w:rsid w:val="00EB126E"/>
    <w:rsid w:val="00EB195E"/>
    <w:rsid w:val="00EB1AC5"/>
    <w:rsid w:val="00EB2158"/>
    <w:rsid w:val="00EB2541"/>
    <w:rsid w:val="00EB2CC5"/>
    <w:rsid w:val="00EB2EE0"/>
    <w:rsid w:val="00EB32DD"/>
    <w:rsid w:val="00EB396C"/>
    <w:rsid w:val="00EB39C8"/>
    <w:rsid w:val="00EB3E40"/>
    <w:rsid w:val="00EB4084"/>
    <w:rsid w:val="00EB4773"/>
    <w:rsid w:val="00EB5248"/>
    <w:rsid w:val="00EB53E6"/>
    <w:rsid w:val="00EB5A9D"/>
    <w:rsid w:val="00EB6A91"/>
    <w:rsid w:val="00EB6C74"/>
    <w:rsid w:val="00EB71B6"/>
    <w:rsid w:val="00EC087A"/>
    <w:rsid w:val="00EC09FF"/>
    <w:rsid w:val="00EC182B"/>
    <w:rsid w:val="00EC197D"/>
    <w:rsid w:val="00EC1CE3"/>
    <w:rsid w:val="00EC25C1"/>
    <w:rsid w:val="00EC280D"/>
    <w:rsid w:val="00EC4027"/>
    <w:rsid w:val="00EC4B34"/>
    <w:rsid w:val="00EC65EF"/>
    <w:rsid w:val="00ED090A"/>
    <w:rsid w:val="00ED112F"/>
    <w:rsid w:val="00ED159C"/>
    <w:rsid w:val="00ED25E9"/>
    <w:rsid w:val="00ED526A"/>
    <w:rsid w:val="00ED66E8"/>
    <w:rsid w:val="00ED68A7"/>
    <w:rsid w:val="00ED71ED"/>
    <w:rsid w:val="00ED7420"/>
    <w:rsid w:val="00ED7A97"/>
    <w:rsid w:val="00ED7AB2"/>
    <w:rsid w:val="00EE0567"/>
    <w:rsid w:val="00EE3983"/>
    <w:rsid w:val="00EE447B"/>
    <w:rsid w:val="00EE45F8"/>
    <w:rsid w:val="00EE51E9"/>
    <w:rsid w:val="00EE5898"/>
    <w:rsid w:val="00EE5C40"/>
    <w:rsid w:val="00EE6ECE"/>
    <w:rsid w:val="00EE721F"/>
    <w:rsid w:val="00EE732B"/>
    <w:rsid w:val="00EF0937"/>
    <w:rsid w:val="00EF0CDC"/>
    <w:rsid w:val="00EF10F1"/>
    <w:rsid w:val="00EF1167"/>
    <w:rsid w:val="00EF1243"/>
    <w:rsid w:val="00EF1375"/>
    <w:rsid w:val="00EF1CCB"/>
    <w:rsid w:val="00EF1CDF"/>
    <w:rsid w:val="00EF208F"/>
    <w:rsid w:val="00EF2484"/>
    <w:rsid w:val="00EF3DAA"/>
    <w:rsid w:val="00EF418B"/>
    <w:rsid w:val="00EF4B79"/>
    <w:rsid w:val="00EF4E8A"/>
    <w:rsid w:val="00EF5522"/>
    <w:rsid w:val="00EF5F36"/>
    <w:rsid w:val="00EF6DD7"/>
    <w:rsid w:val="00EF702E"/>
    <w:rsid w:val="00EF70ED"/>
    <w:rsid w:val="00EF7BA5"/>
    <w:rsid w:val="00EF7D9F"/>
    <w:rsid w:val="00EF7EAF"/>
    <w:rsid w:val="00F00110"/>
    <w:rsid w:val="00F00156"/>
    <w:rsid w:val="00F00595"/>
    <w:rsid w:val="00F00B04"/>
    <w:rsid w:val="00F00CFD"/>
    <w:rsid w:val="00F01195"/>
    <w:rsid w:val="00F01FF4"/>
    <w:rsid w:val="00F02AC2"/>
    <w:rsid w:val="00F03495"/>
    <w:rsid w:val="00F0359E"/>
    <w:rsid w:val="00F0418C"/>
    <w:rsid w:val="00F04743"/>
    <w:rsid w:val="00F04FFB"/>
    <w:rsid w:val="00F05723"/>
    <w:rsid w:val="00F05A49"/>
    <w:rsid w:val="00F05C31"/>
    <w:rsid w:val="00F05EBB"/>
    <w:rsid w:val="00F06070"/>
    <w:rsid w:val="00F06236"/>
    <w:rsid w:val="00F06664"/>
    <w:rsid w:val="00F07736"/>
    <w:rsid w:val="00F07C79"/>
    <w:rsid w:val="00F10651"/>
    <w:rsid w:val="00F1119E"/>
    <w:rsid w:val="00F112C1"/>
    <w:rsid w:val="00F1175B"/>
    <w:rsid w:val="00F12125"/>
    <w:rsid w:val="00F12376"/>
    <w:rsid w:val="00F1269F"/>
    <w:rsid w:val="00F12E0B"/>
    <w:rsid w:val="00F13759"/>
    <w:rsid w:val="00F15560"/>
    <w:rsid w:val="00F17C17"/>
    <w:rsid w:val="00F20315"/>
    <w:rsid w:val="00F20349"/>
    <w:rsid w:val="00F2158E"/>
    <w:rsid w:val="00F21B23"/>
    <w:rsid w:val="00F23F3D"/>
    <w:rsid w:val="00F24004"/>
    <w:rsid w:val="00F25DDE"/>
    <w:rsid w:val="00F26201"/>
    <w:rsid w:val="00F26D0F"/>
    <w:rsid w:val="00F27550"/>
    <w:rsid w:val="00F27B7B"/>
    <w:rsid w:val="00F27C46"/>
    <w:rsid w:val="00F30432"/>
    <w:rsid w:val="00F30645"/>
    <w:rsid w:val="00F30DDF"/>
    <w:rsid w:val="00F310FA"/>
    <w:rsid w:val="00F31CF9"/>
    <w:rsid w:val="00F3220A"/>
    <w:rsid w:val="00F33C77"/>
    <w:rsid w:val="00F33FB5"/>
    <w:rsid w:val="00F34194"/>
    <w:rsid w:val="00F34AD8"/>
    <w:rsid w:val="00F35064"/>
    <w:rsid w:val="00F350FA"/>
    <w:rsid w:val="00F35CA4"/>
    <w:rsid w:val="00F361AD"/>
    <w:rsid w:val="00F362EE"/>
    <w:rsid w:val="00F36A1A"/>
    <w:rsid w:val="00F36D95"/>
    <w:rsid w:val="00F36F11"/>
    <w:rsid w:val="00F36F21"/>
    <w:rsid w:val="00F37675"/>
    <w:rsid w:val="00F37C1C"/>
    <w:rsid w:val="00F37C79"/>
    <w:rsid w:val="00F400AB"/>
    <w:rsid w:val="00F4163A"/>
    <w:rsid w:val="00F4189A"/>
    <w:rsid w:val="00F418D6"/>
    <w:rsid w:val="00F41B35"/>
    <w:rsid w:val="00F41EC7"/>
    <w:rsid w:val="00F4230C"/>
    <w:rsid w:val="00F42A25"/>
    <w:rsid w:val="00F42A2B"/>
    <w:rsid w:val="00F42A79"/>
    <w:rsid w:val="00F43B0C"/>
    <w:rsid w:val="00F4423E"/>
    <w:rsid w:val="00F443F3"/>
    <w:rsid w:val="00F448D6"/>
    <w:rsid w:val="00F4547A"/>
    <w:rsid w:val="00F45BBA"/>
    <w:rsid w:val="00F47496"/>
    <w:rsid w:val="00F50910"/>
    <w:rsid w:val="00F50B6D"/>
    <w:rsid w:val="00F50DBA"/>
    <w:rsid w:val="00F50EB2"/>
    <w:rsid w:val="00F5207E"/>
    <w:rsid w:val="00F53A6C"/>
    <w:rsid w:val="00F541A2"/>
    <w:rsid w:val="00F54D22"/>
    <w:rsid w:val="00F55105"/>
    <w:rsid w:val="00F55331"/>
    <w:rsid w:val="00F562C4"/>
    <w:rsid w:val="00F56ACC"/>
    <w:rsid w:val="00F573CF"/>
    <w:rsid w:val="00F57545"/>
    <w:rsid w:val="00F577B0"/>
    <w:rsid w:val="00F615F3"/>
    <w:rsid w:val="00F61B61"/>
    <w:rsid w:val="00F61B76"/>
    <w:rsid w:val="00F62145"/>
    <w:rsid w:val="00F62EED"/>
    <w:rsid w:val="00F62F01"/>
    <w:rsid w:val="00F6346B"/>
    <w:rsid w:val="00F63486"/>
    <w:rsid w:val="00F634DC"/>
    <w:rsid w:val="00F63DD4"/>
    <w:rsid w:val="00F644BC"/>
    <w:rsid w:val="00F6458F"/>
    <w:rsid w:val="00F64780"/>
    <w:rsid w:val="00F65072"/>
    <w:rsid w:val="00F6556F"/>
    <w:rsid w:val="00F65EB9"/>
    <w:rsid w:val="00F67494"/>
    <w:rsid w:val="00F67829"/>
    <w:rsid w:val="00F67C1A"/>
    <w:rsid w:val="00F67C2A"/>
    <w:rsid w:val="00F67D4F"/>
    <w:rsid w:val="00F70010"/>
    <w:rsid w:val="00F706AB"/>
    <w:rsid w:val="00F70AC0"/>
    <w:rsid w:val="00F718DE"/>
    <w:rsid w:val="00F71C74"/>
    <w:rsid w:val="00F72475"/>
    <w:rsid w:val="00F74562"/>
    <w:rsid w:val="00F74B47"/>
    <w:rsid w:val="00F74F9B"/>
    <w:rsid w:val="00F75277"/>
    <w:rsid w:val="00F75B26"/>
    <w:rsid w:val="00F761E2"/>
    <w:rsid w:val="00F765E2"/>
    <w:rsid w:val="00F766A5"/>
    <w:rsid w:val="00F766C9"/>
    <w:rsid w:val="00F768A6"/>
    <w:rsid w:val="00F76A99"/>
    <w:rsid w:val="00F770C5"/>
    <w:rsid w:val="00F7711A"/>
    <w:rsid w:val="00F779A4"/>
    <w:rsid w:val="00F77E66"/>
    <w:rsid w:val="00F77F93"/>
    <w:rsid w:val="00F81D8C"/>
    <w:rsid w:val="00F82167"/>
    <w:rsid w:val="00F82798"/>
    <w:rsid w:val="00F82CE7"/>
    <w:rsid w:val="00F82FF5"/>
    <w:rsid w:val="00F84B89"/>
    <w:rsid w:val="00F84C64"/>
    <w:rsid w:val="00F84CAB"/>
    <w:rsid w:val="00F84DA6"/>
    <w:rsid w:val="00F8507B"/>
    <w:rsid w:val="00F850D3"/>
    <w:rsid w:val="00F85883"/>
    <w:rsid w:val="00F86455"/>
    <w:rsid w:val="00F86632"/>
    <w:rsid w:val="00F87B42"/>
    <w:rsid w:val="00F90740"/>
    <w:rsid w:val="00F9089D"/>
    <w:rsid w:val="00F908AC"/>
    <w:rsid w:val="00F90C52"/>
    <w:rsid w:val="00F913F1"/>
    <w:rsid w:val="00F92187"/>
    <w:rsid w:val="00F92268"/>
    <w:rsid w:val="00F922A0"/>
    <w:rsid w:val="00F92853"/>
    <w:rsid w:val="00F92D85"/>
    <w:rsid w:val="00F930A5"/>
    <w:rsid w:val="00F94226"/>
    <w:rsid w:val="00F95018"/>
    <w:rsid w:val="00F9596E"/>
    <w:rsid w:val="00F96081"/>
    <w:rsid w:val="00F96089"/>
    <w:rsid w:val="00F964FC"/>
    <w:rsid w:val="00F9725D"/>
    <w:rsid w:val="00F972F7"/>
    <w:rsid w:val="00F97820"/>
    <w:rsid w:val="00F97CDB"/>
    <w:rsid w:val="00FA0C61"/>
    <w:rsid w:val="00FA1C56"/>
    <w:rsid w:val="00FA2338"/>
    <w:rsid w:val="00FA2520"/>
    <w:rsid w:val="00FA27CB"/>
    <w:rsid w:val="00FA2F21"/>
    <w:rsid w:val="00FA3213"/>
    <w:rsid w:val="00FA354E"/>
    <w:rsid w:val="00FA38AC"/>
    <w:rsid w:val="00FA3D23"/>
    <w:rsid w:val="00FA3E4A"/>
    <w:rsid w:val="00FA4175"/>
    <w:rsid w:val="00FA523E"/>
    <w:rsid w:val="00FA538A"/>
    <w:rsid w:val="00FA5C0B"/>
    <w:rsid w:val="00FA6000"/>
    <w:rsid w:val="00FA6101"/>
    <w:rsid w:val="00FB043B"/>
    <w:rsid w:val="00FB0452"/>
    <w:rsid w:val="00FB06AE"/>
    <w:rsid w:val="00FB0965"/>
    <w:rsid w:val="00FB0C0D"/>
    <w:rsid w:val="00FB0EC8"/>
    <w:rsid w:val="00FB103B"/>
    <w:rsid w:val="00FB1386"/>
    <w:rsid w:val="00FB14E7"/>
    <w:rsid w:val="00FB1827"/>
    <w:rsid w:val="00FB1B3F"/>
    <w:rsid w:val="00FB1DD8"/>
    <w:rsid w:val="00FB2475"/>
    <w:rsid w:val="00FB281E"/>
    <w:rsid w:val="00FB2BE1"/>
    <w:rsid w:val="00FB302C"/>
    <w:rsid w:val="00FB3BB2"/>
    <w:rsid w:val="00FB44FA"/>
    <w:rsid w:val="00FB46E8"/>
    <w:rsid w:val="00FB4AB6"/>
    <w:rsid w:val="00FB5804"/>
    <w:rsid w:val="00FB5E0F"/>
    <w:rsid w:val="00FB5FA3"/>
    <w:rsid w:val="00FB684B"/>
    <w:rsid w:val="00FB68B2"/>
    <w:rsid w:val="00FB70D9"/>
    <w:rsid w:val="00FB7187"/>
    <w:rsid w:val="00FB7A80"/>
    <w:rsid w:val="00FC03CE"/>
    <w:rsid w:val="00FC0785"/>
    <w:rsid w:val="00FC1D3D"/>
    <w:rsid w:val="00FC258C"/>
    <w:rsid w:val="00FC264F"/>
    <w:rsid w:val="00FC2992"/>
    <w:rsid w:val="00FC2AFF"/>
    <w:rsid w:val="00FC2EF8"/>
    <w:rsid w:val="00FC3770"/>
    <w:rsid w:val="00FC3BB3"/>
    <w:rsid w:val="00FC4B2D"/>
    <w:rsid w:val="00FC54BD"/>
    <w:rsid w:val="00FC6574"/>
    <w:rsid w:val="00FC6C9D"/>
    <w:rsid w:val="00FC79DC"/>
    <w:rsid w:val="00FC7C62"/>
    <w:rsid w:val="00FD0D89"/>
    <w:rsid w:val="00FD1613"/>
    <w:rsid w:val="00FD1E9F"/>
    <w:rsid w:val="00FD208B"/>
    <w:rsid w:val="00FD20D4"/>
    <w:rsid w:val="00FD22A6"/>
    <w:rsid w:val="00FD32FA"/>
    <w:rsid w:val="00FD39A3"/>
    <w:rsid w:val="00FD4CE6"/>
    <w:rsid w:val="00FD4E7D"/>
    <w:rsid w:val="00FD5702"/>
    <w:rsid w:val="00FD5783"/>
    <w:rsid w:val="00FD5B70"/>
    <w:rsid w:val="00FE02C0"/>
    <w:rsid w:val="00FE0404"/>
    <w:rsid w:val="00FE05B1"/>
    <w:rsid w:val="00FE0A32"/>
    <w:rsid w:val="00FE1502"/>
    <w:rsid w:val="00FE192D"/>
    <w:rsid w:val="00FE1D46"/>
    <w:rsid w:val="00FE24F2"/>
    <w:rsid w:val="00FE2D73"/>
    <w:rsid w:val="00FE30BB"/>
    <w:rsid w:val="00FE3314"/>
    <w:rsid w:val="00FE37E8"/>
    <w:rsid w:val="00FE489D"/>
    <w:rsid w:val="00FE48EB"/>
    <w:rsid w:val="00FE50FC"/>
    <w:rsid w:val="00FE56D5"/>
    <w:rsid w:val="00FE641B"/>
    <w:rsid w:val="00FE6C16"/>
    <w:rsid w:val="00FE710E"/>
    <w:rsid w:val="00FE75EB"/>
    <w:rsid w:val="00FE7C8C"/>
    <w:rsid w:val="00FF01DB"/>
    <w:rsid w:val="00FF074B"/>
    <w:rsid w:val="00FF109C"/>
    <w:rsid w:val="00FF1112"/>
    <w:rsid w:val="00FF16DA"/>
    <w:rsid w:val="00FF23C9"/>
    <w:rsid w:val="00FF2711"/>
    <w:rsid w:val="00FF2B56"/>
    <w:rsid w:val="00FF2F8F"/>
    <w:rsid w:val="00FF30D7"/>
    <w:rsid w:val="00FF3497"/>
    <w:rsid w:val="00FF3575"/>
    <w:rsid w:val="00FF35AD"/>
    <w:rsid w:val="00FF3748"/>
    <w:rsid w:val="00FF3CD4"/>
    <w:rsid w:val="00FF53E4"/>
    <w:rsid w:val="00FF5EBE"/>
    <w:rsid w:val="00FF67CD"/>
    <w:rsid w:val="00FF6BC4"/>
    <w:rsid w:val="00FF6FCC"/>
    <w:rsid w:val="00FF75D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165BB"/>
  <w15:chartTrackingRefBased/>
  <w15:docId w15:val="{9A026D0E-8775-4CA3-83B4-C59D02B29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C9A"/>
    <w:pPr>
      <w:spacing w:before="60" w:after="60" w:line="276" w:lineRule="auto"/>
      <w:jc w:val="both"/>
    </w:pPr>
    <w:rPr>
      <w:rFonts w:ascii="Arial" w:hAnsi="Arial" w:cs="Arial"/>
      <w:sz w:val="24"/>
      <w:szCs w:val="24"/>
    </w:rPr>
  </w:style>
  <w:style w:type="paragraph" w:styleId="Ttulo1">
    <w:name w:val="heading 1"/>
    <w:basedOn w:val="Normal"/>
    <w:next w:val="Normal"/>
    <w:link w:val="Ttulo1Car"/>
    <w:uiPriority w:val="9"/>
    <w:qFormat/>
    <w:rsid w:val="00487C9A"/>
    <w:pPr>
      <w:spacing w:before="0" w:after="0" w:line="240" w:lineRule="auto"/>
      <w:ind w:left="4536"/>
      <w:outlineLvl w:val="0"/>
    </w:pPr>
    <w:rPr>
      <w:b/>
      <w:sz w:val="26"/>
      <w:szCs w:val="26"/>
    </w:rPr>
  </w:style>
  <w:style w:type="paragraph" w:styleId="Ttulo2">
    <w:name w:val="heading 2"/>
    <w:basedOn w:val="Normal"/>
    <w:next w:val="Normal"/>
    <w:link w:val="Ttulo2Car"/>
    <w:uiPriority w:val="9"/>
    <w:unhideWhenUsed/>
    <w:qFormat/>
    <w:rsid w:val="00487C9A"/>
    <w:pPr>
      <w:spacing w:before="360" w:after="360"/>
      <w:jc w:val="center"/>
      <w:outlineLvl w:val="1"/>
    </w:pPr>
    <w:rPr>
      <w:rFonts w:ascii="Arial Negrita" w:hAnsi="Arial Negrita"/>
      <w:b/>
      <w:spacing w:val="60"/>
      <w:sz w:val="26"/>
      <w:szCs w:val="26"/>
    </w:rPr>
  </w:style>
  <w:style w:type="paragraph" w:styleId="Ttulo3">
    <w:name w:val="heading 3"/>
    <w:basedOn w:val="Prrafodelista"/>
    <w:next w:val="Normal"/>
    <w:link w:val="Ttulo3Car"/>
    <w:uiPriority w:val="9"/>
    <w:unhideWhenUsed/>
    <w:qFormat/>
    <w:rsid w:val="00487C9A"/>
    <w:pPr>
      <w:numPr>
        <w:numId w:val="1"/>
      </w:numPr>
      <w:spacing w:before="600" w:after="600" w:line="360" w:lineRule="auto"/>
      <w:jc w:val="center"/>
      <w:outlineLvl w:val="2"/>
    </w:pPr>
    <w:rPr>
      <w:b/>
      <w:sz w:val="26"/>
      <w:szCs w:val="26"/>
    </w:rPr>
  </w:style>
  <w:style w:type="paragraph" w:styleId="Ttulo4">
    <w:name w:val="heading 4"/>
    <w:basedOn w:val="corte4fondo"/>
    <w:next w:val="Normal"/>
    <w:link w:val="Ttulo4Car"/>
    <w:uiPriority w:val="9"/>
    <w:unhideWhenUsed/>
    <w:qFormat/>
    <w:rsid w:val="00897683"/>
    <w:pPr>
      <w:tabs>
        <w:tab w:val="left" w:pos="0"/>
      </w:tabs>
      <w:spacing w:before="600" w:after="240"/>
      <w:ind w:left="363" w:firstLine="0"/>
      <w:jc w:val="left"/>
      <w:outlineLvl w:val="3"/>
    </w:pPr>
    <w:rPr>
      <w:rFonts w:cs="Arial"/>
      <w:b/>
      <w:bCs/>
      <w:color w:val="1F3864" w:themeColor="accent1" w:themeShade="80"/>
      <w:sz w:val="26"/>
      <w:szCs w:val="26"/>
    </w:rPr>
  </w:style>
  <w:style w:type="paragraph" w:styleId="Ttulo5">
    <w:name w:val="heading 5"/>
    <w:basedOn w:val="Prrafo"/>
    <w:next w:val="Normal"/>
    <w:link w:val="Ttulo5Car"/>
    <w:uiPriority w:val="9"/>
    <w:unhideWhenUsed/>
    <w:qFormat/>
    <w:rsid w:val="0029550E"/>
    <w:pPr>
      <w:numPr>
        <w:numId w:val="2"/>
      </w:numPr>
      <w:outlineLvl w:val="4"/>
    </w:pPr>
    <w:rPr>
      <w:b/>
      <w:lang w:val="es-ES"/>
    </w:rPr>
  </w:style>
  <w:style w:type="paragraph" w:styleId="Ttulo6">
    <w:name w:val="heading 6"/>
    <w:basedOn w:val="Ttulo4"/>
    <w:next w:val="Normal"/>
    <w:link w:val="Ttulo6Car"/>
    <w:uiPriority w:val="9"/>
    <w:unhideWhenUsed/>
    <w:qFormat/>
    <w:rsid w:val="009B6D58"/>
    <w:pPr>
      <w:outlineLvl w:val="5"/>
    </w:pPr>
    <w:rPr>
      <w:b w:val="0"/>
      <w:bCs w:val="0"/>
      <w:i/>
      <w:iCs/>
    </w:rPr>
  </w:style>
  <w:style w:type="paragraph" w:styleId="Ttulo7">
    <w:name w:val="heading 7"/>
    <w:basedOn w:val="Ttulo6"/>
    <w:next w:val="Normal"/>
    <w:link w:val="Ttulo7Car"/>
    <w:uiPriority w:val="9"/>
    <w:unhideWhenUsed/>
    <w:qFormat/>
    <w:rsid w:val="009B6D58"/>
    <w:pPr>
      <w:outlineLvl w:val="6"/>
    </w:pPr>
    <w:rPr>
      <w:i w:val="0"/>
      <w:iCs w:val="0"/>
      <w:u w:val="single"/>
    </w:rPr>
  </w:style>
  <w:style w:type="paragraph" w:styleId="Ttulo8">
    <w:name w:val="heading 8"/>
    <w:basedOn w:val="Normal"/>
    <w:next w:val="Normal"/>
    <w:link w:val="Ttulo8Car"/>
    <w:uiPriority w:val="9"/>
    <w:semiHidden/>
    <w:unhideWhenUsed/>
    <w:qFormat/>
    <w:rsid w:val="00B32CC7"/>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87C9A"/>
    <w:rPr>
      <w:rFonts w:ascii="Arial" w:hAnsi="Arial" w:cs="Arial"/>
      <w:b/>
      <w:sz w:val="26"/>
      <w:szCs w:val="26"/>
    </w:rPr>
  </w:style>
  <w:style w:type="character" w:customStyle="1" w:styleId="Ttulo2Car">
    <w:name w:val="Título 2 Car"/>
    <w:basedOn w:val="Fuentedeprrafopredeter"/>
    <w:link w:val="Ttulo2"/>
    <w:uiPriority w:val="9"/>
    <w:rsid w:val="00487C9A"/>
    <w:rPr>
      <w:rFonts w:ascii="Arial Negrita" w:hAnsi="Arial Negrita" w:cs="Arial"/>
      <w:b/>
      <w:spacing w:val="60"/>
      <w:sz w:val="26"/>
      <w:szCs w:val="26"/>
    </w:rPr>
  </w:style>
  <w:style w:type="character" w:customStyle="1" w:styleId="Ttulo3Car">
    <w:name w:val="Título 3 Car"/>
    <w:basedOn w:val="Fuentedeprrafopredeter"/>
    <w:link w:val="Ttulo3"/>
    <w:uiPriority w:val="9"/>
    <w:rsid w:val="00487C9A"/>
    <w:rPr>
      <w:rFonts w:ascii="Arial" w:hAnsi="Arial" w:cs="Arial"/>
      <w:b/>
      <w:sz w:val="26"/>
      <w:szCs w:val="26"/>
    </w:rPr>
  </w:style>
  <w:style w:type="character" w:customStyle="1" w:styleId="Ttulo6Car">
    <w:name w:val="Título 6 Car"/>
    <w:basedOn w:val="Fuentedeprrafopredeter"/>
    <w:link w:val="Ttulo6"/>
    <w:uiPriority w:val="9"/>
    <w:rsid w:val="009B6D58"/>
    <w:rPr>
      <w:rFonts w:ascii="Arial" w:eastAsia="Times New Roman" w:hAnsi="Arial" w:cs="Arial"/>
      <w:i/>
      <w:iCs/>
      <w:color w:val="1F3864" w:themeColor="accent1" w:themeShade="80"/>
      <w:sz w:val="26"/>
      <w:szCs w:val="26"/>
      <w:lang w:val="es-ES_tradnl" w:eastAsia="es-MX"/>
    </w:rPr>
  </w:style>
  <w:style w:type="paragraph" w:styleId="Sinespaciado">
    <w:name w:val="No Spacing"/>
    <w:basedOn w:val="Normal"/>
    <w:link w:val="SinespaciadoCar"/>
    <w:uiPriority w:val="1"/>
    <w:qFormat/>
    <w:rsid w:val="00487C9A"/>
    <w:pPr>
      <w:spacing w:before="0" w:after="0"/>
    </w:pPr>
    <w:rPr>
      <w:sz w:val="16"/>
      <w:szCs w:val="16"/>
    </w:rPr>
  </w:style>
  <w:style w:type="paragraph" w:customStyle="1" w:styleId="Prrafo">
    <w:name w:val="Párrafo"/>
    <w:basedOn w:val="Normal"/>
    <w:qFormat/>
    <w:rsid w:val="00487C9A"/>
    <w:pPr>
      <w:spacing w:before="240" w:after="240" w:line="360" w:lineRule="auto"/>
    </w:pPr>
    <w:rPr>
      <w:sz w:val="26"/>
      <w:szCs w:val="26"/>
    </w:rPr>
  </w:style>
  <w:style w:type="paragraph" w:styleId="Piedepgina">
    <w:name w:val="footer"/>
    <w:basedOn w:val="Normal"/>
    <w:link w:val="PiedepginaCar"/>
    <w:uiPriority w:val="99"/>
    <w:unhideWhenUsed/>
    <w:rsid w:val="00487C9A"/>
    <w:pPr>
      <w:tabs>
        <w:tab w:val="center" w:pos="4419"/>
        <w:tab w:val="right" w:pos="8838"/>
      </w:tabs>
      <w:spacing w:before="0" w:after="0" w:line="240" w:lineRule="auto"/>
    </w:pPr>
  </w:style>
  <w:style w:type="character" w:customStyle="1" w:styleId="PiedepginaCar">
    <w:name w:val="Pie de página Car"/>
    <w:basedOn w:val="Fuentedeprrafopredeter"/>
    <w:link w:val="Piedepgina"/>
    <w:uiPriority w:val="99"/>
    <w:rsid w:val="00487C9A"/>
    <w:rPr>
      <w:rFonts w:ascii="Arial" w:hAnsi="Arial" w:cs="Arial"/>
      <w:sz w:val="24"/>
      <w:szCs w:val="24"/>
    </w:rPr>
  </w:style>
  <w:style w:type="paragraph" w:styleId="Cita">
    <w:name w:val="Quote"/>
    <w:basedOn w:val="Prrafo"/>
    <w:next w:val="Normal"/>
    <w:link w:val="CitaCar"/>
    <w:uiPriority w:val="29"/>
    <w:qFormat/>
    <w:rsid w:val="00487C9A"/>
    <w:pPr>
      <w:spacing w:line="240" w:lineRule="auto"/>
      <w:ind w:left="567" w:right="567"/>
    </w:pPr>
  </w:style>
  <w:style w:type="character" w:customStyle="1" w:styleId="CitaCar">
    <w:name w:val="Cita Car"/>
    <w:basedOn w:val="Fuentedeprrafopredeter"/>
    <w:link w:val="Cita"/>
    <w:uiPriority w:val="29"/>
    <w:rsid w:val="00487C9A"/>
    <w:rPr>
      <w:rFonts w:ascii="Arial" w:hAnsi="Arial" w:cs="Arial"/>
      <w:sz w:val="26"/>
      <w:szCs w:val="26"/>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Car Car Car,Car Ca"/>
    <w:basedOn w:val="Normal"/>
    <w:link w:val="TextonotapieCar"/>
    <w:unhideWhenUsed/>
    <w:qFormat/>
    <w:rsid w:val="00487C9A"/>
    <w:pPr>
      <w:spacing w:before="0"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qFormat/>
    <w:rsid w:val="00487C9A"/>
    <w:rPr>
      <w:rFonts w:ascii="Arial" w:hAnsi="Arial" w:cs="Arial"/>
      <w:sz w:val="20"/>
      <w:szCs w:val="20"/>
    </w:rPr>
  </w:style>
  <w:style w:type="character" w:styleId="Refdenotaalpie">
    <w:name w:val="footnote reference"/>
    <w:aliases w:val="Ref. de nota al pie 2,Footnotes refss,Texto de nota al pie,Appel note de bas de page,referencia nota al pie,BVI fnr,Footnote number,f,4_G,16 Point,Superscript 6 Point,Texto nota al pie,Footnote Reference Char3,julio,ftref,Ref,R,ftre"/>
    <w:basedOn w:val="Fuentedeprrafopredeter"/>
    <w:link w:val="4GChar"/>
    <w:unhideWhenUsed/>
    <w:qFormat/>
    <w:rsid w:val="00487C9A"/>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qFormat/>
    <w:rsid w:val="00487C9A"/>
    <w:pPr>
      <w:spacing w:before="0" w:after="0" w:line="240" w:lineRule="auto"/>
    </w:pPr>
    <w:rPr>
      <w:rFonts w:asciiTheme="minorHAnsi" w:hAnsiTheme="minorHAnsi" w:cstheme="minorBidi"/>
      <w:sz w:val="22"/>
      <w:szCs w:val="22"/>
      <w:vertAlign w:val="superscript"/>
    </w:rPr>
  </w:style>
  <w:style w:type="paragraph" w:customStyle="1" w:styleId="corte4fondo">
    <w:name w:val="corte4 fondo"/>
    <w:basedOn w:val="Normal"/>
    <w:link w:val="corte4fondoCar1"/>
    <w:qFormat/>
    <w:rsid w:val="00487C9A"/>
    <w:pPr>
      <w:spacing w:before="0" w:after="0" w:line="360" w:lineRule="auto"/>
      <w:ind w:firstLine="709"/>
    </w:pPr>
    <w:rPr>
      <w:rFonts w:eastAsia="Times New Roman" w:cs="Times New Roman"/>
      <w:sz w:val="30"/>
      <w:szCs w:val="20"/>
      <w:lang w:val="es-ES_tradnl" w:eastAsia="es-MX"/>
    </w:rPr>
  </w:style>
  <w:style w:type="character" w:customStyle="1" w:styleId="corte4fondoCar1">
    <w:name w:val="corte4 fondo Car1"/>
    <w:link w:val="corte4fondo"/>
    <w:qFormat/>
    <w:rsid w:val="00487C9A"/>
    <w:rPr>
      <w:rFonts w:ascii="Arial" w:eastAsia="Times New Roman" w:hAnsi="Arial" w:cs="Times New Roman"/>
      <w:sz w:val="30"/>
      <w:szCs w:val="20"/>
      <w:lang w:val="es-ES_tradnl" w:eastAsia="es-MX"/>
    </w:rPr>
  </w:style>
  <w:style w:type="table" w:styleId="Tablaconcuadrcula">
    <w:name w:val="Table Grid"/>
    <w:basedOn w:val="Tablanormal"/>
    <w:uiPriority w:val="39"/>
    <w:rsid w:val="00487C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ita texto,Footnote,List Paragraph1,Colorful List - Accent 11,Párrafo de lista1,Cuadrícula clara - Énfasis 31,TEXTO GENERAL SENTENCIAS,Lista multicolor - Énfasis 11,Dot pt,No Spacing1,Indicator Text,Trascripción,Numbered Para 1"/>
    <w:basedOn w:val="Normal"/>
    <w:link w:val="PrrafodelistaCar"/>
    <w:qFormat/>
    <w:rsid w:val="00487C9A"/>
    <w:pPr>
      <w:ind w:left="720"/>
      <w:contextualSpacing/>
    </w:pPr>
  </w:style>
  <w:style w:type="paragraph" w:styleId="Encabezado">
    <w:name w:val="header"/>
    <w:basedOn w:val="Normal"/>
    <w:link w:val="EncabezadoCar"/>
    <w:uiPriority w:val="99"/>
    <w:unhideWhenUsed/>
    <w:rsid w:val="00B32CC7"/>
    <w:pPr>
      <w:tabs>
        <w:tab w:val="center" w:pos="4419"/>
        <w:tab w:val="right" w:pos="8838"/>
      </w:tabs>
      <w:spacing w:before="0" w:after="0" w:line="240" w:lineRule="auto"/>
    </w:pPr>
  </w:style>
  <w:style w:type="character" w:customStyle="1" w:styleId="EncabezadoCar">
    <w:name w:val="Encabezado Car"/>
    <w:basedOn w:val="Fuentedeprrafopredeter"/>
    <w:link w:val="Encabezado"/>
    <w:uiPriority w:val="99"/>
    <w:rsid w:val="00B32CC7"/>
    <w:rPr>
      <w:rFonts w:ascii="Arial" w:hAnsi="Arial" w:cs="Arial"/>
      <w:sz w:val="24"/>
      <w:szCs w:val="24"/>
    </w:rPr>
  </w:style>
  <w:style w:type="character" w:customStyle="1" w:styleId="Ttulo4Car">
    <w:name w:val="Título 4 Car"/>
    <w:basedOn w:val="Fuentedeprrafopredeter"/>
    <w:link w:val="Ttulo4"/>
    <w:uiPriority w:val="9"/>
    <w:rsid w:val="00897683"/>
    <w:rPr>
      <w:rFonts w:ascii="Arial" w:eastAsia="Times New Roman" w:hAnsi="Arial" w:cs="Arial"/>
      <w:b/>
      <w:bCs/>
      <w:color w:val="1F3864" w:themeColor="accent1" w:themeShade="80"/>
      <w:sz w:val="26"/>
      <w:szCs w:val="26"/>
      <w:lang w:val="es-ES_tradnl" w:eastAsia="es-MX"/>
    </w:rPr>
  </w:style>
  <w:style w:type="character" w:customStyle="1" w:styleId="Ttulo8Car">
    <w:name w:val="Título 8 Car"/>
    <w:basedOn w:val="Fuentedeprrafopredeter"/>
    <w:link w:val="Ttulo8"/>
    <w:uiPriority w:val="9"/>
    <w:semiHidden/>
    <w:rsid w:val="00B32CC7"/>
    <w:rPr>
      <w:rFonts w:asciiTheme="majorHAnsi" w:eastAsiaTheme="majorEastAsia" w:hAnsiTheme="majorHAnsi" w:cstheme="majorBidi"/>
      <w:color w:val="272727" w:themeColor="text1" w:themeTint="D8"/>
      <w:sz w:val="21"/>
      <w:szCs w:val="21"/>
    </w:rPr>
  </w:style>
  <w:style w:type="character" w:customStyle="1" w:styleId="PrrafodelistaCar">
    <w:name w:val="Párrafo de lista Car"/>
    <w:aliases w:val="Cita texto Car,Footnote Car,List Paragraph1 Car,Colorful List - Accent 11 Car,Párrafo de lista1 Car,Cuadrícula clara - Énfasis 31 Car,TEXTO GENERAL SENTENCIAS Car,Lista multicolor - Énfasis 11 Car,Dot pt Car,No Spacing1 Car"/>
    <w:link w:val="Prrafodelista"/>
    <w:qFormat/>
    <w:locked/>
    <w:rsid w:val="00B32CC7"/>
    <w:rPr>
      <w:rFonts w:ascii="Arial" w:hAnsi="Arial" w:cs="Arial"/>
      <w:sz w:val="24"/>
      <w:szCs w:val="24"/>
    </w:rPr>
  </w:style>
  <w:style w:type="character" w:styleId="Refdecomentario">
    <w:name w:val="annotation reference"/>
    <w:basedOn w:val="Fuentedeprrafopredeter"/>
    <w:uiPriority w:val="99"/>
    <w:semiHidden/>
    <w:unhideWhenUsed/>
    <w:rsid w:val="00B32CC7"/>
    <w:rPr>
      <w:sz w:val="16"/>
      <w:szCs w:val="16"/>
    </w:rPr>
  </w:style>
  <w:style w:type="paragraph" w:styleId="Textocomentario">
    <w:name w:val="annotation text"/>
    <w:basedOn w:val="Normal"/>
    <w:link w:val="TextocomentarioCar"/>
    <w:uiPriority w:val="99"/>
    <w:unhideWhenUsed/>
    <w:rsid w:val="00B32CC7"/>
    <w:pPr>
      <w:spacing w:line="240" w:lineRule="auto"/>
    </w:pPr>
    <w:rPr>
      <w:sz w:val="20"/>
      <w:szCs w:val="20"/>
    </w:rPr>
  </w:style>
  <w:style w:type="character" w:customStyle="1" w:styleId="TextocomentarioCar">
    <w:name w:val="Texto comentario Car"/>
    <w:basedOn w:val="Fuentedeprrafopredeter"/>
    <w:link w:val="Textocomentario"/>
    <w:uiPriority w:val="99"/>
    <w:rsid w:val="00B32CC7"/>
    <w:rPr>
      <w:rFonts w:ascii="Arial" w:hAnsi="Arial" w:cs="Arial"/>
      <w:sz w:val="20"/>
      <w:szCs w:val="20"/>
    </w:rPr>
  </w:style>
  <w:style w:type="character" w:styleId="Hipervnculo">
    <w:name w:val="Hyperlink"/>
    <w:uiPriority w:val="99"/>
    <w:unhideWhenUsed/>
    <w:rsid w:val="00B32CC7"/>
    <w:rPr>
      <w:color w:val="0000FF"/>
      <w:u w:val="single"/>
    </w:rPr>
  </w:style>
  <w:style w:type="paragraph" w:styleId="Asuntodelcomentario">
    <w:name w:val="annotation subject"/>
    <w:basedOn w:val="Textocomentario"/>
    <w:next w:val="Textocomentario"/>
    <w:link w:val="AsuntodelcomentarioCar"/>
    <w:uiPriority w:val="99"/>
    <w:semiHidden/>
    <w:unhideWhenUsed/>
    <w:rsid w:val="00F27550"/>
    <w:rPr>
      <w:b/>
      <w:bCs/>
    </w:rPr>
  </w:style>
  <w:style w:type="character" w:customStyle="1" w:styleId="AsuntodelcomentarioCar">
    <w:name w:val="Asunto del comentario Car"/>
    <w:basedOn w:val="TextocomentarioCar"/>
    <w:link w:val="Asuntodelcomentario"/>
    <w:uiPriority w:val="99"/>
    <w:semiHidden/>
    <w:rsid w:val="00F27550"/>
    <w:rPr>
      <w:rFonts w:ascii="Arial" w:hAnsi="Arial" w:cs="Arial"/>
      <w:b/>
      <w:bCs/>
      <w:sz w:val="20"/>
      <w:szCs w:val="20"/>
    </w:rPr>
  </w:style>
  <w:style w:type="character" w:customStyle="1" w:styleId="corte4fondoCar3">
    <w:name w:val="corte4 fondo Car3"/>
    <w:locked/>
    <w:rsid w:val="00C16681"/>
    <w:rPr>
      <w:rFonts w:ascii="Arial" w:eastAsia="Times New Roman" w:hAnsi="Arial" w:cs="Times New Roman"/>
      <w:kern w:val="0"/>
      <w:sz w:val="30"/>
      <w:szCs w:val="20"/>
      <w:lang w:val="es-ES_tradnl" w:eastAsia="es-MX"/>
      <w14:ligatures w14:val="none"/>
    </w:rPr>
  </w:style>
  <w:style w:type="paragraph" w:styleId="NormalWeb">
    <w:name w:val="Normal (Web)"/>
    <w:basedOn w:val="Normal"/>
    <w:uiPriority w:val="99"/>
    <w:semiHidden/>
    <w:unhideWhenUsed/>
    <w:rsid w:val="00845F4C"/>
    <w:rPr>
      <w:rFonts w:ascii="Times New Roman" w:hAnsi="Times New Roman" w:cs="Times New Roman"/>
    </w:rPr>
  </w:style>
  <w:style w:type="paragraph" w:styleId="Revisin">
    <w:name w:val="Revision"/>
    <w:hidden/>
    <w:uiPriority w:val="99"/>
    <w:semiHidden/>
    <w:rsid w:val="000B73F6"/>
    <w:pPr>
      <w:spacing w:after="0" w:line="240" w:lineRule="auto"/>
    </w:pPr>
    <w:rPr>
      <w:rFonts w:ascii="Arial" w:hAnsi="Arial" w:cs="Arial"/>
      <w:sz w:val="24"/>
      <w:szCs w:val="24"/>
    </w:rPr>
  </w:style>
  <w:style w:type="paragraph" w:customStyle="1" w:styleId="Default">
    <w:name w:val="Default"/>
    <w:rsid w:val="00835C11"/>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corte4fondoCar2">
    <w:name w:val="corte4 fondo Car2"/>
    <w:rsid w:val="008A6398"/>
    <w:rPr>
      <w:rFonts w:ascii="Arial" w:eastAsia="Times New Roman" w:hAnsi="Arial" w:cs="Times New Roman"/>
      <w:sz w:val="30"/>
      <w:szCs w:val="20"/>
      <w:lang w:val="es-ES_tradnl" w:eastAsia="es-MX"/>
    </w:rPr>
  </w:style>
  <w:style w:type="paragraph" w:customStyle="1" w:styleId="Piedepagina">
    <w:name w:val="Pie de pagina"/>
    <w:basedOn w:val="Normal"/>
    <w:rsid w:val="008A6398"/>
    <w:pPr>
      <w:spacing w:before="0" w:after="160" w:line="240" w:lineRule="exact"/>
      <w:jc w:val="left"/>
    </w:pPr>
    <w:rPr>
      <w:rFonts w:ascii="Calibri" w:eastAsia="Calibri" w:hAnsi="Calibri" w:cs="Times New Roman"/>
      <w:sz w:val="20"/>
      <w:szCs w:val="20"/>
      <w:vertAlign w:val="superscript"/>
      <w:lang w:eastAsia="es-MX"/>
    </w:rPr>
  </w:style>
  <w:style w:type="character" w:customStyle="1" w:styleId="cf01">
    <w:name w:val="cf01"/>
    <w:basedOn w:val="Fuentedeprrafopredeter"/>
    <w:rsid w:val="008A6398"/>
    <w:rPr>
      <w:rFonts w:ascii="Segoe UI" w:hAnsi="Segoe UI" w:cs="Segoe UI" w:hint="default"/>
      <w:color w:val="212529"/>
      <w:sz w:val="18"/>
      <w:szCs w:val="18"/>
      <w:shd w:val="clear" w:color="auto" w:fill="FFFFFF"/>
    </w:rPr>
  </w:style>
  <w:style w:type="table" w:customStyle="1" w:styleId="Tablaconcuadrcula1">
    <w:name w:val="Tabla con cuadrícula1"/>
    <w:basedOn w:val="Tablanormal"/>
    <w:next w:val="Tablaconcuadrcula"/>
    <w:uiPriority w:val="59"/>
    <w:rsid w:val="00F01FF4"/>
    <w:pPr>
      <w:spacing w:after="0" w:line="240" w:lineRule="auto"/>
    </w:pPr>
    <w:rPr>
      <w:rFonts w:ascii="Times New Roman" w:eastAsia="Times New Roman" w:hAnsi="Times New Roman" w:cs="Times New Roman"/>
      <w:sz w:val="20"/>
      <w:szCs w:val="20"/>
      <w:lang w:eastAsia="es-MX"/>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Car">
    <w:name w:val="Texto Car"/>
    <w:link w:val="Texto"/>
    <w:locked/>
    <w:rsid w:val="00402A3C"/>
    <w:rPr>
      <w:rFonts w:ascii="Arial" w:eastAsia="Times New Roman" w:hAnsi="Arial" w:cs="Arial"/>
      <w:sz w:val="18"/>
      <w:lang w:val="es-ES" w:eastAsia="es-ES"/>
    </w:rPr>
  </w:style>
  <w:style w:type="paragraph" w:customStyle="1" w:styleId="Texto">
    <w:name w:val="Texto"/>
    <w:aliases w:val="independiente,independiente Car Car Car"/>
    <w:basedOn w:val="Normal"/>
    <w:link w:val="TextoCar"/>
    <w:rsid w:val="00402A3C"/>
    <w:pPr>
      <w:spacing w:before="0" w:after="101" w:line="216" w:lineRule="exact"/>
      <w:ind w:firstLine="288"/>
    </w:pPr>
    <w:rPr>
      <w:rFonts w:eastAsia="Times New Roman"/>
      <w:sz w:val="18"/>
      <w:szCs w:val="22"/>
      <w:lang w:val="es-ES" w:eastAsia="es-ES"/>
    </w:rPr>
  </w:style>
  <w:style w:type="paragraph" w:customStyle="1" w:styleId="Estilo">
    <w:name w:val="Estilo"/>
    <w:basedOn w:val="Sinespaciado"/>
    <w:link w:val="EstiloCar"/>
    <w:qFormat/>
    <w:rsid w:val="00402A3C"/>
    <w:pPr>
      <w:spacing w:line="240" w:lineRule="auto"/>
    </w:pPr>
    <w:rPr>
      <w:rFonts w:cstheme="minorBidi"/>
      <w:sz w:val="24"/>
      <w:szCs w:val="22"/>
    </w:rPr>
  </w:style>
  <w:style w:type="character" w:customStyle="1" w:styleId="EstiloCar">
    <w:name w:val="Estilo Car"/>
    <w:basedOn w:val="Fuentedeprrafopredeter"/>
    <w:link w:val="Estilo"/>
    <w:rsid w:val="00402A3C"/>
    <w:rPr>
      <w:rFonts w:ascii="Arial" w:hAnsi="Arial"/>
      <w:sz w:val="24"/>
    </w:rPr>
  </w:style>
  <w:style w:type="character" w:customStyle="1" w:styleId="SinespaciadoCar">
    <w:name w:val="Sin espaciado Car"/>
    <w:link w:val="Sinespaciado"/>
    <w:uiPriority w:val="99"/>
    <w:locked/>
    <w:rsid w:val="00F0418C"/>
    <w:rPr>
      <w:rFonts w:ascii="Arial" w:hAnsi="Arial" w:cs="Arial"/>
      <w:sz w:val="16"/>
      <w:szCs w:val="16"/>
    </w:rPr>
  </w:style>
  <w:style w:type="character" w:customStyle="1" w:styleId="Ttulo5Car">
    <w:name w:val="Título 5 Car"/>
    <w:basedOn w:val="Fuentedeprrafopredeter"/>
    <w:link w:val="Ttulo5"/>
    <w:uiPriority w:val="9"/>
    <w:rsid w:val="0029550E"/>
    <w:rPr>
      <w:rFonts w:ascii="Arial" w:hAnsi="Arial" w:cs="Arial"/>
      <w:b/>
      <w:sz w:val="26"/>
      <w:szCs w:val="26"/>
      <w:lang w:val="es-ES"/>
    </w:rPr>
  </w:style>
  <w:style w:type="character" w:styleId="Mencinsinresolver">
    <w:name w:val="Unresolved Mention"/>
    <w:basedOn w:val="Fuentedeprrafopredeter"/>
    <w:uiPriority w:val="99"/>
    <w:semiHidden/>
    <w:unhideWhenUsed/>
    <w:rsid w:val="00AD6A2D"/>
    <w:rPr>
      <w:color w:val="605E5C"/>
      <w:shd w:val="clear" w:color="auto" w:fill="E1DFDD"/>
    </w:rPr>
  </w:style>
  <w:style w:type="character" w:styleId="Fuerte">
    <w:name w:val="Strong"/>
    <w:uiPriority w:val="22"/>
    <w:qFormat/>
    <w:rsid w:val="00B759FB"/>
    <w:rPr>
      <w:b/>
      <w:bCs/>
    </w:rPr>
  </w:style>
  <w:style w:type="character" w:customStyle="1" w:styleId="ng-star-inserted">
    <w:name w:val="ng-star-inserted"/>
    <w:basedOn w:val="Fuentedeprrafopredeter"/>
    <w:rsid w:val="00B759FB"/>
  </w:style>
  <w:style w:type="character" w:customStyle="1" w:styleId="Ttulo7Car">
    <w:name w:val="Título 7 Car"/>
    <w:basedOn w:val="Fuentedeprrafopredeter"/>
    <w:link w:val="Ttulo7"/>
    <w:uiPriority w:val="9"/>
    <w:rsid w:val="009B6D58"/>
    <w:rPr>
      <w:rFonts w:ascii="Arial" w:eastAsia="Times New Roman" w:hAnsi="Arial" w:cs="Arial"/>
      <w:color w:val="1F3864" w:themeColor="accent1" w:themeShade="80"/>
      <w:sz w:val="26"/>
      <w:szCs w:val="26"/>
      <w:u w:val="single"/>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4585">
      <w:bodyDiv w:val="1"/>
      <w:marLeft w:val="0"/>
      <w:marRight w:val="0"/>
      <w:marTop w:val="0"/>
      <w:marBottom w:val="0"/>
      <w:divBdr>
        <w:top w:val="none" w:sz="0" w:space="0" w:color="auto"/>
        <w:left w:val="none" w:sz="0" w:space="0" w:color="auto"/>
        <w:bottom w:val="none" w:sz="0" w:space="0" w:color="auto"/>
        <w:right w:val="none" w:sz="0" w:space="0" w:color="auto"/>
      </w:divBdr>
      <w:divsChild>
        <w:div w:id="1415584786">
          <w:marLeft w:val="0"/>
          <w:marRight w:val="0"/>
          <w:marTop w:val="0"/>
          <w:marBottom w:val="0"/>
          <w:divBdr>
            <w:top w:val="none" w:sz="0" w:space="0" w:color="auto"/>
            <w:left w:val="none" w:sz="0" w:space="0" w:color="auto"/>
            <w:bottom w:val="none" w:sz="0" w:space="0" w:color="auto"/>
            <w:right w:val="none" w:sz="0" w:space="0" w:color="auto"/>
          </w:divBdr>
          <w:divsChild>
            <w:div w:id="1392776699">
              <w:marLeft w:val="0"/>
              <w:marRight w:val="0"/>
              <w:marTop w:val="0"/>
              <w:marBottom w:val="0"/>
              <w:divBdr>
                <w:top w:val="none" w:sz="0" w:space="0" w:color="auto"/>
                <w:left w:val="none" w:sz="0" w:space="0" w:color="auto"/>
                <w:bottom w:val="none" w:sz="0" w:space="0" w:color="auto"/>
                <w:right w:val="none" w:sz="0" w:space="0" w:color="auto"/>
              </w:divBdr>
              <w:divsChild>
                <w:div w:id="931165241">
                  <w:marLeft w:val="0"/>
                  <w:marRight w:val="0"/>
                  <w:marTop w:val="0"/>
                  <w:marBottom w:val="0"/>
                  <w:divBdr>
                    <w:top w:val="none" w:sz="0" w:space="0" w:color="auto"/>
                    <w:left w:val="none" w:sz="0" w:space="0" w:color="auto"/>
                    <w:bottom w:val="none" w:sz="0" w:space="0" w:color="auto"/>
                    <w:right w:val="none" w:sz="0" w:space="0" w:color="auto"/>
                  </w:divBdr>
                  <w:divsChild>
                    <w:div w:id="97433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54446">
      <w:bodyDiv w:val="1"/>
      <w:marLeft w:val="0"/>
      <w:marRight w:val="0"/>
      <w:marTop w:val="0"/>
      <w:marBottom w:val="0"/>
      <w:divBdr>
        <w:top w:val="none" w:sz="0" w:space="0" w:color="auto"/>
        <w:left w:val="none" w:sz="0" w:space="0" w:color="auto"/>
        <w:bottom w:val="none" w:sz="0" w:space="0" w:color="auto"/>
        <w:right w:val="none" w:sz="0" w:space="0" w:color="auto"/>
      </w:divBdr>
      <w:divsChild>
        <w:div w:id="1613321323">
          <w:marLeft w:val="0"/>
          <w:marRight w:val="0"/>
          <w:marTop w:val="0"/>
          <w:marBottom w:val="0"/>
          <w:divBdr>
            <w:top w:val="none" w:sz="0" w:space="0" w:color="auto"/>
            <w:left w:val="none" w:sz="0" w:space="0" w:color="auto"/>
            <w:bottom w:val="none" w:sz="0" w:space="0" w:color="auto"/>
            <w:right w:val="none" w:sz="0" w:space="0" w:color="auto"/>
          </w:divBdr>
          <w:divsChild>
            <w:div w:id="1910381489">
              <w:marLeft w:val="0"/>
              <w:marRight w:val="0"/>
              <w:marTop w:val="0"/>
              <w:marBottom w:val="0"/>
              <w:divBdr>
                <w:top w:val="none" w:sz="0" w:space="0" w:color="auto"/>
                <w:left w:val="none" w:sz="0" w:space="0" w:color="auto"/>
                <w:bottom w:val="none" w:sz="0" w:space="0" w:color="auto"/>
                <w:right w:val="none" w:sz="0" w:space="0" w:color="auto"/>
              </w:divBdr>
              <w:divsChild>
                <w:div w:id="805971496">
                  <w:marLeft w:val="0"/>
                  <w:marRight w:val="0"/>
                  <w:marTop w:val="0"/>
                  <w:marBottom w:val="0"/>
                  <w:divBdr>
                    <w:top w:val="none" w:sz="0" w:space="0" w:color="auto"/>
                    <w:left w:val="none" w:sz="0" w:space="0" w:color="auto"/>
                    <w:bottom w:val="none" w:sz="0" w:space="0" w:color="auto"/>
                    <w:right w:val="none" w:sz="0" w:space="0" w:color="auto"/>
                  </w:divBdr>
                  <w:divsChild>
                    <w:div w:id="164974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437013">
          <w:marLeft w:val="0"/>
          <w:marRight w:val="0"/>
          <w:marTop w:val="0"/>
          <w:marBottom w:val="0"/>
          <w:divBdr>
            <w:top w:val="none" w:sz="0" w:space="0" w:color="auto"/>
            <w:left w:val="none" w:sz="0" w:space="0" w:color="auto"/>
            <w:bottom w:val="none" w:sz="0" w:space="0" w:color="auto"/>
            <w:right w:val="none" w:sz="0" w:space="0" w:color="auto"/>
          </w:divBdr>
          <w:divsChild>
            <w:div w:id="1510409369">
              <w:marLeft w:val="0"/>
              <w:marRight w:val="0"/>
              <w:marTop w:val="0"/>
              <w:marBottom w:val="0"/>
              <w:divBdr>
                <w:top w:val="none" w:sz="0" w:space="0" w:color="auto"/>
                <w:left w:val="none" w:sz="0" w:space="0" w:color="auto"/>
                <w:bottom w:val="none" w:sz="0" w:space="0" w:color="auto"/>
                <w:right w:val="none" w:sz="0" w:space="0" w:color="auto"/>
              </w:divBdr>
              <w:divsChild>
                <w:div w:id="351611986">
                  <w:marLeft w:val="0"/>
                  <w:marRight w:val="0"/>
                  <w:marTop w:val="0"/>
                  <w:marBottom w:val="0"/>
                  <w:divBdr>
                    <w:top w:val="none" w:sz="0" w:space="0" w:color="auto"/>
                    <w:left w:val="none" w:sz="0" w:space="0" w:color="auto"/>
                    <w:bottom w:val="none" w:sz="0" w:space="0" w:color="auto"/>
                    <w:right w:val="none" w:sz="0" w:space="0" w:color="auto"/>
                  </w:divBdr>
                  <w:divsChild>
                    <w:div w:id="51060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17277">
      <w:bodyDiv w:val="1"/>
      <w:marLeft w:val="0"/>
      <w:marRight w:val="0"/>
      <w:marTop w:val="0"/>
      <w:marBottom w:val="0"/>
      <w:divBdr>
        <w:top w:val="none" w:sz="0" w:space="0" w:color="auto"/>
        <w:left w:val="none" w:sz="0" w:space="0" w:color="auto"/>
        <w:bottom w:val="none" w:sz="0" w:space="0" w:color="auto"/>
        <w:right w:val="none" w:sz="0" w:space="0" w:color="auto"/>
      </w:divBdr>
      <w:divsChild>
        <w:div w:id="1949700394">
          <w:marLeft w:val="0"/>
          <w:marRight w:val="0"/>
          <w:marTop w:val="0"/>
          <w:marBottom w:val="0"/>
          <w:divBdr>
            <w:top w:val="none" w:sz="0" w:space="0" w:color="auto"/>
            <w:left w:val="none" w:sz="0" w:space="0" w:color="auto"/>
            <w:bottom w:val="none" w:sz="0" w:space="0" w:color="auto"/>
            <w:right w:val="none" w:sz="0" w:space="0" w:color="auto"/>
          </w:divBdr>
          <w:divsChild>
            <w:div w:id="292756518">
              <w:marLeft w:val="0"/>
              <w:marRight w:val="0"/>
              <w:marTop w:val="0"/>
              <w:marBottom w:val="0"/>
              <w:divBdr>
                <w:top w:val="none" w:sz="0" w:space="0" w:color="auto"/>
                <w:left w:val="none" w:sz="0" w:space="0" w:color="auto"/>
                <w:bottom w:val="none" w:sz="0" w:space="0" w:color="auto"/>
                <w:right w:val="none" w:sz="0" w:space="0" w:color="auto"/>
              </w:divBdr>
              <w:divsChild>
                <w:div w:id="282880298">
                  <w:marLeft w:val="0"/>
                  <w:marRight w:val="0"/>
                  <w:marTop w:val="0"/>
                  <w:marBottom w:val="0"/>
                  <w:divBdr>
                    <w:top w:val="none" w:sz="0" w:space="0" w:color="auto"/>
                    <w:left w:val="none" w:sz="0" w:space="0" w:color="auto"/>
                    <w:bottom w:val="none" w:sz="0" w:space="0" w:color="auto"/>
                    <w:right w:val="none" w:sz="0" w:space="0" w:color="auto"/>
                  </w:divBdr>
                  <w:divsChild>
                    <w:div w:id="148755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49140">
      <w:bodyDiv w:val="1"/>
      <w:marLeft w:val="0"/>
      <w:marRight w:val="0"/>
      <w:marTop w:val="0"/>
      <w:marBottom w:val="0"/>
      <w:divBdr>
        <w:top w:val="none" w:sz="0" w:space="0" w:color="auto"/>
        <w:left w:val="none" w:sz="0" w:space="0" w:color="auto"/>
        <w:bottom w:val="none" w:sz="0" w:space="0" w:color="auto"/>
        <w:right w:val="none" w:sz="0" w:space="0" w:color="auto"/>
      </w:divBdr>
      <w:divsChild>
        <w:div w:id="726613710">
          <w:marLeft w:val="0"/>
          <w:marRight w:val="0"/>
          <w:marTop w:val="0"/>
          <w:marBottom w:val="0"/>
          <w:divBdr>
            <w:top w:val="none" w:sz="0" w:space="0" w:color="auto"/>
            <w:left w:val="none" w:sz="0" w:space="0" w:color="auto"/>
            <w:bottom w:val="none" w:sz="0" w:space="0" w:color="auto"/>
            <w:right w:val="none" w:sz="0" w:space="0" w:color="auto"/>
          </w:divBdr>
          <w:divsChild>
            <w:div w:id="1789541761">
              <w:marLeft w:val="0"/>
              <w:marRight w:val="0"/>
              <w:marTop w:val="0"/>
              <w:marBottom w:val="0"/>
              <w:divBdr>
                <w:top w:val="none" w:sz="0" w:space="0" w:color="auto"/>
                <w:left w:val="none" w:sz="0" w:space="0" w:color="auto"/>
                <w:bottom w:val="none" w:sz="0" w:space="0" w:color="auto"/>
                <w:right w:val="none" w:sz="0" w:space="0" w:color="auto"/>
              </w:divBdr>
              <w:divsChild>
                <w:div w:id="1815875301">
                  <w:marLeft w:val="0"/>
                  <w:marRight w:val="0"/>
                  <w:marTop w:val="0"/>
                  <w:marBottom w:val="0"/>
                  <w:divBdr>
                    <w:top w:val="none" w:sz="0" w:space="0" w:color="auto"/>
                    <w:left w:val="none" w:sz="0" w:space="0" w:color="auto"/>
                    <w:bottom w:val="none" w:sz="0" w:space="0" w:color="auto"/>
                    <w:right w:val="none" w:sz="0" w:space="0" w:color="auto"/>
                  </w:divBdr>
                  <w:divsChild>
                    <w:div w:id="196130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355286">
      <w:bodyDiv w:val="1"/>
      <w:marLeft w:val="0"/>
      <w:marRight w:val="0"/>
      <w:marTop w:val="0"/>
      <w:marBottom w:val="0"/>
      <w:divBdr>
        <w:top w:val="none" w:sz="0" w:space="0" w:color="auto"/>
        <w:left w:val="none" w:sz="0" w:space="0" w:color="auto"/>
        <w:bottom w:val="none" w:sz="0" w:space="0" w:color="auto"/>
        <w:right w:val="none" w:sz="0" w:space="0" w:color="auto"/>
      </w:divBdr>
      <w:divsChild>
        <w:div w:id="1400439231">
          <w:marLeft w:val="0"/>
          <w:marRight w:val="0"/>
          <w:marTop w:val="0"/>
          <w:marBottom w:val="0"/>
          <w:divBdr>
            <w:top w:val="none" w:sz="0" w:space="0" w:color="auto"/>
            <w:left w:val="none" w:sz="0" w:space="0" w:color="auto"/>
            <w:bottom w:val="none" w:sz="0" w:space="0" w:color="auto"/>
            <w:right w:val="none" w:sz="0" w:space="0" w:color="auto"/>
          </w:divBdr>
          <w:divsChild>
            <w:div w:id="538859231">
              <w:marLeft w:val="0"/>
              <w:marRight w:val="0"/>
              <w:marTop w:val="0"/>
              <w:marBottom w:val="0"/>
              <w:divBdr>
                <w:top w:val="none" w:sz="0" w:space="0" w:color="auto"/>
                <w:left w:val="none" w:sz="0" w:space="0" w:color="auto"/>
                <w:bottom w:val="none" w:sz="0" w:space="0" w:color="auto"/>
                <w:right w:val="none" w:sz="0" w:space="0" w:color="auto"/>
              </w:divBdr>
              <w:divsChild>
                <w:div w:id="1644500868">
                  <w:marLeft w:val="0"/>
                  <w:marRight w:val="0"/>
                  <w:marTop w:val="0"/>
                  <w:marBottom w:val="0"/>
                  <w:divBdr>
                    <w:top w:val="none" w:sz="0" w:space="0" w:color="auto"/>
                    <w:left w:val="none" w:sz="0" w:space="0" w:color="auto"/>
                    <w:bottom w:val="none" w:sz="0" w:space="0" w:color="auto"/>
                    <w:right w:val="none" w:sz="0" w:space="0" w:color="auto"/>
                  </w:divBdr>
                  <w:divsChild>
                    <w:div w:id="857934835">
                      <w:marLeft w:val="0"/>
                      <w:marRight w:val="0"/>
                      <w:marTop w:val="0"/>
                      <w:marBottom w:val="0"/>
                      <w:divBdr>
                        <w:top w:val="none" w:sz="0" w:space="0" w:color="auto"/>
                        <w:left w:val="none" w:sz="0" w:space="0" w:color="auto"/>
                        <w:bottom w:val="none" w:sz="0" w:space="0" w:color="auto"/>
                        <w:right w:val="none" w:sz="0" w:space="0" w:color="auto"/>
                      </w:divBdr>
                      <w:divsChild>
                        <w:div w:id="198323214">
                          <w:marLeft w:val="0"/>
                          <w:marRight w:val="0"/>
                          <w:marTop w:val="0"/>
                          <w:marBottom w:val="0"/>
                          <w:divBdr>
                            <w:top w:val="none" w:sz="0" w:space="0" w:color="auto"/>
                            <w:left w:val="none" w:sz="0" w:space="0" w:color="auto"/>
                            <w:bottom w:val="none" w:sz="0" w:space="0" w:color="auto"/>
                            <w:right w:val="none" w:sz="0" w:space="0" w:color="auto"/>
                          </w:divBdr>
                          <w:divsChild>
                            <w:div w:id="142646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92234">
      <w:bodyDiv w:val="1"/>
      <w:marLeft w:val="0"/>
      <w:marRight w:val="0"/>
      <w:marTop w:val="0"/>
      <w:marBottom w:val="0"/>
      <w:divBdr>
        <w:top w:val="none" w:sz="0" w:space="0" w:color="auto"/>
        <w:left w:val="none" w:sz="0" w:space="0" w:color="auto"/>
        <w:bottom w:val="none" w:sz="0" w:space="0" w:color="auto"/>
        <w:right w:val="none" w:sz="0" w:space="0" w:color="auto"/>
      </w:divBdr>
    </w:div>
    <w:div w:id="75519621">
      <w:bodyDiv w:val="1"/>
      <w:marLeft w:val="0"/>
      <w:marRight w:val="0"/>
      <w:marTop w:val="0"/>
      <w:marBottom w:val="0"/>
      <w:divBdr>
        <w:top w:val="none" w:sz="0" w:space="0" w:color="auto"/>
        <w:left w:val="none" w:sz="0" w:space="0" w:color="auto"/>
        <w:bottom w:val="none" w:sz="0" w:space="0" w:color="auto"/>
        <w:right w:val="none" w:sz="0" w:space="0" w:color="auto"/>
      </w:divBdr>
      <w:divsChild>
        <w:div w:id="1381400171">
          <w:marLeft w:val="0"/>
          <w:marRight w:val="0"/>
          <w:marTop w:val="0"/>
          <w:marBottom w:val="0"/>
          <w:divBdr>
            <w:top w:val="none" w:sz="0" w:space="0" w:color="auto"/>
            <w:left w:val="none" w:sz="0" w:space="0" w:color="auto"/>
            <w:bottom w:val="none" w:sz="0" w:space="0" w:color="auto"/>
            <w:right w:val="none" w:sz="0" w:space="0" w:color="auto"/>
          </w:divBdr>
          <w:divsChild>
            <w:div w:id="2002928760">
              <w:marLeft w:val="0"/>
              <w:marRight w:val="0"/>
              <w:marTop w:val="0"/>
              <w:marBottom w:val="0"/>
              <w:divBdr>
                <w:top w:val="none" w:sz="0" w:space="0" w:color="auto"/>
                <w:left w:val="none" w:sz="0" w:space="0" w:color="auto"/>
                <w:bottom w:val="none" w:sz="0" w:space="0" w:color="auto"/>
                <w:right w:val="none" w:sz="0" w:space="0" w:color="auto"/>
              </w:divBdr>
              <w:divsChild>
                <w:div w:id="137773147">
                  <w:marLeft w:val="0"/>
                  <w:marRight w:val="0"/>
                  <w:marTop w:val="0"/>
                  <w:marBottom w:val="0"/>
                  <w:divBdr>
                    <w:top w:val="none" w:sz="0" w:space="0" w:color="auto"/>
                    <w:left w:val="none" w:sz="0" w:space="0" w:color="auto"/>
                    <w:bottom w:val="none" w:sz="0" w:space="0" w:color="auto"/>
                    <w:right w:val="none" w:sz="0" w:space="0" w:color="auto"/>
                  </w:divBdr>
                  <w:divsChild>
                    <w:div w:id="1810828219">
                      <w:marLeft w:val="0"/>
                      <w:marRight w:val="0"/>
                      <w:marTop w:val="0"/>
                      <w:marBottom w:val="0"/>
                      <w:divBdr>
                        <w:top w:val="none" w:sz="0" w:space="0" w:color="auto"/>
                        <w:left w:val="none" w:sz="0" w:space="0" w:color="auto"/>
                        <w:bottom w:val="none" w:sz="0" w:space="0" w:color="auto"/>
                        <w:right w:val="none" w:sz="0" w:space="0" w:color="auto"/>
                      </w:divBdr>
                      <w:divsChild>
                        <w:div w:id="366835913">
                          <w:marLeft w:val="0"/>
                          <w:marRight w:val="0"/>
                          <w:marTop w:val="0"/>
                          <w:marBottom w:val="0"/>
                          <w:divBdr>
                            <w:top w:val="none" w:sz="0" w:space="0" w:color="auto"/>
                            <w:left w:val="none" w:sz="0" w:space="0" w:color="auto"/>
                            <w:bottom w:val="none" w:sz="0" w:space="0" w:color="auto"/>
                            <w:right w:val="none" w:sz="0" w:space="0" w:color="auto"/>
                          </w:divBdr>
                          <w:divsChild>
                            <w:div w:id="1627542357">
                              <w:marLeft w:val="0"/>
                              <w:marRight w:val="0"/>
                              <w:marTop w:val="0"/>
                              <w:marBottom w:val="0"/>
                              <w:divBdr>
                                <w:top w:val="none" w:sz="0" w:space="0" w:color="auto"/>
                                <w:left w:val="none" w:sz="0" w:space="0" w:color="auto"/>
                                <w:bottom w:val="none" w:sz="0" w:space="0" w:color="auto"/>
                                <w:right w:val="none" w:sz="0" w:space="0" w:color="auto"/>
                              </w:divBdr>
                              <w:divsChild>
                                <w:div w:id="2100173154">
                                  <w:marLeft w:val="0"/>
                                  <w:marRight w:val="0"/>
                                  <w:marTop w:val="0"/>
                                  <w:marBottom w:val="0"/>
                                  <w:divBdr>
                                    <w:top w:val="none" w:sz="0" w:space="0" w:color="auto"/>
                                    <w:left w:val="none" w:sz="0" w:space="0" w:color="auto"/>
                                    <w:bottom w:val="none" w:sz="0" w:space="0" w:color="auto"/>
                                    <w:right w:val="none" w:sz="0" w:space="0" w:color="auto"/>
                                  </w:divBdr>
                                  <w:divsChild>
                                    <w:div w:id="44782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073983">
                          <w:marLeft w:val="0"/>
                          <w:marRight w:val="0"/>
                          <w:marTop w:val="0"/>
                          <w:marBottom w:val="0"/>
                          <w:divBdr>
                            <w:top w:val="none" w:sz="0" w:space="0" w:color="auto"/>
                            <w:left w:val="none" w:sz="0" w:space="0" w:color="auto"/>
                            <w:bottom w:val="none" w:sz="0" w:space="0" w:color="auto"/>
                            <w:right w:val="none" w:sz="0" w:space="0" w:color="auto"/>
                          </w:divBdr>
                          <w:divsChild>
                            <w:div w:id="480073443">
                              <w:marLeft w:val="0"/>
                              <w:marRight w:val="0"/>
                              <w:marTop w:val="0"/>
                              <w:marBottom w:val="0"/>
                              <w:divBdr>
                                <w:top w:val="none" w:sz="0" w:space="0" w:color="auto"/>
                                <w:left w:val="none" w:sz="0" w:space="0" w:color="auto"/>
                                <w:bottom w:val="none" w:sz="0" w:space="0" w:color="auto"/>
                                <w:right w:val="none" w:sz="0" w:space="0" w:color="auto"/>
                              </w:divBdr>
                              <w:divsChild>
                                <w:div w:id="1188518675">
                                  <w:marLeft w:val="0"/>
                                  <w:marRight w:val="0"/>
                                  <w:marTop w:val="0"/>
                                  <w:marBottom w:val="0"/>
                                  <w:divBdr>
                                    <w:top w:val="none" w:sz="0" w:space="0" w:color="auto"/>
                                    <w:left w:val="none" w:sz="0" w:space="0" w:color="auto"/>
                                    <w:bottom w:val="none" w:sz="0" w:space="0" w:color="auto"/>
                                    <w:right w:val="none" w:sz="0" w:space="0" w:color="auto"/>
                                  </w:divBdr>
                                  <w:divsChild>
                                    <w:div w:id="19373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897023">
      <w:bodyDiv w:val="1"/>
      <w:marLeft w:val="0"/>
      <w:marRight w:val="0"/>
      <w:marTop w:val="0"/>
      <w:marBottom w:val="0"/>
      <w:divBdr>
        <w:top w:val="none" w:sz="0" w:space="0" w:color="auto"/>
        <w:left w:val="none" w:sz="0" w:space="0" w:color="auto"/>
        <w:bottom w:val="none" w:sz="0" w:space="0" w:color="auto"/>
        <w:right w:val="none" w:sz="0" w:space="0" w:color="auto"/>
      </w:divBdr>
    </w:div>
    <w:div w:id="94177770">
      <w:bodyDiv w:val="1"/>
      <w:marLeft w:val="0"/>
      <w:marRight w:val="0"/>
      <w:marTop w:val="0"/>
      <w:marBottom w:val="0"/>
      <w:divBdr>
        <w:top w:val="none" w:sz="0" w:space="0" w:color="auto"/>
        <w:left w:val="none" w:sz="0" w:space="0" w:color="auto"/>
        <w:bottom w:val="none" w:sz="0" w:space="0" w:color="auto"/>
        <w:right w:val="none" w:sz="0" w:space="0" w:color="auto"/>
      </w:divBdr>
      <w:divsChild>
        <w:div w:id="500391162">
          <w:marLeft w:val="0"/>
          <w:marRight w:val="0"/>
          <w:marTop w:val="0"/>
          <w:marBottom w:val="0"/>
          <w:divBdr>
            <w:top w:val="none" w:sz="0" w:space="0" w:color="auto"/>
            <w:left w:val="none" w:sz="0" w:space="0" w:color="auto"/>
            <w:bottom w:val="none" w:sz="0" w:space="0" w:color="auto"/>
            <w:right w:val="none" w:sz="0" w:space="0" w:color="auto"/>
          </w:divBdr>
          <w:divsChild>
            <w:div w:id="2064714236">
              <w:marLeft w:val="0"/>
              <w:marRight w:val="0"/>
              <w:marTop w:val="0"/>
              <w:marBottom w:val="0"/>
              <w:divBdr>
                <w:top w:val="none" w:sz="0" w:space="0" w:color="auto"/>
                <w:left w:val="none" w:sz="0" w:space="0" w:color="auto"/>
                <w:bottom w:val="none" w:sz="0" w:space="0" w:color="auto"/>
                <w:right w:val="none" w:sz="0" w:space="0" w:color="auto"/>
              </w:divBdr>
              <w:divsChild>
                <w:div w:id="1619801749">
                  <w:marLeft w:val="0"/>
                  <w:marRight w:val="0"/>
                  <w:marTop w:val="0"/>
                  <w:marBottom w:val="0"/>
                  <w:divBdr>
                    <w:top w:val="none" w:sz="0" w:space="0" w:color="auto"/>
                    <w:left w:val="none" w:sz="0" w:space="0" w:color="auto"/>
                    <w:bottom w:val="none" w:sz="0" w:space="0" w:color="auto"/>
                    <w:right w:val="none" w:sz="0" w:space="0" w:color="auto"/>
                  </w:divBdr>
                  <w:divsChild>
                    <w:div w:id="104925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57024">
      <w:bodyDiv w:val="1"/>
      <w:marLeft w:val="0"/>
      <w:marRight w:val="0"/>
      <w:marTop w:val="0"/>
      <w:marBottom w:val="0"/>
      <w:divBdr>
        <w:top w:val="none" w:sz="0" w:space="0" w:color="auto"/>
        <w:left w:val="none" w:sz="0" w:space="0" w:color="auto"/>
        <w:bottom w:val="none" w:sz="0" w:space="0" w:color="auto"/>
        <w:right w:val="none" w:sz="0" w:space="0" w:color="auto"/>
      </w:divBdr>
      <w:divsChild>
        <w:div w:id="1067612108">
          <w:marLeft w:val="0"/>
          <w:marRight w:val="0"/>
          <w:marTop w:val="0"/>
          <w:marBottom w:val="0"/>
          <w:divBdr>
            <w:top w:val="none" w:sz="0" w:space="0" w:color="auto"/>
            <w:left w:val="none" w:sz="0" w:space="0" w:color="auto"/>
            <w:bottom w:val="none" w:sz="0" w:space="0" w:color="auto"/>
            <w:right w:val="none" w:sz="0" w:space="0" w:color="auto"/>
          </w:divBdr>
          <w:divsChild>
            <w:div w:id="2026863056">
              <w:marLeft w:val="0"/>
              <w:marRight w:val="0"/>
              <w:marTop w:val="0"/>
              <w:marBottom w:val="0"/>
              <w:divBdr>
                <w:top w:val="none" w:sz="0" w:space="0" w:color="auto"/>
                <w:left w:val="none" w:sz="0" w:space="0" w:color="auto"/>
                <w:bottom w:val="none" w:sz="0" w:space="0" w:color="auto"/>
                <w:right w:val="none" w:sz="0" w:space="0" w:color="auto"/>
              </w:divBdr>
              <w:divsChild>
                <w:div w:id="1782650551">
                  <w:marLeft w:val="0"/>
                  <w:marRight w:val="0"/>
                  <w:marTop w:val="0"/>
                  <w:marBottom w:val="0"/>
                  <w:divBdr>
                    <w:top w:val="none" w:sz="0" w:space="0" w:color="auto"/>
                    <w:left w:val="none" w:sz="0" w:space="0" w:color="auto"/>
                    <w:bottom w:val="none" w:sz="0" w:space="0" w:color="auto"/>
                    <w:right w:val="none" w:sz="0" w:space="0" w:color="auto"/>
                  </w:divBdr>
                  <w:divsChild>
                    <w:div w:id="148905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59108">
      <w:bodyDiv w:val="1"/>
      <w:marLeft w:val="0"/>
      <w:marRight w:val="0"/>
      <w:marTop w:val="0"/>
      <w:marBottom w:val="0"/>
      <w:divBdr>
        <w:top w:val="none" w:sz="0" w:space="0" w:color="auto"/>
        <w:left w:val="none" w:sz="0" w:space="0" w:color="auto"/>
        <w:bottom w:val="none" w:sz="0" w:space="0" w:color="auto"/>
        <w:right w:val="none" w:sz="0" w:space="0" w:color="auto"/>
      </w:divBdr>
      <w:divsChild>
        <w:div w:id="1755785552">
          <w:marLeft w:val="0"/>
          <w:marRight w:val="0"/>
          <w:marTop w:val="0"/>
          <w:marBottom w:val="0"/>
          <w:divBdr>
            <w:top w:val="none" w:sz="0" w:space="0" w:color="auto"/>
            <w:left w:val="none" w:sz="0" w:space="0" w:color="auto"/>
            <w:bottom w:val="none" w:sz="0" w:space="0" w:color="auto"/>
            <w:right w:val="none" w:sz="0" w:space="0" w:color="auto"/>
          </w:divBdr>
          <w:divsChild>
            <w:div w:id="1832327286">
              <w:marLeft w:val="0"/>
              <w:marRight w:val="0"/>
              <w:marTop w:val="0"/>
              <w:marBottom w:val="0"/>
              <w:divBdr>
                <w:top w:val="none" w:sz="0" w:space="0" w:color="auto"/>
                <w:left w:val="none" w:sz="0" w:space="0" w:color="auto"/>
                <w:bottom w:val="none" w:sz="0" w:space="0" w:color="auto"/>
                <w:right w:val="none" w:sz="0" w:space="0" w:color="auto"/>
              </w:divBdr>
              <w:divsChild>
                <w:div w:id="935870922">
                  <w:marLeft w:val="0"/>
                  <w:marRight w:val="0"/>
                  <w:marTop w:val="0"/>
                  <w:marBottom w:val="0"/>
                  <w:divBdr>
                    <w:top w:val="none" w:sz="0" w:space="0" w:color="auto"/>
                    <w:left w:val="none" w:sz="0" w:space="0" w:color="auto"/>
                    <w:bottom w:val="none" w:sz="0" w:space="0" w:color="auto"/>
                    <w:right w:val="none" w:sz="0" w:space="0" w:color="auto"/>
                  </w:divBdr>
                  <w:divsChild>
                    <w:div w:id="1323968893">
                      <w:marLeft w:val="0"/>
                      <w:marRight w:val="0"/>
                      <w:marTop w:val="0"/>
                      <w:marBottom w:val="0"/>
                      <w:divBdr>
                        <w:top w:val="none" w:sz="0" w:space="0" w:color="auto"/>
                        <w:left w:val="none" w:sz="0" w:space="0" w:color="auto"/>
                        <w:bottom w:val="none" w:sz="0" w:space="0" w:color="auto"/>
                        <w:right w:val="none" w:sz="0" w:space="0" w:color="auto"/>
                      </w:divBdr>
                      <w:divsChild>
                        <w:div w:id="408229932">
                          <w:marLeft w:val="0"/>
                          <w:marRight w:val="0"/>
                          <w:marTop w:val="0"/>
                          <w:marBottom w:val="0"/>
                          <w:divBdr>
                            <w:top w:val="none" w:sz="0" w:space="0" w:color="auto"/>
                            <w:left w:val="none" w:sz="0" w:space="0" w:color="auto"/>
                            <w:bottom w:val="none" w:sz="0" w:space="0" w:color="auto"/>
                            <w:right w:val="none" w:sz="0" w:space="0" w:color="auto"/>
                          </w:divBdr>
                          <w:divsChild>
                            <w:div w:id="1231695796">
                              <w:marLeft w:val="0"/>
                              <w:marRight w:val="0"/>
                              <w:marTop w:val="0"/>
                              <w:marBottom w:val="0"/>
                              <w:divBdr>
                                <w:top w:val="none" w:sz="0" w:space="0" w:color="auto"/>
                                <w:left w:val="none" w:sz="0" w:space="0" w:color="auto"/>
                                <w:bottom w:val="none" w:sz="0" w:space="0" w:color="auto"/>
                                <w:right w:val="none" w:sz="0" w:space="0" w:color="auto"/>
                              </w:divBdr>
                              <w:divsChild>
                                <w:div w:id="144712925">
                                  <w:marLeft w:val="0"/>
                                  <w:marRight w:val="0"/>
                                  <w:marTop w:val="0"/>
                                  <w:marBottom w:val="0"/>
                                  <w:divBdr>
                                    <w:top w:val="none" w:sz="0" w:space="0" w:color="auto"/>
                                    <w:left w:val="none" w:sz="0" w:space="0" w:color="auto"/>
                                    <w:bottom w:val="none" w:sz="0" w:space="0" w:color="auto"/>
                                    <w:right w:val="none" w:sz="0" w:space="0" w:color="auto"/>
                                  </w:divBdr>
                                  <w:divsChild>
                                    <w:div w:id="149436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324891">
      <w:bodyDiv w:val="1"/>
      <w:marLeft w:val="0"/>
      <w:marRight w:val="0"/>
      <w:marTop w:val="0"/>
      <w:marBottom w:val="0"/>
      <w:divBdr>
        <w:top w:val="none" w:sz="0" w:space="0" w:color="auto"/>
        <w:left w:val="none" w:sz="0" w:space="0" w:color="auto"/>
        <w:bottom w:val="none" w:sz="0" w:space="0" w:color="auto"/>
        <w:right w:val="none" w:sz="0" w:space="0" w:color="auto"/>
      </w:divBdr>
      <w:divsChild>
        <w:div w:id="1411658145">
          <w:marLeft w:val="0"/>
          <w:marRight w:val="0"/>
          <w:marTop w:val="0"/>
          <w:marBottom w:val="0"/>
          <w:divBdr>
            <w:top w:val="none" w:sz="0" w:space="0" w:color="auto"/>
            <w:left w:val="none" w:sz="0" w:space="0" w:color="auto"/>
            <w:bottom w:val="none" w:sz="0" w:space="0" w:color="auto"/>
            <w:right w:val="none" w:sz="0" w:space="0" w:color="auto"/>
          </w:divBdr>
          <w:divsChild>
            <w:div w:id="1628780196">
              <w:marLeft w:val="0"/>
              <w:marRight w:val="0"/>
              <w:marTop w:val="0"/>
              <w:marBottom w:val="0"/>
              <w:divBdr>
                <w:top w:val="none" w:sz="0" w:space="0" w:color="auto"/>
                <w:left w:val="none" w:sz="0" w:space="0" w:color="auto"/>
                <w:bottom w:val="none" w:sz="0" w:space="0" w:color="auto"/>
                <w:right w:val="none" w:sz="0" w:space="0" w:color="auto"/>
              </w:divBdr>
              <w:divsChild>
                <w:div w:id="248200956">
                  <w:marLeft w:val="0"/>
                  <w:marRight w:val="0"/>
                  <w:marTop w:val="0"/>
                  <w:marBottom w:val="0"/>
                  <w:divBdr>
                    <w:top w:val="none" w:sz="0" w:space="0" w:color="auto"/>
                    <w:left w:val="none" w:sz="0" w:space="0" w:color="auto"/>
                    <w:bottom w:val="none" w:sz="0" w:space="0" w:color="auto"/>
                    <w:right w:val="none" w:sz="0" w:space="0" w:color="auto"/>
                  </w:divBdr>
                  <w:divsChild>
                    <w:div w:id="44997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78590">
      <w:bodyDiv w:val="1"/>
      <w:marLeft w:val="0"/>
      <w:marRight w:val="0"/>
      <w:marTop w:val="0"/>
      <w:marBottom w:val="0"/>
      <w:divBdr>
        <w:top w:val="none" w:sz="0" w:space="0" w:color="auto"/>
        <w:left w:val="none" w:sz="0" w:space="0" w:color="auto"/>
        <w:bottom w:val="none" w:sz="0" w:space="0" w:color="auto"/>
        <w:right w:val="none" w:sz="0" w:space="0" w:color="auto"/>
      </w:divBdr>
      <w:divsChild>
        <w:div w:id="1217275847">
          <w:marLeft w:val="0"/>
          <w:marRight w:val="0"/>
          <w:marTop w:val="0"/>
          <w:marBottom w:val="0"/>
          <w:divBdr>
            <w:top w:val="none" w:sz="0" w:space="0" w:color="auto"/>
            <w:left w:val="none" w:sz="0" w:space="0" w:color="auto"/>
            <w:bottom w:val="none" w:sz="0" w:space="0" w:color="auto"/>
            <w:right w:val="none" w:sz="0" w:space="0" w:color="auto"/>
          </w:divBdr>
          <w:divsChild>
            <w:div w:id="856431973">
              <w:marLeft w:val="0"/>
              <w:marRight w:val="0"/>
              <w:marTop w:val="0"/>
              <w:marBottom w:val="0"/>
              <w:divBdr>
                <w:top w:val="none" w:sz="0" w:space="0" w:color="auto"/>
                <w:left w:val="none" w:sz="0" w:space="0" w:color="auto"/>
                <w:bottom w:val="none" w:sz="0" w:space="0" w:color="auto"/>
                <w:right w:val="none" w:sz="0" w:space="0" w:color="auto"/>
              </w:divBdr>
              <w:divsChild>
                <w:div w:id="619993686">
                  <w:marLeft w:val="0"/>
                  <w:marRight w:val="0"/>
                  <w:marTop w:val="0"/>
                  <w:marBottom w:val="0"/>
                  <w:divBdr>
                    <w:top w:val="none" w:sz="0" w:space="0" w:color="auto"/>
                    <w:left w:val="none" w:sz="0" w:space="0" w:color="auto"/>
                    <w:bottom w:val="none" w:sz="0" w:space="0" w:color="auto"/>
                    <w:right w:val="none" w:sz="0" w:space="0" w:color="auto"/>
                  </w:divBdr>
                  <w:divsChild>
                    <w:div w:id="1087002654">
                      <w:marLeft w:val="0"/>
                      <w:marRight w:val="0"/>
                      <w:marTop w:val="0"/>
                      <w:marBottom w:val="0"/>
                      <w:divBdr>
                        <w:top w:val="none" w:sz="0" w:space="0" w:color="auto"/>
                        <w:left w:val="none" w:sz="0" w:space="0" w:color="auto"/>
                        <w:bottom w:val="none" w:sz="0" w:space="0" w:color="auto"/>
                        <w:right w:val="none" w:sz="0" w:space="0" w:color="auto"/>
                      </w:divBdr>
                      <w:divsChild>
                        <w:div w:id="2111469381">
                          <w:marLeft w:val="0"/>
                          <w:marRight w:val="0"/>
                          <w:marTop w:val="0"/>
                          <w:marBottom w:val="0"/>
                          <w:divBdr>
                            <w:top w:val="none" w:sz="0" w:space="0" w:color="auto"/>
                            <w:left w:val="none" w:sz="0" w:space="0" w:color="auto"/>
                            <w:bottom w:val="none" w:sz="0" w:space="0" w:color="auto"/>
                            <w:right w:val="none" w:sz="0" w:space="0" w:color="auto"/>
                          </w:divBdr>
                          <w:divsChild>
                            <w:div w:id="1931041281">
                              <w:marLeft w:val="0"/>
                              <w:marRight w:val="0"/>
                              <w:marTop w:val="0"/>
                              <w:marBottom w:val="0"/>
                              <w:divBdr>
                                <w:top w:val="none" w:sz="0" w:space="0" w:color="auto"/>
                                <w:left w:val="none" w:sz="0" w:space="0" w:color="auto"/>
                                <w:bottom w:val="none" w:sz="0" w:space="0" w:color="auto"/>
                                <w:right w:val="none" w:sz="0" w:space="0" w:color="auto"/>
                              </w:divBdr>
                              <w:divsChild>
                                <w:div w:id="829251143">
                                  <w:marLeft w:val="0"/>
                                  <w:marRight w:val="0"/>
                                  <w:marTop w:val="0"/>
                                  <w:marBottom w:val="0"/>
                                  <w:divBdr>
                                    <w:top w:val="none" w:sz="0" w:space="0" w:color="auto"/>
                                    <w:left w:val="none" w:sz="0" w:space="0" w:color="auto"/>
                                    <w:bottom w:val="none" w:sz="0" w:space="0" w:color="auto"/>
                                    <w:right w:val="none" w:sz="0" w:space="0" w:color="auto"/>
                                  </w:divBdr>
                                  <w:divsChild>
                                    <w:div w:id="30423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456916">
      <w:bodyDiv w:val="1"/>
      <w:marLeft w:val="0"/>
      <w:marRight w:val="0"/>
      <w:marTop w:val="0"/>
      <w:marBottom w:val="0"/>
      <w:divBdr>
        <w:top w:val="none" w:sz="0" w:space="0" w:color="auto"/>
        <w:left w:val="none" w:sz="0" w:space="0" w:color="auto"/>
        <w:bottom w:val="none" w:sz="0" w:space="0" w:color="auto"/>
        <w:right w:val="none" w:sz="0" w:space="0" w:color="auto"/>
      </w:divBdr>
    </w:div>
    <w:div w:id="157890163">
      <w:bodyDiv w:val="1"/>
      <w:marLeft w:val="0"/>
      <w:marRight w:val="0"/>
      <w:marTop w:val="0"/>
      <w:marBottom w:val="0"/>
      <w:divBdr>
        <w:top w:val="none" w:sz="0" w:space="0" w:color="auto"/>
        <w:left w:val="none" w:sz="0" w:space="0" w:color="auto"/>
        <w:bottom w:val="none" w:sz="0" w:space="0" w:color="auto"/>
        <w:right w:val="none" w:sz="0" w:space="0" w:color="auto"/>
      </w:divBdr>
    </w:div>
    <w:div w:id="171990087">
      <w:bodyDiv w:val="1"/>
      <w:marLeft w:val="0"/>
      <w:marRight w:val="0"/>
      <w:marTop w:val="0"/>
      <w:marBottom w:val="0"/>
      <w:divBdr>
        <w:top w:val="none" w:sz="0" w:space="0" w:color="auto"/>
        <w:left w:val="none" w:sz="0" w:space="0" w:color="auto"/>
        <w:bottom w:val="none" w:sz="0" w:space="0" w:color="auto"/>
        <w:right w:val="none" w:sz="0" w:space="0" w:color="auto"/>
      </w:divBdr>
      <w:divsChild>
        <w:div w:id="999771055">
          <w:marLeft w:val="0"/>
          <w:marRight w:val="0"/>
          <w:marTop w:val="0"/>
          <w:marBottom w:val="0"/>
          <w:divBdr>
            <w:top w:val="none" w:sz="0" w:space="0" w:color="auto"/>
            <w:left w:val="none" w:sz="0" w:space="0" w:color="auto"/>
            <w:bottom w:val="none" w:sz="0" w:space="0" w:color="auto"/>
            <w:right w:val="none" w:sz="0" w:space="0" w:color="auto"/>
          </w:divBdr>
          <w:divsChild>
            <w:div w:id="1431662401">
              <w:marLeft w:val="0"/>
              <w:marRight w:val="0"/>
              <w:marTop w:val="0"/>
              <w:marBottom w:val="0"/>
              <w:divBdr>
                <w:top w:val="none" w:sz="0" w:space="0" w:color="auto"/>
                <w:left w:val="none" w:sz="0" w:space="0" w:color="auto"/>
                <w:bottom w:val="none" w:sz="0" w:space="0" w:color="auto"/>
                <w:right w:val="none" w:sz="0" w:space="0" w:color="auto"/>
              </w:divBdr>
              <w:divsChild>
                <w:div w:id="1704018784">
                  <w:marLeft w:val="0"/>
                  <w:marRight w:val="0"/>
                  <w:marTop w:val="0"/>
                  <w:marBottom w:val="0"/>
                  <w:divBdr>
                    <w:top w:val="none" w:sz="0" w:space="0" w:color="auto"/>
                    <w:left w:val="none" w:sz="0" w:space="0" w:color="auto"/>
                    <w:bottom w:val="none" w:sz="0" w:space="0" w:color="auto"/>
                    <w:right w:val="none" w:sz="0" w:space="0" w:color="auto"/>
                  </w:divBdr>
                  <w:divsChild>
                    <w:div w:id="180441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52369">
      <w:bodyDiv w:val="1"/>
      <w:marLeft w:val="0"/>
      <w:marRight w:val="0"/>
      <w:marTop w:val="0"/>
      <w:marBottom w:val="0"/>
      <w:divBdr>
        <w:top w:val="none" w:sz="0" w:space="0" w:color="auto"/>
        <w:left w:val="none" w:sz="0" w:space="0" w:color="auto"/>
        <w:bottom w:val="none" w:sz="0" w:space="0" w:color="auto"/>
        <w:right w:val="none" w:sz="0" w:space="0" w:color="auto"/>
      </w:divBdr>
      <w:divsChild>
        <w:div w:id="1324118364">
          <w:marLeft w:val="0"/>
          <w:marRight w:val="0"/>
          <w:marTop w:val="0"/>
          <w:marBottom w:val="0"/>
          <w:divBdr>
            <w:top w:val="none" w:sz="0" w:space="0" w:color="auto"/>
            <w:left w:val="none" w:sz="0" w:space="0" w:color="auto"/>
            <w:bottom w:val="none" w:sz="0" w:space="0" w:color="auto"/>
            <w:right w:val="none" w:sz="0" w:space="0" w:color="auto"/>
          </w:divBdr>
          <w:divsChild>
            <w:div w:id="1363900620">
              <w:marLeft w:val="0"/>
              <w:marRight w:val="0"/>
              <w:marTop w:val="0"/>
              <w:marBottom w:val="0"/>
              <w:divBdr>
                <w:top w:val="none" w:sz="0" w:space="0" w:color="auto"/>
                <w:left w:val="none" w:sz="0" w:space="0" w:color="auto"/>
                <w:bottom w:val="none" w:sz="0" w:space="0" w:color="auto"/>
                <w:right w:val="none" w:sz="0" w:space="0" w:color="auto"/>
              </w:divBdr>
              <w:divsChild>
                <w:div w:id="293760530">
                  <w:marLeft w:val="0"/>
                  <w:marRight w:val="0"/>
                  <w:marTop w:val="0"/>
                  <w:marBottom w:val="0"/>
                  <w:divBdr>
                    <w:top w:val="none" w:sz="0" w:space="0" w:color="auto"/>
                    <w:left w:val="none" w:sz="0" w:space="0" w:color="auto"/>
                    <w:bottom w:val="none" w:sz="0" w:space="0" w:color="auto"/>
                    <w:right w:val="none" w:sz="0" w:space="0" w:color="auto"/>
                  </w:divBdr>
                  <w:divsChild>
                    <w:div w:id="204258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35387">
      <w:bodyDiv w:val="1"/>
      <w:marLeft w:val="0"/>
      <w:marRight w:val="0"/>
      <w:marTop w:val="0"/>
      <w:marBottom w:val="0"/>
      <w:divBdr>
        <w:top w:val="none" w:sz="0" w:space="0" w:color="auto"/>
        <w:left w:val="none" w:sz="0" w:space="0" w:color="auto"/>
        <w:bottom w:val="none" w:sz="0" w:space="0" w:color="auto"/>
        <w:right w:val="none" w:sz="0" w:space="0" w:color="auto"/>
      </w:divBdr>
    </w:div>
    <w:div w:id="208231226">
      <w:bodyDiv w:val="1"/>
      <w:marLeft w:val="0"/>
      <w:marRight w:val="0"/>
      <w:marTop w:val="0"/>
      <w:marBottom w:val="0"/>
      <w:divBdr>
        <w:top w:val="none" w:sz="0" w:space="0" w:color="auto"/>
        <w:left w:val="none" w:sz="0" w:space="0" w:color="auto"/>
        <w:bottom w:val="none" w:sz="0" w:space="0" w:color="auto"/>
        <w:right w:val="none" w:sz="0" w:space="0" w:color="auto"/>
      </w:divBdr>
      <w:divsChild>
        <w:div w:id="447774269">
          <w:marLeft w:val="0"/>
          <w:marRight w:val="0"/>
          <w:marTop w:val="0"/>
          <w:marBottom w:val="0"/>
          <w:divBdr>
            <w:top w:val="none" w:sz="0" w:space="0" w:color="auto"/>
            <w:left w:val="none" w:sz="0" w:space="0" w:color="auto"/>
            <w:bottom w:val="none" w:sz="0" w:space="0" w:color="auto"/>
            <w:right w:val="none" w:sz="0" w:space="0" w:color="auto"/>
          </w:divBdr>
          <w:divsChild>
            <w:div w:id="1636370910">
              <w:marLeft w:val="0"/>
              <w:marRight w:val="0"/>
              <w:marTop w:val="0"/>
              <w:marBottom w:val="0"/>
              <w:divBdr>
                <w:top w:val="none" w:sz="0" w:space="0" w:color="auto"/>
                <w:left w:val="none" w:sz="0" w:space="0" w:color="auto"/>
                <w:bottom w:val="none" w:sz="0" w:space="0" w:color="auto"/>
                <w:right w:val="none" w:sz="0" w:space="0" w:color="auto"/>
              </w:divBdr>
              <w:divsChild>
                <w:div w:id="559050902">
                  <w:marLeft w:val="0"/>
                  <w:marRight w:val="0"/>
                  <w:marTop w:val="0"/>
                  <w:marBottom w:val="0"/>
                  <w:divBdr>
                    <w:top w:val="none" w:sz="0" w:space="0" w:color="auto"/>
                    <w:left w:val="none" w:sz="0" w:space="0" w:color="auto"/>
                    <w:bottom w:val="none" w:sz="0" w:space="0" w:color="auto"/>
                    <w:right w:val="none" w:sz="0" w:space="0" w:color="auto"/>
                  </w:divBdr>
                  <w:divsChild>
                    <w:div w:id="72321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690796">
      <w:bodyDiv w:val="1"/>
      <w:marLeft w:val="0"/>
      <w:marRight w:val="0"/>
      <w:marTop w:val="0"/>
      <w:marBottom w:val="0"/>
      <w:divBdr>
        <w:top w:val="none" w:sz="0" w:space="0" w:color="auto"/>
        <w:left w:val="none" w:sz="0" w:space="0" w:color="auto"/>
        <w:bottom w:val="none" w:sz="0" w:space="0" w:color="auto"/>
        <w:right w:val="none" w:sz="0" w:space="0" w:color="auto"/>
      </w:divBdr>
      <w:divsChild>
        <w:div w:id="821971760">
          <w:marLeft w:val="0"/>
          <w:marRight w:val="0"/>
          <w:marTop w:val="0"/>
          <w:marBottom w:val="0"/>
          <w:divBdr>
            <w:top w:val="none" w:sz="0" w:space="0" w:color="auto"/>
            <w:left w:val="none" w:sz="0" w:space="0" w:color="auto"/>
            <w:bottom w:val="none" w:sz="0" w:space="0" w:color="auto"/>
            <w:right w:val="none" w:sz="0" w:space="0" w:color="auto"/>
          </w:divBdr>
          <w:divsChild>
            <w:div w:id="1860898234">
              <w:marLeft w:val="0"/>
              <w:marRight w:val="0"/>
              <w:marTop w:val="0"/>
              <w:marBottom w:val="0"/>
              <w:divBdr>
                <w:top w:val="none" w:sz="0" w:space="0" w:color="auto"/>
                <w:left w:val="none" w:sz="0" w:space="0" w:color="auto"/>
                <w:bottom w:val="none" w:sz="0" w:space="0" w:color="auto"/>
                <w:right w:val="none" w:sz="0" w:space="0" w:color="auto"/>
              </w:divBdr>
              <w:divsChild>
                <w:div w:id="1848472541">
                  <w:marLeft w:val="0"/>
                  <w:marRight w:val="0"/>
                  <w:marTop w:val="0"/>
                  <w:marBottom w:val="0"/>
                  <w:divBdr>
                    <w:top w:val="none" w:sz="0" w:space="0" w:color="auto"/>
                    <w:left w:val="none" w:sz="0" w:space="0" w:color="auto"/>
                    <w:bottom w:val="none" w:sz="0" w:space="0" w:color="auto"/>
                    <w:right w:val="none" w:sz="0" w:space="0" w:color="auto"/>
                  </w:divBdr>
                  <w:divsChild>
                    <w:div w:id="1342973907">
                      <w:marLeft w:val="0"/>
                      <w:marRight w:val="0"/>
                      <w:marTop w:val="0"/>
                      <w:marBottom w:val="0"/>
                      <w:divBdr>
                        <w:top w:val="none" w:sz="0" w:space="0" w:color="auto"/>
                        <w:left w:val="none" w:sz="0" w:space="0" w:color="auto"/>
                        <w:bottom w:val="none" w:sz="0" w:space="0" w:color="auto"/>
                        <w:right w:val="none" w:sz="0" w:space="0" w:color="auto"/>
                      </w:divBdr>
                      <w:divsChild>
                        <w:div w:id="1685941925">
                          <w:marLeft w:val="0"/>
                          <w:marRight w:val="0"/>
                          <w:marTop w:val="0"/>
                          <w:marBottom w:val="0"/>
                          <w:divBdr>
                            <w:top w:val="none" w:sz="0" w:space="0" w:color="auto"/>
                            <w:left w:val="none" w:sz="0" w:space="0" w:color="auto"/>
                            <w:bottom w:val="none" w:sz="0" w:space="0" w:color="auto"/>
                            <w:right w:val="none" w:sz="0" w:space="0" w:color="auto"/>
                          </w:divBdr>
                          <w:divsChild>
                            <w:div w:id="214107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067266">
                  <w:marLeft w:val="0"/>
                  <w:marRight w:val="0"/>
                  <w:marTop w:val="0"/>
                  <w:marBottom w:val="0"/>
                  <w:divBdr>
                    <w:top w:val="none" w:sz="0" w:space="0" w:color="auto"/>
                    <w:left w:val="none" w:sz="0" w:space="0" w:color="auto"/>
                    <w:bottom w:val="none" w:sz="0" w:space="0" w:color="auto"/>
                    <w:right w:val="none" w:sz="0" w:space="0" w:color="auto"/>
                  </w:divBdr>
                  <w:divsChild>
                    <w:div w:id="52602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277979">
      <w:bodyDiv w:val="1"/>
      <w:marLeft w:val="0"/>
      <w:marRight w:val="0"/>
      <w:marTop w:val="0"/>
      <w:marBottom w:val="0"/>
      <w:divBdr>
        <w:top w:val="none" w:sz="0" w:space="0" w:color="auto"/>
        <w:left w:val="none" w:sz="0" w:space="0" w:color="auto"/>
        <w:bottom w:val="none" w:sz="0" w:space="0" w:color="auto"/>
        <w:right w:val="none" w:sz="0" w:space="0" w:color="auto"/>
      </w:divBdr>
      <w:divsChild>
        <w:div w:id="260142255">
          <w:marLeft w:val="0"/>
          <w:marRight w:val="0"/>
          <w:marTop w:val="0"/>
          <w:marBottom w:val="0"/>
          <w:divBdr>
            <w:top w:val="none" w:sz="0" w:space="0" w:color="auto"/>
            <w:left w:val="none" w:sz="0" w:space="0" w:color="auto"/>
            <w:bottom w:val="none" w:sz="0" w:space="0" w:color="auto"/>
            <w:right w:val="none" w:sz="0" w:space="0" w:color="auto"/>
          </w:divBdr>
          <w:divsChild>
            <w:div w:id="883254880">
              <w:marLeft w:val="0"/>
              <w:marRight w:val="0"/>
              <w:marTop w:val="0"/>
              <w:marBottom w:val="0"/>
              <w:divBdr>
                <w:top w:val="none" w:sz="0" w:space="0" w:color="auto"/>
                <w:left w:val="none" w:sz="0" w:space="0" w:color="auto"/>
                <w:bottom w:val="none" w:sz="0" w:space="0" w:color="auto"/>
                <w:right w:val="none" w:sz="0" w:space="0" w:color="auto"/>
              </w:divBdr>
              <w:divsChild>
                <w:div w:id="1907301322">
                  <w:marLeft w:val="0"/>
                  <w:marRight w:val="0"/>
                  <w:marTop w:val="0"/>
                  <w:marBottom w:val="0"/>
                  <w:divBdr>
                    <w:top w:val="none" w:sz="0" w:space="0" w:color="auto"/>
                    <w:left w:val="none" w:sz="0" w:space="0" w:color="auto"/>
                    <w:bottom w:val="none" w:sz="0" w:space="0" w:color="auto"/>
                    <w:right w:val="none" w:sz="0" w:space="0" w:color="auto"/>
                  </w:divBdr>
                  <w:divsChild>
                    <w:div w:id="88056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210800">
      <w:bodyDiv w:val="1"/>
      <w:marLeft w:val="0"/>
      <w:marRight w:val="0"/>
      <w:marTop w:val="0"/>
      <w:marBottom w:val="0"/>
      <w:divBdr>
        <w:top w:val="none" w:sz="0" w:space="0" w:color="auto"/>
        <w:left w:val="none" w:sz="0" w:space="0" w:color="auto"/>
        <w:bottom w:val="none" w:sz="0" w:space="0" w:color="auto"/>
        <w:right w:val="none" w:sz="0" w:space="0" w:color="auto"/>
      </w:divBdr>
      <w:divsChild>
        <w:div w:id="1332875269">
          <w:marLeft w:val="0"/>
          <w:marRight w:val="0"/>
          <w:marTop w:val="0"/>
          <w:marBottom w:val="0"/>
          <w:divBdr>
            <w:top w:val="none" w:sz="0" w:space="0" w:color="auto"/>
            <w:left w:val="none" w:sz="0" w:space="0" w:color="auto"/>
            <w:bottom w:val="none" w:sz="0" w:space="0" w:color="auto"/>
            <w:right w:val="none" w:sz="0" w:space="0" w:color="auto"/>
          </w:divBdr>
          <w:divsChild>
            <w:div w:id="1602490658">
              <w:marLeft w:val="0"/>
              <w:marRight w:val="0"/>
              <w:marTop w:val="0"/>
              <w:marBottom w:val="0"/>
              <w:divBdr>
                <w:top w:val="none" w:sz="0" w:space="0" w:color="auto"/>
                <w:left w:val="none" w:sz="0" w:space="0" w:color="auto"/>
                <w:bottom w:val="none" w:sz="0" w:space="0" w:color="auto"/>
                <w:right w:val="none" w:sz="0" w:space="0" w:color="auto"/>
              </w:divBdr>
              <w:divsChild>
                <w:div w:id="968127889">
                  <w:marLeft w:val="0"/>
                  <w:marRight w:val="0"/>
                  <w:marTop w:val="0"/>
                  <w:marBottom w:val="0"/>
                  <w:divBdr>
                    <w:top w:val="none" w:sz="0" w:space="0" w:color="auto"/>
                    <w:left w:val="none" w:sz="0" w:space="0" w:color="auto"/>
                    <w:bottom w:val="none" w:sz="0" w:space="0" w:color="auto"/>
                    <w:right w:val="none" w:sz="0" w:space="0" w:color="auto"/>
                  </w:divBdr>
                  <w:divsChild>
                    <w:div w:id="41629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927819">
      <w:bodyDiv w:val="1"/>
      <w:marLeft w:val="0"/>
      <w:marRight w:val="0"/>
      <w:marTop w:val="0"/>
      <w:marBottom w:val="0"/>
      <w:divBdr>
        <w:top w:val="none" w:sz="0" w:space="0" w:color="auto"/>
        <w:left w:val="none" w:sz="0" w:space="0" w:color="auto"/>
        <w:bottom w:val="none" w:sz="0" w:space="0" w:color="auto"/>
        <w:right w:val="none" w:sz="0" w:space="0" w:color="auto"/>
      </w:divBdr>
      <w:divsChild>
        <w:div w:id="1968703392">
          <w:marLeft w:val="0"/>
          <w:marRight w:val="0"/>
          <w:marTop w:val="0"/>
          <w:marBottom w:val="0"/>
          <w:divBdr>
            <w:top w:val="none" w:sz="0" w:space="0" w:color="auto"/>
            <w:left w:val="none" w:sz="0" w:space="0" w:color="auto"/>
            <w:bottom w:val="none" w:sz="0" w:space="0" w:color="auto"/>
            <w:right w:val="none" w:sz="0" w:space="0" w:color="auto"/>
          </w:divBdr>
          <w:divsChild>
            <w:div w:id="2008358530">
              <w:marLeft w:val="0"/>
              <w:marRight w:val="0"/>
              <w:marTop w:val="0"/>
              <w:marBottom w:val="0"/>
              <w:divBdr>
                <w:top w:val="none" w:sz="0" w:space="0" w:color="auto"/>
                <w:left w:val="none" w:sz="0" w:space="0" w:color="auto"/>
                <w:bottom w:val="none" w:sz="0" w:space="0" w:color="auto"/>
                <w:right w:val="none" w:sz="0" w:space="0" w:color="auto"/>
              </w:divBdr>
              <w:divsChild>
                <w:div w:id="867260071">
                  <w:marLeft w:val="0"/>
                  <w:marRight w:val="0"/>
                  <w:marTop w:val="0"/>
                  <w:marBottom w:val="0"/>
                  <w:divBdr>
                    <w:top w:val="none" w:sz="0" w:space="0" w:color="auto"/>
                    <w:left w:val="none" w:sz="0" w:space="0" w:color="auto"/>
                    <w:bottom w:val="none" w:sz="0" w:space="0" w:color="auto"/>
                    <w:right w:val="none" w:sz="0" w:space="0" w:color="auto"/>
                  </w:divBdr>
                  <w:divsChild>
                    <w:div w:id="1598831228">
                      <w:marLeft w:val="0"/>
                      <w:marRight w:val="0"/>
                      <w:marTop w:val="0"/>
                      <w:marBottom w:val="0"/>
                      <w:divBdr>
                        <w:top w:val="none" w:sz="0" w:space="0" w:color="auto"/>
                        <w:left w:val="none" w:sz="0" w:space="0" w:color="auto"/>
                        <w:bottom w:val="none" w:sz="0" w:space="0" w:color="auto"/>
                        <w:right w:val="none" w:sz="0" w:space="0" w:color="auto"/>
                      </w:divBdr>
                      <w:divsChild>
                        <w:div w:id="358508173">
                          <w:marLeft w:val="0"/>
                          <w:marRight w:val="0"/>
                          <w:marTop w:val="0"/>
                          <w:marBottom w:val="0"/>
                          <w:divBdr>
                            <w:top w:val="none" w:sz="0" w:space="0" w:color="auto"/>
                            <w:left w:val="none" w:sz="0" w:space="0" w:color="auto"/>
                            <w:bottom w:val="none" w:sz="0" w:space="0" w:color="auto"/>
                            <w:right w:val="none" w:sz="0" w:space="0" w:color="auto"/>
                          </w:divBdr>
                          <w:divsChild>
                            <w:div w:id="526868490">
                              <w:marLeft w:val="0"/>
                              <w:marRight w:val="0"/>
                              <w:marTop w:val="0"/>
                              <w:marBottom w:val="0"/>
                              <w:divBdr>
                                <w:top w:val="none" w:sz="0" w:space="0" w:color="auto"/>
                                <w:left w:val="none" w:sz="0" w:space="0" w:color="auto"/>
                                <w:bottom w:val="none" w:sz="0" w:space="0" w:color="auto"/>
                                <w:right w:val="none" w:sz="0" w:space="0" w:color="auto"/>
                              </w:divBdr>
                              <w:divsChild>
                                <w:div w:id="1518351858">
                                  <w:marLeft w:val="0"/>
                                  <w:marRight w:val="0"/>
                                  <w:marTop w:val="0"/>
                                  <w:marBottom w:val="0"/>
                                  <w:divBdr>
                                    <w:top w:val="none" w:sz="0" w:space="0" w:color="auto"/>
                                    <w:left w:val="none" w:sz="0" w:space="0" w:color="auto"/>
                                    <w:bottom w:val="none" w:sz="0" w:space="0" w:color="auto"/>
                                    <w:right w:val="none" w:sz="0" w:space="0" w:color="auto"/>
                                  </w:divBdr>
                                  <w:divsChild>
                                    <w:div w:id="82012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533772">
                          <w:marLeft w:val="0"/>
                          <w:marRight w:val="0"/>
                          <w:marTop w:val="0"/>
                          <w:marBottom w:val="0"/>
                          <w:divBdr>
                            <w:top w:val="none" w:sz="0" w:space="0" w:color="auto"/>
                            <w:left w:val="none" w:sz="0" w:space="0" w:color="auto"/>
                            <w:bottom w:val="none" w:sz="0" w:space="0" w:color="auto"/>
                            <w:right w:val="none" w:sz="0" w:space="0" w:color="auto"/>
                          </w:divBdr>
                          <w:divsChild>
                            <w:div w:id="602809533">
                              <w:marLeft w:val="0"/>
                              <w:marRight w:val="0"/>
                              <w:marTop w:val="0"/>
                              <w:marBottom w:val="0"/>
                              <w:divBdr>
                                <w:top w:val="none" w:sz="0" w:space="0" w:color="auto"/>
                                <w:left w:val="none" w:sz="0" w:space="0" w:color="auto"/>
                                <w:bottom w:val="none" w:sz="0" w:space="0" w:color="auto"/>
                                <w:right w:val="none" w:sz="0" w:space="0" w:color="auto"/>
                              </w:divBdr>
                              <w:divsChild>
                                <w:div w:id="1671636508">
                                  <w:marLeft w:val="0"/>
                                  <w:marRight w:val="0"/>
                                  <w:marTop w:val="0"/>
                                  <w:marBottom w:val="0"/>
                                  <w:divBdr>
                                    <w:top w:val="none" w:sz="0" w:space="0" w:color="auto"/>
                                    <w:left w:val="none" w:sz="0" w:space="0" w:color="auto"/>
                                    <w:bottom w:val="none" w:sz="0" w:space="0" w:color="auto"/>
                                    <w:right w:val="none" w:sz="0" w:space="0" w:color="auto"/>
                                  </w:divBdr>
                                  <w:divsChild>
                                    <w:div w:id="190953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4290256">
      <w:bodyDiv w:val="1"/>
      <w:marLeft w:val="0"/>
      <w:marRight w:val="0"/>
      <w:marTop w:val="0"/>
      <w:marBottom w:val="0"/>
      <w:divBdr>
        <w:top w:val="none" w:sz="0" w:space="0" w:color="auto"/>
        <w:left w:val="none" w:sz="0" w:space="0" w:color="auto"/>
        <w:bottom w:val="none" w:sz="0" w:space="0" w:color="auto"/>
        <w:right w:val="none" w:sz="0" w:space="0" w:color="auto"/>
      </w:divBdr>
      <w:divsChild>
        <w:div w:id="66538815">
          <w:marLeft w:val="0"/>
          <w:marRight w:val="0"/>
          <w:marTop w:val="0"/>
          <w:marBottom w:val="0"/>
          <w:divBdr>
            <w:top w:val="none" w:sz="0" w:space="0" w:color="auto"/>
            <w:left w:val="none" w:sz="0" w:space="0" w:color="auto"/>
            <w:bottom w:val="none" w:sz="0" w:space="0" w:color="auto"/>
            <w:right w:val="none" w:sz="0" w:space="0" w:color="auto"/>
          </w:divBdr>
          <w:divsChild>
            <w:div w:id="1633363027">
              <w:marLeft w:val="0"/>
              <w:marRight w:val="0"/>
              <w:marTop w:val="0"/>
              <w:marBottom w:val="0"/>
              <w:divBdr>
                <w:top w:val="none" w:sz="0" w:space="0" w:color="auto"/>
                <w:left w:val="none" w:sz="0" w:space="0" w:color="auto"/>
                <w:bottom w:val="none" w:sz="0" w:space="0" w:color="auto"/>
                <w:right w:val="none" w:sz="0" w:space="0" w:color="auto"/>
              </w:divBdr>
              <w:divsChild>
                <w:div w:id="1600985479">
                  <w:marLeft w:val="0"/>
                  <w:marRight w:val="0"/>
                  <w:marTop w:val="0"/>
                  <w:marBottom w:val="0"/>
                  <w:divBdr>
                    <w:top w:val="none" w:sz="0" w:space="0" w:color="auto"/>
                    <w:left w:val="none" w:sz="0" w:space="0" w:color="auto"/>
                    <w:bottom w:val="none" w:sz="0" w:space="0" w:color="auto"/>
                    <w:right w:val="none" w:sz="0" w:space="0" w:color="auto"/>
                  </w:divBdr>
                  <w:divsChild>
                    <w:div w:id="98974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135611">
      <w:bodyDiv w:val="1"/>
      <w:marLeft w:val="0"/>
      <w:marRight w:val="0"/>
      <w:marTop w:val="0"/>
      <w:marBottom w:val="0"/>
      <w:divBdr>
        <w:top w:val="none" w:sz="0" w:space="0" w:color="auto"/>
        <w:left w:val="none" w:sz="0" w:space="0" w:color="auto"/>
        <w:bottom w:val="none" w:sz="0" w:space="0" w:color="auto"/>
        <w:right w:val="none" w:sz="0" w:space="0" w:color="auto"/>
      </w:divBdr>
      <w:divsChild>
        <w:div w:id="1731924543">
          <w:marLeft w:val="0"/>
          <w:marRight w:val="0"/>
          <w:marTop w:val="0"/>
          <w:marBottom w:val="0"/>
          <w:divBdr>
            <w:top w:val="none" w:sz="0" w:space="0" w:color="auto"/>
            <w:left w:val="none" w:sz="0" w:space="0" w:color="auto"/>
            <w:bottom w:val="none" w:sz="0" w:space="0" w:color="auto"/>
            <w:right w:val="none" w:sz="0" w:space="0" w:color="auto"/>
          </w:divBdr>
          <w:divsChild>
            <w:div w:id="1014916366">
              <w:marLeft w:val="0"/>
              <w:marRight w:val="0"/>
              <w:marTop w:val="0"/>
              <w:marBottom w:val="0"/>
              <w:divBdr>
                <w:top w:val="none" w:sz="0" w:space="0" w:color="auto"/>
                <w:left w:val="none" w:sz="0" w:space="0" w:color="auto"/>
                <w:bottom w:val="none" w:sz="0" w:space="0" w:color="auto"/>
                <w:right w:val="none" w:sz="0" w:space="0" w:color="auto"/>
              </w:divBdr>
              <w:divsChild>
                <w:div w:id="2102406472">
                  <w:marLeft w:val="0"/>
                  <w:marRight w:val="0"/>
                  <w:marTop w:val="0"/>
                  <w:marBottom w:val="0"/>
                  <w:divBdr>
                    <w:top w:val="none" w:sz="0" w:space="0" w:color="auto"/>
                    <w:left w:val="none" w:sz="0" w:space="0" w:color="auto"/>
                    <w:bottom w:val="none" w:sz="0" w:space="0" w:color="auto"/>
                    <w:right w:val="none" w:sz="0" w:space="0" w:color="auto"/>
                  </w:divBdr>
                  <w:divsChild>
                    <w:div w:id="81764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981619">
      <w:bodyDiv w:val="1"/>
      <w:marLeft w:val="0"/>
      <w:marRight w:val="0"/>
      <w:marTop w:val="0"/>
      <w:marBottom w:val="0"/>
      <w:divBdr>
        <w:top w:val="none" w:sz="0" w:space="0" w:color="auto"/>
        <w:left w:val="none" w:sz="0" w:space="0" w:color="auto"/>
        <w:bottom w:val="none" w:sz="0" w:space="0" w:color="auto"/>
        <w:right w:val="none" w:sz="0" w:space="0" w:color="auto"/>
      </w:divBdr>
    </w:div>
    <w:div w:id="310255839">
      <w:bodyDiv w:val="1"/>
      <w:marLeft w:val="0"/>
      <w:marRight w:val="0"/>
      <w:marTop w:val="0"/>
      <w:marBottom w:val="0"/>
      <w:divBdr>
        <w:top w:val="none" w:sz="0" w:space="0" w:color="auto"/>
        <w:left w:val="none" w:sz="0" w:space="0" w:color="auto"/>
        <w:bottom w:val="none" w:sz="0" w:space="0" w:color="auto"/>
        <w:right w:val="none" w:sz="0" w:space="0" w:color="auto"/>
      </w:divBdr>
    </w:div>
    <w:div w:id="318392189">
      <w:bodyDiv w:val="1"/>
      <w:marLeft w:val="0"/>
      <w:marRight w:val="0"/>
      <w:marTop w:val="0"/>
      <w:marBottom w:val="0"/>
      <w:divBdr>
        <w:top w:val="none" w:sz="0" w:space="0" w:color="auto"/>
        <w:left w:val="none" w:sz="0" w:space="0" w:color="auto"/>
        <w:bottom w:val="none" w:sz="0" w:space="0" w:color="auto"/>
        <w:right w:val="none" w:sz="0" w:space="0" w:color="auto"/>
      </w:divBdr>
    </w:div>
    <w:div w:id="346251746">
      <w:bodyDiv w:val="1"/>
      <w:marLeft w:val="0"/>
      <w:marRight w:val="0"/>
      <w:marTop w:val="0"/>
      <w:marBottom w:val="0"/>
      <w:divBdr>
        <w:top w:val="none" w:sz="0" w:space="0" w:color="auto"/>
        <w:left w:val="none" w:sz="0" w:space="0" w:color="auto"/>
        <w:bottom w:val="none" w:sz="0" w:space="0" w:color="auto"/>
        <w:right w:val="none" w:sz="0" w:space="0" w:color="auto"/>
      </w:divBdr>
      <w:divsChild>
        <w:div w:id="1160659039">
          <w:marLeft w:val="0"/>
          <w:marRight w:val="0"/>
          <w:marTop w:val="0"/>
          <w:marBottom w:val="0"/>
          <w:divBdr>
            <w:top w:val="none" w:sz="0" w:space="0" w:color="auto"/>
            <w:left w:val="none" w:sz="0" w:space="0" w:color="auto"/>
            <w:bottom w:val="none" w:sz="0" w:space="0" w:color="auto"/>
            <w:right w:val="none" w:sz="0" w:space="0" w:color="auto"/>
          </w:divBdr>
          <w:divsChild>
            <w:div w:id="1090850769">
              <w:marLeft w:val="0"/>
              <w:marRight w:val="0"/>
              <w:marTop w:val="0"/>
              <w:marBottom w:val="0"/>
              <w:divBdr>
                <w:top w:val="none" w:sz="0" w:space="0" w:color="auto"/>
                <w:left w:val="none" w:sz="0" w:space="0" w:color="auto"/>
                <w:bottom w:val="none" w:sz="0" w:space="0" w:color="auto"/>
                <w:right w:val="none" w:sz="0" w:space="0" w:color="auto"/>
              </w:divBdr>
              <w:divsChild>
                <w:div w:id="150830170">
                  <w:marLeft w:val="0"/>
                  <w:marRight w:val="0"/>
                  <w:marTop w:val="0"/>
                  <w:marBottom w:val="0"/>
                  <w:divBdr>
                    <w:top w:val="none" w:sz="0" w:space="0" w:color="auto"/>
                    <w:left w:val="none" w:sz="0" w:space="0" w:color="auto"/>
                    <w:bottom w:val="none" w:sz="0" w:space="0" w:color="auto"/>
                    <w:right w:val="none" w:sz="0" w:space="0" w:color="auto"/>
                  </w:divBdr>
                  <w:divsChild>
                    <w:div w:id="21065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037941">
      <w:bodyDiv w:val="1"/>
      <w:marLeft w:val="0"/>
      <w:marRight w:val="0"/>
      <w:marTop w:val="0"/>
      <w:marBottom w:val="0"/>
      <w:divBdr>
        <w:top w:val="none" w:sz="0" w:space="0" w:color="auto"/>
        <w:left w:val="none" w:sz="0" w:space="0" w:color="auto"/>
        <w:bottom w:val="none" w:sz="0" w:space="0" w:color="auto"/>
        <w:right w:val="none" w:sz="0" w:space="0" w:color="auto"/>
      </w:divBdr>
      <w:divsChild>
        <w:div w:id="1342271166">
          <w:marLeft w:val="0"/>
          <w:marRight w:val="0"/>
          <w:marTop w:val="0"/>
          <w:marBottom w:val="0"/>
          <w:divBdr>
            <w:top w:val="none" w:sz="0" w:space="0" w:color="auto"/>
            <w:left w:val="none" w:sz="0" w:space="0" w:color="auto"/>
            <w:bottom w:val="none" w:sz="0" w:space="0" w:color="auto"/>
            <w:right w:val="none" w:sz="0" w:space="0" w:color="auto"/>
          </w:divBdr>
          <w:divsChild>
            <w:div w:id="850529897">
              <w:marLeft w:val="0"/>
              <w:marRight w:val="0"/>
              <w:marTop w:val="0"/>
              <w:marBottom w:val="0"/>
              <w:divBdr>
                <w:top w:val="none" w:sz="0" w:space="0" w:color="auto"/>
                <w:left w:val="none" w:sz="0" w:space="0" w:color="auto"/>
                <w:bottom w:val="none" w:sz="0" w:space="0" w:color="auto"/>
                <w:right w:val="none" w:sz="0" w:space="0" w:color="auto"/>
              </w:divBdr>
              <w:divsChild>
                <w:div w:id="1272938159">
                  <w:marLeft w:val="0"/>
                  <w:marRight w:val="0"/>
                  <w:marTop w:val="0"/>
                  <w:marBottom w:val="0"/>
                  <w:divBdr>
                    <w:top w:val="none" w:sz="0" w:space="0" w:color="auto"/>
                    <w:left w:val="none" w:sz="0" w:space="0" w:color="auto"/>
                    <w:bottom w:val="none" w:sz="0" w:space="0" w:color="auto"/>
                    <w:right w:val="none" w:sz="0" w:space="0" w:color="auto"/>
                  </w:divBdr>
                  <w:divsChild>
                    <w:div w:id="42873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560022">
      <w:bodyDiv w:val="1"/>
      <w:marLeft w:val="0"/>
      <w:marRight w:val="0"/>
      <w:marTop w:val="0"/>
      <w:marBottom w:val="0"/>
      <w:divBdr>
        <w:top w:val="none" w:sz="0" w:space="0" w:color="auto"/>
        <w:left w:val="none" w:sz="0" w:space="0" w:color="auto"/>
        <w:bottom w:val="none" w:sz="0" w:space="0" w:color="auto"/>
        <w:right w:val="none" w:sz="0" w:space="0" w:color="auto"/>
      </w:divBdr>
      <w:divsChild>
        <w:div w:id="921180779">
          <w:marLeft w:val="0"/>
          <w:marRight w:val="0"/>
          <w:marTop w:val="0"/>
          <w:marBottom w:val="0"/>
          <w:divBdr>
            <w:top w:val="none" w:sz="0" w:space="0" w:color="auto"/>
            <w:left w:val="none" w:sz="0" w:space="0" w:color="auto"/>
            <w:bottom w:val="none" w:sz="0" w:space="0" w:color="auto"/>
            <w:right w:val="none" w:sz="0" w:space="0" w:color="auto"/>
          </w:divBdr>
          <w:divsChild>
            <w:div w:id="1386248232">
              <w:marLeft w:val="0"/>
              <w:marRight w:val="0"/>
              <w:marTop w:val="0"/>
              <w:marBottom w:val="0"/>
              <w:divBdr>
                <w:top w:val="none" w:sz="0" w:space="0" w:color="auto"/>
                <w:left w:val="none" w:sz="0" w:space="0" w:color="auto"/>
                <w:bottom w:val="none" w:sz="0" w:space="0" w:color="auto"/>
                <w:right w:val="none" w:sz="0" w:space="0" w:color="auto"/>
              </w:divBdr>
              <w:divsChild>
                <w:div w:id="1210267771">
                  <w:marLeft w:val="0"/>
                  <w:marRight w:val="0"/>
                  <w:marTop w:val="0"/>
                  <w:marBottom w:val="0"/>
                  <w:divBdr>
                    <w:top w:val="none" w:sz="0" w:space="0" w:color="auto"/>
                    <w:left w:val="none" w:sz="0" w:space="0" w:color="auto"/>
                    <w:bottom w:val="none" w:sz="0" w:space="0" w:color="auto"/>
                    <w:right w:val="none" w:sz="0" w:space="0" w:color="auto"/>
                  </w:divBdr>
                  <w:divsChild>
                    <w:div w:id="1575242429">
                      <w:marLeft w:val="0"/>
                      <w:marRight w:val="0"/>
                      <w:marTop w:val="0"/>
                      <w:marBottom w:val="0"/>
                      <w:divBdr>
                        <w:top w:val="none" w:sz="0" w:space="0" w:color="auto"/>
                        <w:left w:val="none" w:sz="0" w:space="0" w:color="auto"/>
                        <w:bottom w:val="none" w:sz="0" w:space="0" w:color="auto"/>
                        <w:right w:val="none" w:sz="0" w:space="0" w:color="auto"/>
                      </w:divBdr>
                      <w:divsChild>
                        <w:div w:id="2090883297">
                          <w:marLeft w:val="0"/>
                          <w:marRight w:val="0"/>
                          <w:marTop w:val="0"/>
                          <w:marBottom w:val="0"/>
                          <w:divBdr>
                            <w:top w:val="none" w:sz="0" w:space="0" w:color="auto"/>
                            <w:left w:val="none" w:sz="0" w:space="0" w:color="auto"/>
                            <w:bottom w:val="none" w:sz="0" w:space="0" w:color="auto"/>
                            <w:right w:val="none" w:sz="0" w:space="0" w:color="auto"/>
                          </w:divBdr>
                          <w:divsChild>
                            <w:div w:id="1130977399">
                              <w:marLeft w:val="0"/>
                              <w:marRight w:val="0"/>
                              <w:marTop w:val="0"/>
                              <w:marBottom w:val="0"/>
                              <w:divBdr>
                                <w:top w:val="none" w:sz="0" w:space="0" w:color="auto"/>
                                <w:left w:val="none" w:sz="0" w:space="0" w:color="auto"/>
                                <w:bottom w:val="none" w:sz="0" w:space="0" w:color="auto"/>
                                <w:right w:val="none" w:sz="0" w:space="0" w:color="auto"/>
                              </w:divBdr>
                              <w:divsChild>
                                <w:div w:id="1972205238">
                                  <w:marLeft w:val="0"/>
                                  <w:marRight w:val="0"/>
                                  <w:marTop w:val="0"/>
                                  <w:marBottom w:val="0"/>
                                  <w:divBdr>
                                    <w:top w:val="none" w:sz="0" w:space="0" w:color="auto"/>
                                    <w:left w:val="none" w:sz="0" w:space="0" w:color="auto"/>
                                    <w:bottom w:val="none" w:sz="0" w:space="0" w:color="auto"/>
                                    <w:right w:val="none" w:sz="0" w:space="0" w:color="auto"/>
                                  </w:divBdr>
                                  <w:divsChild>
                                    <w:div w:id="67318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4377411">
      <w:bodyDiv w:val="1"/>
      <w:marLeft w:val="0"/>
      <w:marRight w:val="0"/>
      <w:marTop w:val="0"/>
      <w:marBottom w:val="0"/>
      <w:divBdr>
        <w:top w:val="none" w:sz="0" w:space="0" w:color="auto"/>
        <w:left w:val="none" w:sz="0" w:space="0" w:color="auto"/>
        <w:bottom w:val="none" w:sz="0" w:space="0" w:color="auto"/>
        <w:right w:val="none" w:sz="0" w:space="0" w:color="auto"/>
      </w:divBdr>
      <w:divsChild>
        <w:div w:id="1016536994">
          <w:marLeft w:val="0"/>
          <w:marRight w:val="0"/>
          <w:marTop w:val="0"/>
          <w:marBottom w:val="0"/>
          <w:divBdr>
            <w:top w:val="none" w:sz="0" w:space="0" w:color="auto"/>
            <w:left w:val="none" w:sz="0" w:space="0" w:color="auto"/>
            <w:bottom w:val="none" w:sz="0" w:space="0" w:color="auto"/>
            <w:right w:val="none" w:sz="0" w:space="0" w:color="auto"/>
          </w:divBdr>
          <w:divsChild>
            <w:div w:id="1610895387">
              <w:marLeft w:val="0"/>
              <w:marRight w:val="0"/>
              <w:marTop w:val="0"/>
              <w:marBottom w:val="0"/>
              <w:divBdr>
                <w:top w:val="none" w:sz="0" w:space="0" w:color="auto"/>
                <w:left w:val="none" w:sz="0" w:space="0" w:color="auto"/>
                <w:bottom w:val="none" w:sz="0" w:space="0" w:color="auto"/>
                <w:right w:val="none" w:sz="0" w:space="0" w:color="auto"/>
              </w:divBdr>
              <w:divsChild>
                <w:div w:id="997617421">
                  <w:marLeft w:val="0"/>
                  <w:marRight w:val="0"/>
                  <w:marTop w:val="0"/>
                  <w:marBottom w:val="0"/>
                  <w:divBdr>
                    <w:top w:val="none" w:sz="0" w:space="0" w:color="auto"/>
                    <w:left w:val="none" w:sz="0" w:space="0" w:color="auto"/>
                    <w:bottom w:val="none" w:sz="0" w:space="0" w:color="auto"/>
                    <w:right w:val="none" w:sz="0" w:space="0" w:color="auto"/>
                  </w:divBdr>
                  <w:divsChild>
                    <w:div w:id="104321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6270442">
      <w:bodyDiv w:val="1"/>
      <w:marLeft w:val="0"/>
      <w:marRight w:val="0"/>
      <w:marTop w:val="0"/>
      <w:marBottom w:val="0"/>
      <w:divBdr>
        <w:top w:val="none" w:sz="0" w:space="0" w:color="auto"/>
        <w:left w:val="none" w:sz="0" w:space="0" w:color="auto"/>
        <w:bottom w:val="none" w:sz="0" w:space="0" w:color="auto"/>
        <w:right w:val="none" w:sz="0" w:space="0" w:color="auto"/>
      </w:divBdr>
      <w:divsChild>
        <w:div w:id="151531100">
          <w:marLeft w:val="0"/>
          <w:marRight w:val="0"/>
          <w:marTop w:val="0"/>
          <w:marBottom w:val="0"/>
          <w:divBdr>
            <w:top w:val="none" w:sz="0" w:space="0" w:color="auto"/>
            <w:left w:val="none" w:sz="0" w:space="0" w:color="auto"/>
            <w:bottom w:val="none" w:sz="0" w:space="0" w:color="auto"/>
            <w:right w:val="none" w:sz="0" w:space="0" w:color="auto"/>
          </w:divBdr>
          <w:divsChild>
            <w:div w:id="1014184888">
              <w:marLeft w:val="0"/>
              <w:marRight w:val="0"/>
              <w:marTop w:val="0"/>
              <w:marBottom w:val="0"/>
              <w:divBdr>
                <w:top w:val="none" w:sz="0" w:space="0" w:color="auto"/>
                <w:left w:val="none" w:sz="0" w:space="0" w:color="auto"/>
                <w:bottom w:val="none" w:sz="0" w:space="0" w:color="auto"/>
                <w:right w:val="none" w:sz="0" w:space="0" w:color="auto"/>
              </w:divBdr>
              <w:divsChild>
                <w:div w:id="836575653">
                  <w:marLeft w:val="0"/>
                  <w:marRight w:val="0"/>
                  <w:marTop w:val="0"/>
                  <w:marBottom w:val="0"/>
                  <w:divBdr>
                    <w:top w:val="none" w:sz="0" w:space="0" w:color="auto"/>
                    <w:left w:val="none" w:sz="0" w:space="0" w:color="auto"/>
                    <w:bottom w:val="none" w:sz="0" w:space="0" w:color="auto"/>
                    <w:right w:val="none" w:sz="0" w:space="0" w:color="auto"/>
                  </w:divBdr>
                  <w:divsChild>
                    <w:div w:id="150779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560199">
      <w:bodyDiv w:val="1"/>
      <w:marLeft w:val="0"/>
      <w:marRight w:val="0"/>
      <w:marTop w:val="0"/>
      <w:marBottom w:val="0"/>
      <w:divBdr>
        <w:top w:val="none" w:sz="0" w:space="0" w:color="auto"/>
        <w:left w:val="none" w:sz="0" w:space="0" w:color="auto"/>
        <w:bottom w:val="none" w:sz="0" w:space="0" w:color="auto"/>
        <w:right w:val="none" w:sz="0" w:space="0" w:color="auto"/>
      </w:divBdr>
      <w:divsChild>
        <w:div w:id="209416104">
          <w:marLeft w:val="0"/>
          <w:marRight w:val="0"/>
          <w:marTop w:val="0"/>
          <w:marBottom w:val="0"/>
          <w:divBdr>
            <w:top w:val="none" w:sz="0" w:space="0" w:color="auto"/>
            <w:left w:val="none" w:sz="0" w:space="0" w:color="auto"/>
            <w:bottom w:val="none" w:sz="0" w:space="0" w:color="auto"/>
            <w:right w:val="none" w:sz="0" w:space="0" w:color="auto"/>
          </w:divBdr>
          <w:divsChild>
            <w:div w:id="1887910416">
              <w:marLeft w:val="0"/>
              <w:marRight w:val="0"/>
              <w:marTop w:val="0"/>
              <w:marBottom w:val="0"/>
              <w:divBdr>
                <w:top w:val="none" w:sz="0" w:space="0" w:color="auto"/>
                <w:left w:val="none" w:sz="0" w:space="0" w:color="auto"/>
                <w:bottom w:val="none" w:sz="0" w:space="0" w:color="auto"/>
                <w:right w:val="none" w:sz="0" w:space="0" w:color="auto"/>
              </w:divBdr>
              <w:divsChild>
                <w:div w:id="433745867">
                  <w:marLeft w:val="0"/>
                  <w:marRight w:val="0"/>
                  <w:marTop w:val="0"/>
                  <w:marBottom w:val="0"/>
                  <w:divBdr>
                    <w:top w:val="none" w:sz="0" w:space="0" w:color="auto"/>
                    <w:left w:val="none" w:sz="0" w:space="0" w:color="auto"/>
                    <w:bottom w:val="none" w:sz="0" w:space="0" w:color="auto"/>
                    <w:right w:val="none" w:sz="0" w:space="0" w:color="auto"/>
                  </w:divBdr>
                  <w:divsChild>
                    <w:div w:id="2052026873">
                      <w:marLeft w:val="0"/>
                      <w:marRight w:val="0"/>
                      <w:marTop w:val="0"/>
                      <w:marBottom w:val="0"/>
                      <w:divBdr>
                        <w:top w:val="none" w:sz="0" w:space="0" w:color="auto"/>
                        <w:left w:val="none" w:sz="0" w:space="0" w:color="auto"/>
                        <w:bottom w:val="none" w:sz="0" w:space="0" w:color="auto"/>
                        <w:right w:val="none" w:sz="0" w:space="0" w:color="auto"/>
                      </w:divBdr>
                      <w:divsChild>
                        <w:div w:id="1462116904">
                          <w:marLeft w:val="0"/>
                          <w:marRight w:val="0"/>
                          <w:marTop w:val="0"/>
                          <w:marBottom w:val="0"/>
                          <w:divBdr>
                            <w:top w:val="none" w:sz="0" w:space="0" w:color="auto"/>
                            <w:left w:val="none" w:sz="0" w:space="0" w:color="auto"/>
                            <w:bottom w:val="none" w:sz="0" w:space="0" w:color="auto"/>
                            <w:right w:val="none" w:sz="0" w:space="0" w:color="auto"/>
                          </w:divBdr>
                          <w:divsChild>
                            <w:div w:id="412166459">
                              <w:marLeft w:val="0"/>
                              <w:marRight w:val="0"/>
                              <w:marTop w:val="0"/>
                              <w:marBottom w:val="0"/>
                              <w:divBdr>
                                <w:top w:val="none" w:sz="0" w:space="0" w:color="auto"/>
                                <w:left w:val="none" w:sz="0" w:space="0" w:color="auto"/>
                                <w:bottom w:val="none" w:sz="0" w:space="0" w:color="auto"/>
                                <w:right w:val="none" w:sz="0" w:space="0" w:color="auto"/>
                              </w:divBdr>
                              <w:divsChild>
                                <w:div w:id="460535148">
                                  <w:marLeft w:val="0"/>
                                  <w:marRight w:val="0"/>
                                  <w:marTop w:val="0"/>
                                  <w:marBottom w:val="0"/>
                                  <w:divBdr>
                                    <w:top w:val="none" w:sz="0" w:space="0" w:color="auto"/>
                                    <w:left w:val="none" w:sz="0" w:space="0" w:color="auto"/>
                                    <w:bottom w:val="none" w:sz="0" w:space="0" w:color="auto"/>
                                    <w:right w:val="none" w:sz="0" w:space="0" w:color="auto"/>
                                  </w:divBdr>
                                  <w:divsChild>
                                    <w:div w:id="76627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4179132">
      <w:bodyDiv w:val="1"/>
      <w:marLeft w:val="0"/>
      <w:marRight w:val="0"/>
      <w:marTop w:val="0"/>
      <w:marBottom w:val="0"/>
      <w:divBdr>
        <w:top w:val="none" w:sz="0" w:space="0" w:color="auto"/>
        <w:left w:val="none" w:sz="0" w:space="0" w:color="auto"/>
        <w:bottom w:val="none" w:sz="0" w:space="0" w:color="auto"/>
        <w:right w:val="none" w:sz="0" w:space="0" w:color="auto"/>
      </w:divBdr>
    </w:div>
    <w:div w:id="472792895">
      <w:bodyDiv w:val="1"/>
      <w:marLeft w:val="0"/>
      <w:marRight w:val="0"/>
      <w:marTop w:val="0"/>
      <w:marBottom w:val="0"/>
      <w:divBdr>
        <w:top w:val="none" w:sz="0" w:space="0" w:color="auto"/>
        <w:left w:val="none" w:sz="0" w:space="0" w:color="auto"/>
        <w:bottom w:val="none" w:sz="0" w:space="0" w:color="auto"/>
        <w:right w:val="none" w:sz="0" w:space="0" w:color="auto"/>
      </w:divBdr>
      <w:divsChild>
        <w:div w:id="1755513453">
          <w:marLeft w:val="0"/>
          <w:marRight w:val="0"/>
          <w:marTop w:val="0"/>
          <w:marBottom w:val="0"/>
          <w:divBdr>
            <w:top w:val="none" w:sz="0" w:space="0" w:color="auto"/>
            <w:left w:val="none" w:sz="0" w:space="0" w:color="auto"/>
            <w:bottom w:val="none" w:sz="0" w:space="0" w:color="auto"/>
            <w:right w:val="none" w:sz="0" w:space="0" w:color="auto"/>
          </w:divBdr>
          <w:divsChild>
            <w:div w:id="1743942987">
              <w:marLeft w:val="0"/>
              <w:marRight w:val="0"/>
              <w:marTop w:val="0"/>
              <w:marBottom w:val="0"/>
              <w:divBdr>
                <w:top w:val="none" w:sz="0" w:space="0" w:color="auto"/>
                <w:left w:val="none" w:sz="0" w:space="0" w:color="auto"/>
                <w:bottom w:val="none" w:sz="0" w:space="0" w:color="auto"/>
                <w:right w:val="none" w:sz="0" w:space="0" w:color="auto"/>
              </w:divBdr>
              <w:divsChild>
                <w:div w:id="1959682141">
                  <w:marLeft w:val="0"/>
                  <w:marRight w:val="0"/>
                  <w:marTop w:val="0"/>
                  <w:marBottom w:val="0"/>
                  <w:divBdr>
                    <w:top w:val="none" w:sz="0" w:space="0" w:color="auto"/>
                    <w:left w:val="none" w:sz="0" w:space="0" w:color="auto"/>
                    <w:bottom w:val="none" w:sz="0" w:space="0" w:color="auto"/>
                    <w:right w:val="none" w:sz="0" w:space="0" w:color="auto"/>
                  </w:divBdr>
                  <w:divsChild>
                    <w:div w:id="399180940">
                      <w:marLeft w:val="0"/>
                      <w:marRight w:val="0"/>
                      <w:marTop w:val="0"/>
                      <w:marBottom w:val="0"/>
                      <w:divBdr>
                        <w:top w:val="none" w:sz="0" w:space="0" w:color="auto"/>
                        <w:left w:val="none" w:sz="0" w:space="0" w:color="auto"/>
                        <w:bottom w:val="none" w:sz="0" w:space="0" w:color="auto"/>
                        <w:right w:val="none" w:sz="0" w:space="0" w:color="auto"/>
                      </w:divBdr>
                      <w:divsChild>
                        <w:div w:id="378745890">
                          <w:marLeft w:val="0"/>
                          <w:marRight w:val="0"/>
                          <w:marTop w:val="0"/>
                          <w:marBottom w:val="0"/>
                          <w:divBdr>
                            <w:top w:val="none" w:sz="0" w:space="0" w:color="auto"/>
                            <w:left w:val="none" w:sz="0" w:space="0" w:color="auto"/>
                            <w:bottom w:val="none" w:sz="0" w:space="0" w:color="auto"/>
                            <w:right w:val="none" w:sz="0" w:space="0" w:color="auto"/>
                          </w:divBdr>
                          <w:divsChild>
                            <w:div w:id="2044282775">
                              <w:marLeft w:val="0"/>
                              <w:marRight w:val="0"/>
                              <w:marTop w:val="0"/>
                              <w:marBottom w:val="0"/>
                              <w:divBdr>
                                <w:top w:val="none" w:sz="0" w:space="0" w:color="auto"/>
                                <w:left w:val="none" w:sz="0" w:space="0" w:color="auto"/>
                                <w:bottom w:val="none" w:sz="0" w:space="0" w:color="auto"/>
                                <w:right w:val="none" w:sz="0" w:space="0" w:color="auto"/>
                              </w:divBdr>
                              <w:divsChild>
                                <w:div w:id="401757166">
                                  <w:marLeft w:val="0"/>
                                  <w:marRight w:val="0"/>
                                  <w:marTop w:val="0"/>
                                  <w:marBottom w:val="0"/>
                                  <w:divBdr>
                                    <w:top w:val="none" w:sz="0" w:space="0" w:color="auto"/>
                                    <w:left w:val="none" w:sz="0" w:space="0" w:color="auto"/>
                                    <w:bottom w:val="none" w:sz="0" w:space="0" w:color="auto"/>
                                    <w:right w:val="none" w:sz="0" w:space="0" w:color="auto"/>
                                  </w:divBdr>
                                  <w:divsChild>
                                    <w:div w:id="84373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7864067">
      <w:bodyDiv w:val="1"/>
      <w:marLeft w:val="0"/>
      <w:marRight w:val="0"/>
      <w:marTop w:val="0"/>
      <w:marBottom w:val="0"/>
      <w:divBdr>
        <w:top w:val="none" w:sz="0" w:space="0" w:color="auto"/>
        <w:left w:val="none" w:sz="0" w:space="0" w:color="auto"/>
        <w:bottom w:val="none" w:sz="0" w:space="0" w:color="auto"/>
        <w:right w:val="none" w:sz="0" w:space="0" w:color="auto"/>
      </w:divBdr>
      <w:divsChild>
        <w:div w:id="1591043600">
          <w:marLeft w:val="0"/>
          <w:marRight w:val="0"/>
          <w:marTop w:val="0"/>
          <w:marBottom w:val="0"/>
          <w:divBdr>
            <w:top w:val="none" w:sz="0" w:space="0" w:color="auto"/>
            <w:left w:val="none" w:sz="0" w:space="0" w:color="auto"/>
            <w:bottom w:val="none" w:sz="0" w:space="0" w:color="auto"/>
            <w:right w:val="none" w:sz="0" w:space="0" w:color="auto"/>
          </w:divBdr>
          <w:divsChild>
            <w:div w:id="878862999">
              <w:marLeft w:val="0"/>
              <w:marRight w:val="0"/>
              <w:marTop w:val="0"/>
              <w:marBottom w:val="0"/>
              <w:divBdr>
                <w:top w:val="none" w:sz="0" w:space="0" w:color="auto"/>
                <w:left w:val="none" w:sz="0" w:space="0" w:color="auto"/>
                <w:bottom w:val="none" w:sz="0" w:space="0" w:color="auto"/>
                <w:right w:val="none" w:sz="0" w:space="0" w:color="auto"/>
              </w:divBdr>
              <w:divsChild>
                <w:div w:id="1879974949">
                  <w:marLeft w:val="0"/>
                  <w:marRight w:val="0"/>
                  <w:marTop w:val="0"/>
                  <w:marBottom w:val="0"/>
                  <w:divBdr>
                    <w:top w:val="none" w:sz="0" w:space="0" w:color="auto"/>
                    <w:left w:val="none" w:sz="0" w:space="0" w:color="auto"/>
                    <w:bottom w:val="none" w:sz="0" w:space="0" w:color="auto"/>
                    <w:right w:val="none" w:sz="0" w:space="0" w:color="auto"/>
                  </w:divBdr>
                  <w:divsChild>
                    <w:div w:id="1714772354">
                      <w:marLeft w:val="0"/>
                      <w:marRight w:val="0"/>
                      <w:marTop w:val="0"/>
                      <w:marBottom w:val="0"/>
                      <w:divBdr>
                        <w:top w:val="none" w:sz="0" w:space="0" w:color="auto"/>
                        <w:left w:val="none" w:sz="0" w:space="0" w:color="auto"/>
                        <w:bottom w:val="none" w:sz="0" w:space="0" w:color="auto"/>
                        <w:right w:val="none" w:sz="0" w:space="0" w:color="auto"/>
                      </w:divBdr>
                      <w:divsChild>
                        <w:div w:id="1480459287">
                          <w:marLeft w:val="0"/>
                          <w:marRight w:val="0"/>
                          <w:marTop w:val="0"/>
                          <w:marBottom w:val="0"/>
                          <w:divBdr>
                            <w:top w:val="none" w:sz="0" w:space="0" w:color="auto"/>
                            <w:left w:val="none" w:sz="0" w:space="0" w:color="auto"/>
                            <w:bottom w:val="none" w:sz="0" w:space="0" w:color="auto"/>
                            <w:right w:val="none" w:sz="0" w:space="0" w:color="auto"/>
                          </w:divBdr>
                          <w:divsChild>
                            <w:div w:id="1160391625">
                              <w:marLeft w:val="0"/>
                              <w:marRight w:val="0"/>
                              <w:marTop w:val="0"/>
                              <w:marBottom w:val="0"/>
                              <w:divBdr>
                                <w:top w:val="none" w:sz="0" w:space="0" w:color="auto"/>
                                <w:left w:val="none" w:sz="0" w:space="0" w:color="auto"/>
                                <w:bottom w:val="none" w:sz="0" w:space="0" w:color="auto"/>
                                <w:right w:val="none" w:sz="0" w:space="0" w:color="auto"/>
                              </w:divBdr>
                              <w:divsChild>
                                <w:div w:id="991913159">
                                  <w:marLeft w:val="0"/>
                                  <w:marRight w:val="0"/>
                                  <w:marTop w:val="0"/>
                                  <w:marBottom w:val="0"/>
                                  <w:divBdr>
                                    <w:top w:val="none" w:sz="0" w:space="0" w:color="auto"/>
                                    <w:left w:val="none" w:sz="0" w:space="0" w:color="auto"/>
                                    <w:bottom w:val="none" w:sz="0" w:space="0" w:color="auto"/>
                                    <w:right w:val="none" w:sz="0" w:space="0" w:color="auto"/>
                                  </w:divBdr>
                                  <w:divsChild>
                                    <w:div w:id="151742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8401325">
      <w:bodyDiv w:val="1"/>
      <w:marLeft w:val="0"/>
      <w:marRight w:val="0"/>
      <w:marTop w:val="0"/>
      <w:marBottom w:val="0"/>
      <w:divBdr>
        <w:top w:val="none" w:sz="0" w:space="0" w:color="auto"/>
        <w:left w:val="none" w:sz="0" w:space="0" w:color="auto"/>
        <w:bottom w:val="none" w:sz="0" w:space="0" w:color="auto"/>
        <w:right w:val="none" w:sz="0" w:space="0" w:color="auto"/>
      </w:divBdr>
      <w:divsChild>
        <w:div w:id="1292903320">
          <w:marLeft w:val="0"/>
          <w:marRight w:val="0"/>
          <w:marTop w:val="0"/>
          <w:marBottom w:val="0"/>
          <w:divBdr>
            <w:top w:val="none" w:sz="0" w:space="0" w:color="auto"/>
            <w:left w:val="none" w:sz="0" w:space="0" w:color="auto"/>
            <w:bottom w:val="none" w:sz="0" w:space="0" w:color="auto"/>
            <w:right w:val="none" w:sz="0" w:space="0" w:color="auto"/>
          </w:divBdr>
          <w:divsChild>
            <w:div w:id="1418408005">
              <w:marLeft w:val="0"/>
              <w:marRight w:val="0"/>
              <w:marTop w:val="0"/>
              <w:marBottom w:val="0"/>
              <w:divBdr>
                <w:top w:val="none" w:sz="0" w:space="0" w:color="auto"/>
                <w:left w:val="none" w:sz="0" w:space="0" w:color="auto"/>
                <w:bottom w:val="none" w:sz="0" w:space="0" w:color="auto"/>
                <w:right w:val="none" w:sz="0" w:space="0" w:color="auto"/>
              </w:divBdr>
              <w:divsChild>
                <w:div w:id="1927113180">
                  <w:marLeft w:val="0"/>
                  <w:marRight w:val="0"/>
                  <w:marTop w:val="0"/>
                  <w:marBottom w:val="0"/>
                  <w:divBdr>
                    <w:top w:val="none" w:sz="0" w:space="0" w:color="auto"/>
                    <w:left w:val="none" w:sz="0" w:space="0" w:color="auto"/>
                    <w:bottom w:val="none" w:sz="0" w:space="0" w:color="auto"/>
                    <w:right w:val="none" w:sz="0" w:space="0" w:color="auto"/>
                  </w:divBdr>
                  <w:divsChild>
                    <w:div w:id="39905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843131">
      <w:bodyDiv w:val="1"/>
      <w:marLeft w:val="0"/>
      <w:marRight w:val="0"/>
      <w:marTop w:val="0"/>
      <w:marBottom w:val="0"/>
      <w:divBdr>
        <w:top w:val="none" w:sz="0" w:space="0" w:color="auto"/>
        <w:left w:val="none" w:sz="0" w:space="0" w:color="auto"/>
        <w:bottom w:val="none" w:sz="0" w:space="0" w:color="auto"/>
        <w:right w:val="none" w:sz="0" w:space="0" w:color="auto"/>
      </w:divBdr>
    </w:div>
    <w:div w:id="507670169">
      <w:bodyDiv w:val="1"/>
      <w:marLeft w:val="0"/>
      <w:marRight w:val="0"/>
      <w:marTop w:val="0"/>
      <w:marBottom w:val="0"/>
      <w:divBdr>
        <w:top w:val="none" w:sz="0" w:space="0" w:color="auto"/>
        <w:left w:val="none" w:sz="0" w:space="0" w:color="auto"/>
        <w:bottom w:val="none" w:sz="0" w:space="0" w:color="auto"/>
        <w:right w:val="none" w:sz="0" w:space="0" w:color="auto"/>
      </w:divBdr>
      <w:divsChild>
        <w:div w:id="1586109526">
          <w:marLeft w:val="0"/>
          <w:marRight w:val="0"/>
          <w:marTop w:val="0"/>
          <w:marBottom w:val="0"/>
          <w:divBdr>
            <w:top w:val="none" w:sz="0" w:space="0" w:color="auto"/>
            <w:left w:val="none" w:sz="0" w:space="0" w:color="auto"/>
            <w:bottom w:val="none" w:sz="0" w:space="0" w:color="auto"/>
            <w:right w:val="none" w:sz="0" w:space="0" w:color="auto"/>
          </w:divBdr>
          <w:divsChild>
            <w:div w:id="411120089">
              <w:marLeft w:val="0"/>
              <w:marRight w:val="0"/>
              <w:marTop w:val="0"/>
              <w:marBottom w:val="0"/>
              <w:divBdr>
                <w:top w:val="none" w:sz="0" w:space="0" w:color="auto"/>
                <w:left w:val="none" w:sz="0" w:space="0" w:color="auto"/>
                <w:bottom w:val="none" w:sz="0" w:space="0" w:color="auto"/>
                <w:right w:val="none" w:sz="0" w:space="0" w:color="auto"/>
              </w:divBdr>
              <w:divsChild>
                <w:div w:id="1902983122">
                  <w:marLeft w:val="0"/>
                  <w:marRight w:val="0"/>
                  <w:marTop w:val="0"/>
                  <w:marBottom w:val="0"/>
                  <w:divBdr>
                    <w:top w:val="none" w:sz="0" w:space="0" w:color="auto"/>
                    <w:left w:val="none" w:sz="0" w:space="0" w:color="auto"/>
                    <w:bottom w:val="none" w:sz="0" w:space="0" w:color="auto"/>
                    <w:right w:val="none" w:sz="0" w:space="0" w:color="auto"/>
                  </w:divBdr>
                  <w:divsChild>
                    <w:div w:id="97283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062633">
      <w:bodyDiv w:val="1"/>
      <w:marLeft w:val="0"/>
      <w:marRight w:val="0"/>
      <w:marTop w:val="0"/>
      <w:marBottom w:val="0"/>
      <w:divBdr>
        <w:top w:val="none" w:sz="0" w:space="0" w:color="auto"/>
        <w:left w:val="none" w:sz="0" w:space="0" w:color="auto"/>
        <w:bottom w:val="none" w:sz="0" w:space="0" w:color="auto"/>
        <w:right w:val="none" w:sz="0" w:space="0" w:color="auto"/>
      </w:divBdr>
      <w:divsChild>
        <w:div w:id="1151362800">
          <w:marLeft w:val="0"/>
          <w:marRight w:val="0"/>
          <w:marTop w:val="0"/>
          <w:marBottom w:val="0"/>
          <w:divBdr>
            <w:top w:val="none" w:sz="0" w:space="0" w:color="auto"/>
            <w:left w:val="none" w:sz="0" w:space="0" w:color="auto"/>
            <w:bottom w:val="none" w:sz="0" w:space="0" w:color="auto"/>
            <w:right w:val="none" w:sz="0" w:space="0" w:color="auto"/>
          </w:divBdr>
          <w:divsChild>
            <w:div w:id="158733692">
              <w:marLeft w:val="0"/>
              <w:marRight w:val="0"/>
              <w:marTop w:val="0"/>
              <w:marBottom w:val="0"/>
              <w:divBdr>
                <w:top w:val="none" w:sz="0" w:space="0" w:color="auto"/>
                <w:left w:val="none" w:sz="0" w:space="0" w:color="auto"/>
                <w:bottom w:val="none" w:sz="0" w:space="0" w:color="auto"/>
                <w:right w:val="none" w:sz="0" w:space="0" w:color="auto"/>
              </w:divBdr>
              <w:divsChild>
                <w:div w:id="414210768">
                  <w:marLeft w:val="0"/>
                  <w:marRight w:val="0"/>
                  <w:marTop w:val="0"/>
                  <w:marBottom w:val="0"/>
                  <w:divBdr>
                    <w:top w:val="none" w:sz="0" w:space="0" w:color="auto"/>
                    <w:left w:val="none" w:sz="0" w:space="0" w:color="auto"/>
                    <w:bottom w:val="none" w:sz="0" w:space="0" w:color="auto"/>
                    <w:right w:val="none" w:sz="0" w:space="0" w:color="auto"/>
                  </w:divBdr>
                  <w:divsChild>
                    <w:div w:id="199362084">
                      <w:marLeft w:val="0"/>
                      <w:marRight w:val="0"/>
                      <w:marTop w:val="0"/>
                      <w:marBottom w:val="0"/>
                      <w:divBdr>
                        <w:top w:val="none" w:sz="0" w:space="0" w:color="auto"/>
                        <w:left w:val="none" w:sz="0" w:space="0" w:color="auto"/>
                        <w:bottom w:val="none" w:sz="0" w:space="0" w:color="auto"/>
                        <w:right w:val="none" w:sz="0" w:space="0" w:color="auto"/>
                      </w:divBdr>
                      <w:divsChild>
                        <w:div w:id="357321507">
                          <w:marLeft w:val="0"/>
                          <w:marRight w:val="0"/>
                          <w:marTop w:val="0"/>
                          <w:marBottom w:val="0"/>
                          <w:divBdr>
                            <w:top w:val="none" w:sz="0" w:space="0" w:color="auto"/>
                            <w:left w:val="none" w:sz="0" w:space="0" w:color="auto"/>
                            <w:bottom w:val="none" w:sz="0" w:space="0" w:color="auto"/>
                            <w:right w:val="none" w:sz="0" w:space="0" w:color="auto"/>
                          </w:divBdr>
                          <w:divsChild>
                            <w:div w:id="21387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837577">
                  <w:marLeft w:val="0"/>
                  <w:marRight w:val="0"/>
                  <w:marTop w:val="0"/>
                  <w:marBottom w:val="0"/>
                  <w:divBdr>
                    <w:top w:val="none" w:sz="0" w:space="0" w:color="auto"/>
                    <w:left w:val="none" w:sz="0" w:space="0" w:color="auto"/>
                    <w:bottom w:val="none" w:sz="0" w:space="0" w:color="auto"/>
                    <w:right w:val="none" w:sz="0" w:space="0" w:color="auto"/>
                  </w:divBdr>
                  <w:divsChild>
                    <w:div w:id="31649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835280">
      <w:bodyDiv w:val="1"/>
      <w:marLeft w:val="0"/>
      <w:marRight w:val="0"/>
      <w:marTop w:val="0"/>
      <w:marBottom w:val="0"/>
      <w:divBdr>
        <w:top w:val="none" w:sz="0" w:space="0" w:color="auto"/>
        <w:left w:val="none" w:sz="0" w:space="0" w:color="auto"/>
        <w:bottom w:val="none" w:sz="0" w:space="0" w:color="auto"/>
        <w:right w:val="none" w:sz="0" w:space="0" w:color="auto"/>
      </w:divBdr>
      <w:divsChild>
        <w:div w:id="158280247">
          <w:marLeft w:val="0"/>
          <w:marRight w:val="0"/>
          <w:marTop w:val="0"/>
          <w:marBottom w:val="0"/>
          <w:divBdr>
            <w:top w:val="none" w:sz="0" w:space="0" w:color="auto"/>
            <w:left w:val="none" w:sz="0" w:space="0" w:color="auto"/>
            <w:bottom w:val="none" w:sz="0" w:space="0" w:color="auto"/>
            <w:right w:val="none" w:sz="0" w:space="0" w:color="auto"/>
          </w:divBdr>
          <w:divsChild>
            <w:div w:id="1513103593">
              <w:marLeft w:val="0"/>
              <w:marRight w:val="0"/>
              <w:marTop w:val="0"/>
              <w:marBottom w:val="0"/>
              <w:divBdr>
                <w:top w:val="none" w:sz="0" w:space="0" w:color="auto"/>
                <w:left w:val="none" w:sz="0" w:space="0" w:color="auto"/>
                <w:bottom w:val="none" w:sz="0" w:space="0" w:color="auto"/>
                <w:right w:val="none" w:sz="0" w:space="0" w:color="auto"/>
              </w:divBdr>
              <w:divsChild>
                <w:div w:id="650259531">
                  <w:marLeft w:val="0"/>
                  <w:marRight w:val="0"/>
                  <w:marTop w:val="0"/>
                  <w:marBottom w:val="0"/>
                  <w:divBdr>
                    <w:top w:val="none" w:sz="0" w:space="0" w:color="auto"/>
                    <w:left w:val="none" w:sz="0" w:space="0" w:color="auto"/>
                    <w:bottom w:val="none" w:sz="0" w:space="0" w:color="auto"/>
                    <w:right w:val="none" w:sz="0" w:space="0" w:color="auto"/>
                  </w:divBdr>
                  <w:divsChild>
                    <w:div w:id="105469509">
                      <w:marLeft w:val="0"/>
                      <w:marRight w:val="0"/>
                      <w:marTop w:val="0"/>
                      <w:marBottom w:val="0"/>
                      <w:divBdr>
                        <w:top w:val="none" w:sz="0" w:space="0" w:color="auto"/>
                        <w:left w:val="none" w:sz="0" w:space="0" w:color="auto"/>
                        <w:bottom w:val="none" w:sz="0" w:space="0" w:color="auto"/>
                        <w:right w:val="none" w:sz="0" w:space="0" w:color="auto"/>
                      </w:divBdr>
                      <w:divsChild>
                        <w:div w:id="1647274625">
                          <w:marLeft w:val="0"/>
                          <w:marRight w:val="0"/>
                          <w:marTop w:val="0"/>
                          <w:marBottom w:val="0"/>
                          <w:divBdr>
                            <w:top w:val="none" w:sz="0" w:space="0" w:color="auto"/>
                            <w:left w:val="none" w:sz="0" w:space="0" w:color="auto"/>
                            <w:bottom w:val="none" w:sz="0" w:space="0" w:color="auto"/>
                            <w:right w:val="none" w:sz="0" w:space="0" w:color="auto"/>
                          </w:divBdr>
                          <w:divsChild>
                            <w:div w:id="17977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4506813">
      <w:bodyDiv w:val="1"/>
      <w:marLeft w:val="0"/>
      <w:marRight w:val="0"/>
      <w:marTop w:val="0"/>
      <w:marBottom w:val="0"/>
      <w:divBdr>
        <w:top w:val="none" w:sz="0" w:space="0" w:color="auto"/>
        <w:left w:val="none" w:sz="0" w:space="0" w:color="auto"/>
        <w:bottom w:val="none" w:sz="0" w:space="0" w:color="auto"/>
        <w:right w:val="none" w:sz="0" w:space="0" w:color="auto"/>
      </w:divBdr>
      <w:divsChild>
        <w:div w:id="25327725">
          <w:marLeft w:val="0"/>
          <w:marRight w:val="0"/>
          <w:marTop w:val="0"/>
          <w:marBottom w:val="0"/>
          <w:divBdr>
            <w:top w:val="none" w:sz="0" w:space="0" w:color="auto"/>
            <w:left w:val="none" w:sz="0" w:space="0" w:color="auto"/>
            <w:bottom w:val="none" w:sz="0" w:space="0" w:color="auto"/>
            <w:right w:val="none" w:sz="0" w:space="0" w:color="auto"/>
          </w:divBdr>
          <w:divsChild>
            <w:div w:id="220410540">
              <w:marLeft w:val="0"/>
              <w:marRight w:val="0"/>
              <w:marTop w:val="0"/>
              <w:marBottom w:val="0"/>
              <w:divBdr>
                <w:top w:val="none" w:sz="0" w:space="0" w:color="auto"/>
                <w:left w:val="none" w:sz="0" w:space="0" w:color="auto"/>
                <w:bottom w:val="none" w:sz="0" w:space="0" w:color="auto"/>
                <w:right w:val="none" w:sz="0" w:space="0" w:color="auto"/>
              </w:divBdr>
              <w:divsChild>
                <w:div w:id="999390297">
                  <w:marLeft w:val="0"/>
                  <w:marRight w:val="0"/>
                  <w:marTop w:val="0"/>
                  <w:marBottom w:val="0"/>
                  <w:divBdr>
                    <w:top w:val="none" w:sz="0" w:space="0" w:color="auto"/>
                    <w:left w:val="none" w:sz="0" w:space="0" w:color="auto"/>
                    <w:bottom w:val="none" w:sz="0" w:space="0" w:color="auto"/>
                    <w:right w:val="none" w:sz="0" w:space="0" w:color="auto"/>
                  </w:divBdr>
                  <w:divsChild>
                    <w:div w:id="1440831863">
                      <w:marLeft w:val="0"/>
                      <w:marRight w:val="0"/>
                      <w:marTop w:val="0"/>
                      <w:marBottom w:val="0"/>
                      <w:divBdr>
                        <w:top w:val="none" w:sz="0" w:space="0" w:color="auto"/>
                        <w:left w:val="none" w:sz="0" w:space="0" w:color="auto"/>
                        <w:bottom w:val="none" w:sz="0" w:space="0" w:color="auto"/>
                        <w:right w:val="none" w:sz="0" w:space="0" w:color="auto"/>
                      </w:divBdr>
                    </w:div>
                  </w:divsChild>
                </w:div>
                <w:div w:id="1817380997">
                  <w:marLeft w:val="0"/>
                  <w:marRight w:val="0"/>
                  <w:marTop w:val="0"/>
                  <w:marBottom w:val="0"/>
                  <w:divBdr>
                    <w:top w:val="none" w:sz="0" w:space="0" w:color="auto"/>
                    <w:left w:val="none" w:sz="0" w:space="0" w:color="auto"/>
                    <w:bottom w:val="none" w:sz="0" w:space="0" w:color="auto"/>
                    <w:right w:val="none" w:sz="0" w:space="0" w:color="auto"/>
                  </w:divBdr>
                  <w:divsChild>
                    <w:div w:id="1734769071">
                      <w:marLeft w:val="0"/>
                      <w:marRight w:val="0"/>
                      <w:marTop w:val="0"/>
                      <w:marBottom w:val="0"/>
                      <w:divBdr>
                        <w:top w:val="none" w:sz="0" w:space="0" w:color="auto"/>
                        <w:left w:val="none" w:sz="0" w:space="0" w:color="auto"/>
                        <w:bottom w:val="none" w:sz="0" w:space="0" w:color="auto"/>
                        <w:right w:val="none" w:sz="0" w:space="0" w:color="auto"/>
                      </w:divBdr>
                      <w:divsChild>
                        <w:div w:id="513688517">
                          <w:marLeft w:val="0"/>
                          <w:marRight w:val="0"/>
                          <w:marTop w:val="0"/>
                          <w:marBottom w:val="0"/>
                          <w:divBdr>
                            <w:top w:val="none" w:sz="0" w:space="0" w:color="auto"/>
                            <w:left w:val="none" w:sz="0" w:space="0" w:color="auto"/>
                            <w:bottom w:val="none" w:sz="0" w:space="0" w:color="auto"/>
                            <w:right w:val="none" w:sz="0" w:space="0" w:color="auto"/>
                          </w:divBdr>
                          <w:divsChild>
                            <w:div w:id="32015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211578">
      <w:bodyDiv w:val="1"/>
      <w:marLeft w:val="0"/>
      <w:marRight w:val="0"/>
      <w:marTop w:val="0"/>
      <w:marBottom w:val="0"/>
      <w:divBdr>
        <w:top w:val="none" w:sz="0" w:space="0" w:color="auto"/>
        <w:left w:val="none" w:sz="0" w:space="0" w:color="auto"/>
        <w:bottom w:val="none" w:sz="0" w:space="0" w:color="auto"/>
        <w:right w:val="none" w:sz="0" w:space="0" w:color="auto"/>
      </w:divBdr>
      <w:divsChild>
        <w:div w:id="1648704464">
          <w:marLeft w:val="0"/>
          <w:marRight w:val="0"/>
          <w:marTop w:val="0"/>
          <w:marBottom w:val="0"/>
          <w:divBdr>
            <w:top w:val="none" w:sz="0" w:space="0" w:color="auto"/>
            <w:left w:val="none" w:sz="0" w:space="0" w:color="auto"/>
            <w:bottom w:val="none" w:sz="0" w:space="0" w:color="auto"/>
            <w:right w:val="none" w:sz="0" w:space="0" w:color="auto"/>
          </w:divBdr>
          <w:divsChild>
            <w:div w:id="1573001313">
              <w:marLeft w:val="0"/>
              <w:marRight w:val="0"/>
              <w:marTop w:val="0"/>
              <w:marBottom w:val="0"/>
              <w:divBdr>
                <w:top w:val="none" w:sz="0" w:space="0" w:color="auto"/>
                <w:left w:val="none" w:sz="0" w:space="0" w:color="auto"/>
                <w:bottom w:val="none" w:sz="0" w:space="0" w:color="auto"/>
                <w:right w:val="none" w:sz="0" w:space="0" w:color="auto"/>
              </w:divBdr>
              <w:divsChild>
                <w:div w:id="59064083">
                  <w:marLeft w:val="0"/>
                  <w:marRight w:val="0"/>
                  <w:marTop w:val="0"/>
                  <w:marBottom w:val="0"/>
                  <w:divBdr>
                    <w:top w:val="none" w:sz="0" w:space="0" w:color="auto"/>
                    <w:left w:val="none" w:sz="0" w:space="0" w:color="auto"/>
                    <w:bottom w:val="none" w:sz="0" w:space="0" w:color="auto"/>
                    <w:right w:val="none" w:sz="0" w:space="0" w:color="auto"/>
                  </w:divBdr>
                  <w:divsChild>
                    <w:div w:id="459303046">
                      <w:marLeft w:val="0"/>
                      <w:marRight w:val="0"/>
                      <w:marTop w:val="0"/>
                      <w:marBottom w:val="0"/>
                      <w:divBdr>
                        <w:top w:val="none" w:sz="0" w:space="0" w:color="auto"/>
                        <w:left w:val="none" w:sz="0" w:space="0" w:color="auto"/>
                        <w:bottom w:val="none" w:sz="0" w:space="0" w:color="auto"/>
                        <w:right w:val="none" w:sz="0" w:space="0" w:color="auto"/>
                      </w:divBdr>
                      <w:divsChild>
                        <w:div w:id="108008810">
                          <w:marLeft w:val="0"/>
                          <w:marRight w:val="0"/>
                          <w:marTop w:val="0"/>
                          <w:marBottom w:val="0"/>
                          <w:divBdr>
                            <w:top w:val="none" w:sz="0" w:space="0" w:color="auto"/>
                            <w:left w:val="none" w:sz="0" w:space="0" w:color="auto"/>
                            <w:bottom w:val="none" w:sz="0" w:space="0" w:color="auto"/>
                            <w:right w:val="none" w:sz="0" w:space="0" w:color="auto"/>
                          </w:divBdr>
                          <w:divsChild>
                            <w:div w:id="631792387">
                              <w:marLeft w:val="0"/>
                              <w:marRight w:val="0"/>
                              <w:marTop w:val="0"/>
                              <w:marBottom w:val="0"/>
                              <w:divBdr>
                                <w:top w:val="none" w:sz="0" w:space="0" w:color="auto"/>
                                <w:left w:val="none" w:sz="0" w:space="0" w:color="auto"/>
                                <w:bottom w:val="none" w:sz="0" w:space="0" w:color="auto"/>
                                <w:right w:val="none" w:sz="0" w:space="0" w:color="auto"/>
                              </w:divBdr>
                              <w:divsChild>
                                <w:div w:id="215047139">
                                  <w:marLeft w:val="0"/>
                                  <w:marRight w:val="0"/>
                                  <w:marTop w:val="0"/>
                                  <w:marBottom w:val="0"/>
                                  <w:divBdr>
                                    <w:top w:val="none" w:sz="0" w:space="0" w:color="auto"/>
                                    <w:left w:val="none" w:sz="0" w:space="0" w:color="auto"/>
                                    <w:bottom w:val="none" w:sz="0" w:space="0" w:color="auto"/>
                                    <w:right w:val="none" w:sz="0" w:space="0" w:color="auto"/>
                                  </w:divBdr>
                                  <w:divsChild>
                                    <w:div w:id="178252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16712">
      <w:bodyDiv w:val="1"/>
      <w:marLeft w:val="0"/>
      <w:marRight w:val="0"/>
      <w:marTop w:val="0"/>
      <w:marBottom w:val="0"/>
      <w:divBdr>
        <w:top w:val="none" w:sz="0" w:space="0" w:color="auto"/>
        <w:left w:val="none" w:sz="0" w:space="0" w:color="auto"/>
        <w:bottom w:val="none" w:sz="0" w:space="0" w:color="auto"/>
        <w:right w:val="none" w:sz="0" w:space="0" w:color="auto"/>
      </w:divBdr>
      <w:divsChild>
        <w:div w:id="615257167">
          <w:marLeft w:val="0"/>
          <w:marRight w:val="0"/>
          <w:marTop w:val="0"/>
          <w:marBottom w:val="0"/>
          <w:divBdr>
            <w:top w:val="none" w:sz="0" w:space="0" w:color="auto"/>
            <w:left w:val="none" w:sz="0" w:space="0" w:color="auto"/>
            <w:bottom w:val="none" w:sz="0" w:space="0" w:color="auto"/>
            <w:right w:val="none" w:sz="0" w:space="0" w:color="auto"/>
          </w:divBdr>
          <w:divsChild>
            <w:div w:id="309405419">
              <w:marLeft w:val="0"/>
              <w:marRight w:val="0"/>
              <w:marTop w:val="0"/>
              <w:marBottom w:val="0"/>
              <w:divBdr>
                <w:top w:val="none" w:sz="0" w:space="0" w:color="auto"/>
                <w:left w:val="none" w:sz="0" w:space="0" w:color="auto"/>
                <w:bottom w:val="none" w:sz="0" w:space="0" w:color="auto"/>
                <w:right w:val="none" w:sz="0" w:space="0" w:color="auto"/>
              </w:divBdr>
              <w:divsChild>
                <w:div w:id="1636329853">
                  <w:marLeft w:val="0"/>
                  <w:marRight w:val="0"/>
                  <w:marTop w:val="0"/>
                  <w:marBottom w:val="0"/>
                  <w:divBdr>
                    <w:top w:val="none" w:sz="0" w:space="0" w:color="auto"/>
                    <w:left w:val="none" w:sz="0" w:space="0" w:color="auto"/>
                    <w:bottom w:val="none" w:sz="0" w:space="0" w:color="auto"/>
                    <w:right w:val="none" w:sz="0" w:space="0" w:color="auto"/>
                  </w:divBdr>
                  <w:divsChild>
                    <w:div w:id="9556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416873">
      <w:bodyDiv w:val="1"/>
      <w:marLeft w:val="0"/>
      <w:marRight w:val="0"/>
      <w:marTop w:val="0"/>
      <w:marBottom w:val="0"/>
      <w:divBdr>
        <w:top w:val="none" w:sz="0" w:space="0" w:color="auto"/>
        <w:left w:val="none" w:sz="0" w:space="0" w:color="auto"/>
        <w:bottom w:val="none" w:sz="0" w:space="0" w:color="auto"/>
        <w:right w:val="none" w:sz="0" w:space="0" w:color="auto"/>
      </w:divBdr>
      <w:divsChild>
        <w:div w:id="1010723061">
          <w:marLeft w:val="0"/>
          <w:marRight w:val="0"/>
          <w:marTop w:val="0"/>
          <w:marBottom w:val="0"/>
          <w:divBdr>
            <w:top w:val="none" w:sz="0" w:space="0" w:color="auto"/>
            <w:left w:val="none" w:sz="0" w:space="0" w:color="auto"/>
            <w:bottom w:val="none" w:sz="0" w:space="0" w:color="auto"/>
            <w:right w:val="none" w:sz="0" w:space="0" w:color="auto"/>
          </w:divBdr>
          <w:divsChild>
            <w:div w:id="1857037333">
              <w:marLeft w:val="0"/>
              <w:marRight w:val="0"/>
              <w:marTop w:val="0"/>
              <w:marBottom w:val="0"/>
              <w:divBdr>
                <w:top w:val="none" w:sz="0" w:space="0" w:color="auto"/>
                <w:left w:val="none" w:sz="0" w:space="0" w:color="auto"/>
                <w:bottom w:val="none" w:sz="0" w:space="0" w:color="auto"/>
                <w:right w:val="none" w:sz="0" w:space="0" w:color="auto"/>
              </w:divBdr>
              <w:divsChild>
                <w:div w:id="1743216352">
                  <w:marLeft w:val="0"/>
                  <w:marRight w:val="0"/>
                  <w:marTop w:val="0"/>
                  <w:marBottom w:val="0"/>
                  <w:divBdr>
                    <w:top w:val="none" w:sz="0" w:space="0" w:color="auto"/>
                    <w:left w:val="none" w:sz="0" w:space="0" w:color="auto"/>
                    <w:bottom w:val="none" w:sz="0" w:space="0" w:color="auto"/>
                    <w:right w:val="none" w:sz="0" w:space="0" w:color="auto"/>
                  </w:divBdr>
                  <w:divsChild>
                    <w:div w:id="345062270">
                      <w:marLeft w:val="0"/>
                      <w:marRight w:val="0"/>
                      <w:marTop w:val="0"/>
                      <w:marBottom w:val="0"/>
                      <w:divBdr>
                        <w:top w:val="none" w:sz="0" w:space="0" w:color="auto"/>
                        <w:left w:val="none" w:sz="0" w:space="0" w:color="auto"/>
                        <w:bottom w:val="none" w:sz="0" w:space="0" w:color="auto"/>
                        <w:right w:val="none" w:sz="0" w:space="0" w:color="auto"/>
                      </w:divBdr>
                      <w:divsChild>
                        <w:div w:id="1382559284">
                          <w:marLeft w:val="0"/>
                          <w:marRight w:val="0"/>
                          <w:marTop w:val="0"/>
                          <w:marBottom w:val="0"/>
                          <w:divBdr>
                            <w:top w:val="none" w:sz="0" w:space="0" w:color="auto"/>
                            <w:left w:val="none" w:sz="0" w:space="0" w:color="auto"/>
                            <w:bottom w:val="none" w:sz="0" w:space="0" w:color="auto"/>
                            <w:right w:val="none" w:sz="0" w:space="0" w:color="auto"/>
                          </w:divBdr>
                          <w:divsChild>
                            <w:div w:id="275063599">
                              <w:marLeft w:val="0"/>
                              <w:marRight w:val="0"/>
                              <w:marTop w:val="0"/>
                              <w:marBottom w:val="0"/>
                              <w:divBdr>
                                <w:top w:val="none" w:sz="0" w:space="0" w:color="auto"/>
                                <w:left w:val="none" w:sz="0" w:space="0" w:color="auto"/>
                                <w:bottom w:val="none" w:sz="0" w:space="0" w:color="auto"/>
                                <w:right w:val="none" w:sz="0" w:space="0" w:color="auto"/>
                              </w:divBdr>
                              <w:divsChild>
                                <w:div w:id="113836413">
                                  <w:marLeft w:val="0"/>
                                  <w:marRight w:val="0"/>
                                  <w:marTop w:val="0"/>
                                  <w:marBottom w:val="0"/>
                                  <w:divBdr>
                                    <w:top w:val="none" w:sz="0" w:space="0" w:color="auto"/>
                                    <w:left w:val="none" w:sz="0" w:space="0" w:color="auto"/>
                                    <w:bottom w:val="none" w:sz="0" w:space="0" w:color="auto"/>
                                    <w:right w:val="none" w:sz="0" w:space="0" w:color="auto"/>
                                  </w:divBdr>
                                  <w:divsChild>
                                    <w:div w:id="202925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0406850">
      <w:bodyDiv w:val="1"/>
      <w:marLeft w:val="0"/>
      <w:marRight w:val="0"/>
      <w:marTop w:val="0"/>
      <w:marBottom w:val="0"/>
      <w:divBdr>
        <w:top w:val="none" w:sz="0" w:space="0" w:color="auto"/>
        <w:left w:val="none" w:sz="0" w:space="0" w:color="auto"/>
        <w:bottom w:val="none" w:sz="0" w:space="0" w:color="auto"/>
        <w:right w:val="none" w:sz="0" w:space="0" w:color="auto"/>
      </w:divBdr>
      <w:divsChild>
        <w:div w:id="1623682620">
          <w:marLeft w:val="0"/>
          <w:marRight w:val="0"/>
          <w:marTop w:val="0"/>
          <w:marBottom w:val="0"/>
          <w:divBdr>
            <w:top w:val="none" w:sz="0" w:space="0" w:color="auto"/>
            <w:left w:val="none" w:sz="0" w:space="0" w:color="auto"/>
            <w:bottom w:val="none" w:sz="0" w:space="0" w:color="auto"/>
            <w:right w:val="none" w:sz="0" w:space="0" w:color="auto"/>
          </w:divBdr>
          <w:divsChild>
            <w:div w:id="1015155722">
              <w:marLeft w:val="0"/>
              <w:marRight w:val="0"/>
              <w:marTop w:val="0"/>
              <w:marBottom w:val="0"/>
              <w:divBdr>
                <w:top w:val="none" w:sz="0" w:space="0" w:color="auto"/>
                <w:left w:val="none" w:sz="0" w:space="0" w:color="auto"/>
                <w:bottom w:val="none" w:sz="0" w:space="0" w:color="auto"/>
                <w:right w:val="none" w:sz="0" w:space="0" w:color="auto"/>
              </w:divBdr>
              <w:divsChild>
                <w:div w:id="2143303869">
                  <w:marLeft w:val="0"/>
                  <w:marRight w:val="0"/>
                  <w:marTop w:val="0"/>
                  <w:marBottom w:val="0"/>
                  <w:divBdr>
                    <w:top w:val="none" w:sz="0" w:space="0" w:color="auto"/>
                    <w:left w:val="none" w:sz="0" w:space="0" w:color="auto"/>
                    <w:bottom w:val="none" w:sz="0" w:space="0" w:color="auto"/>
                    <w:right w:val="none" w:sz="0" w:space="0" w:color="auto"/>
                  </w:divBdr>
                  <w:divsChild>
                    <w:div w:id="89419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846069">
      <w:bodyDiv w:val="1"/>
      <w:marLeft w:val="0"/>
      <w:marRight w:val="0"/>
      <w:marTop w:val="0"/>
      <w:marBottom w:val="0"/>
      <w:divBdr>
        <w:top w:val="none" w:sz="0" w:space="0" w:color="auto"/>
        <w:left w:val="none" w:sz="0" w:space="0" w:color="auto"/>
        <w:bottom w:val="none" w:sz="0" w:space="0" w:color="auto"/>
        <w:right w:val="none" w:sz="0" w:space="0" w:color="auto"/>
      </w:divBdr>
      <w:divsChild>
        <w:div w:id="681396216">
          <w:marLeft w:val="0"/>
          <w:marRight w:val="0"/>
          <w:marTop w:val="0"/>
          <w:marBottom w:val="0"/>
          <w:divBdr>
            <w:top w:val="none" w:sz="0" w:space="0" w:color="auto"/>
            <w:left w:val="none" w:sz="0" w:space="0" w:color="auto"/>
            <w:bottom w:val="none" w:sz="0" w:space="0" w:color="auto"/>
            <w:right w:val="none" w:sz="0" w:space="0" w:color="auto"/>
          </w:divBdr>
          <w:divsChild>
            <w:div w:id="428084456">
              <w:marLeft w:val="0"/>
              <w:marRight w:val="0"/>
              <w:marTop w:val="0"/>
              <w:marBottom w:val="0"/>
              <w:divBdr>
                <w:top w:val="none" w:sz="0" w:space="0" w:color="auto"/>
                <w:left w:val="none" w:sz="0" w:space="0" w:color="auto"/>
                <w:bottom w:val="none" w:sz="0" w:space="0" w:color="auto"/>
                <w:right w:val="none" w:sz="0" w:space="0" w:color="auto"/>
              </w:divBdr>
              <w:divsChild>
                <w:div w:id="1591622227">
                  <w:marLeft w:val="0"/>
                  <w:marRight w:val="0"/>
                  <w:marTop w:val="0"/>
                  <w:marBottom w:val="0"/>
                  <w:divBdr>
                    <w:top w:val="none" w:sz="0" w:space="0" w:color="auto"/>
                    <w:left w:val="none" w:sz="0" w:space="0" w:color="auto"/>
                    <w:bottom w:val="none" w:sz="0" w:space="0" w:color="auto"/>
                    <w:right w:val="none" w:sz="0" w:space="0" w:color="auto"/>
                  </w:divBdr>
                  <w:divsChild>
                    <w:div w:id="171738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961355">
      <w:bodyDiv w:val="1"/>
      <w:marLeft w:val="0"/>
      <w:marRight w:val="0"/>
      <w:marTop w:val="0"/>
      <w:marBottom w:val="0"/>
      <w:divBdr>
        <w:top w:val="none" w:sz="0" w:space="0" w:color="auto"/>
        <w:left w:val="none" w:sz="0" w:space="0" w:color="auto"/>
        <w:bottom w:val="none" w:sz="0" w:space="0" w:color="auto"/>
        <w:right w:val="none" w:sz="0" w:space="0" w:color="auto"/>
      </w:divBdr>
      <w:divsChild>
        <w:div w:id="1912541980">
          <w:marLeft w:val="0"/>
          <w:marRight w:val="0"/>
          <w:marTop w:val="0"/>
          <w:marBottom w:val="0"/>
          <w:divBdr>
            <w:top w:val="none" w:sz="0" w:space="0" w:color="auto"/>
            <w:left w:val="none" w:sz="0" w:space="0" w:color="auto"/>
            <w:bottom w:val="none" w:sz="0" w:space="0" w:color="auto"/>
            <w:right w:val="none" w:sz="0" w:space="0" w:color="auto"/>
          </w:divBdr>
          <w:divsChild>
            <w:div w:id="377239465">
              <w:marLeft w:val="0"/>
              <w:marRight w:val="0"/>
              <w:marTop w:val="0"/>
              <w:marBottom w:val="0"/>
              <w:divBdr>
                <w:top w:val="none" w:sz="0" w:space="0" w:color="auto"/>
                <w:left w:val="none" w:sz="0" w:space="0" w:color="auto"/>
                <w:bottom w:val="none" w:sz="0" w:space="0" w:color="auto"/>
                <w:right w:val="none" w:sz="0" w:space="0" w:color="auto"/>
              </w:divBdr>
              <w:divsChild>
                <w:div w:id="1135677388">
                  <w:marLeft w:val="0"/>
                  <w:marRight w:val="0"/>
                  <w:marTop w:val="0"/>
                  <w:marBottom w:val="0"/>
                  <w:divBdr>
                    <w:top w:val="none" w:sz="0" w:space="0" w:color="auto"/>
                    <w:left w:val="none" w:sz="0" w:space="0" w:color="auto"/>
                    <w:bottom w:val="none" w:sz="0" w:space="0" w:color="auto"/>
                    <w:right w:val="none" w:sz="0" w:space="0" w:color="auto"/>
                  </w:divBdr>
                  <w:divsChild>
                    <w:div w:id="187237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690570">
      <w:bodyDiv w:val="1"/>
      <w:marLeft w:val="0"/>
      <w:marRight w:val="0"/>
      <w:marTop w:val="0"/>
      <w:marBottom w:val="0"/>
      <w:divBdr>
        <w:top w:val="none" w:sz="0" w:space="0" w:color="auto"/>
        <w:left w:val="none" w:sz="0" w:space="0" w:color="auto"/>
        <w:bottom w:val="none" w:sz="0" w:space="0" w:color="auto"/>
        <w:right w:val="none" w:sz="0" w:space="0" w:color="auto"/>
      </w:divBdr>
    </w:div>
    <w:div w:id="590889683">
      <w:bodyDiv w:val="1"/>
      <w:marLeft w:val="0"/>
      <w:marRight w:val="0"/>
      <w:marTop w:val="0"/>
      <w:marBottom w:val="0"/>
      <w:divBdr>
        <w:top w:val="none" w:sz="0" w:space="0" w:color="auto"/>
        <w:left w:val="none" w:sz="0" w:space="0" w:color="auto"/>
        <w:bottom w:val="none" w:sz="0" w:space="0" w:color="auto"/>
        <w:right w:val="none" w:sz="0" w:space="0" w:color="auto"/>
      </w:divBdr>
      <w:divsChild>
        <w:div w:id="760174776">
          <w:marLeft w:val="0"/>
          <w:marRight w:val="0"/>
          <w:marTop w:val="0"/>
          <w:marBottom w:val="0"/>
          <w:divBdr>
            <w:top w:val="none" w:sz="0" w:space="0" w:color="auto"/>
            <w:left w:val="none" w:sz="0" w:space="0" w:color="auto"/>
            <w:bottom w:val="none" w:sz="0" w:space="0" w:color="auto"/>
            <w:right w:val="none" w:sz="0" w:space="0" w:color="auto"/>
          </w:divBdr>
          <w:divsChild>
            <w:div w:id="15885413">
              <w:marLeft w:val="0"/>
              <w:marRight w:val="0"/>
              <w:marTop w:val="0"/>
              <w:marBottom w:val="0"/>
              <w:divBdr>
                <w:top w:val="none" w:sz="0" w:space="0" w:color="auto"/>
                <w:left w:val="none" w:sz="0" w:space="0" w:color="auto"/>
                <w:bottom w:val="none" w:sz="0" w:space="0" w:color="auto"/>
                <w:right w:val="none" w:sz="0" w:space="0" w:color="auto"/>
              </w:divBdr>
              <w:divsChild>
                <w:div w:id="2037457936">
                  <w:marLeft w:val="0"/>
                  <w:marRight w:val="0"/>
                  <w:marTop w:val="0"/>
                  <w:marBottom w:val="0"/>
                  <w:divBdr>
                    <w:top w:val="none" w:sz="0" w:space="0" w:color="auto"/>
                    <w:left w:val="none" w:sz="0" w:space="0" w:color="auto"/>
                    <w:bottom w:val="none" w:sz="0" w:space="0" w:color="auto"/>
                    <w:right w:val="none" w:sz="0" w:space="0" w:color="auto"/>
                  </w:divBdr>
                  <w:divsChild>
                    <w:div w:id="80878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50289">
      <w:bodyDiv w:val="1"/>
      <w:marLeft w:val="0"/>
      <w:marRight w:val="0"/>
      <w:marTop w:val="0"/>
      <w:marBottom w:val="0"/>
      <w:divBdr>
        <w:top w:val="none" w:sz="0" w:space="0" w:color="auto"/>
        <w:left w:val="none" w:sz="0" w:space="0" w:color="auto"/>
        <w:bottom w:val="none" w:sz="0" w:space="0" w:color="auto"/>
        <w:right w:val="none" w:sz="0" w:space="0" w:color="auto"/>
      </w:divBdr>
    </w:div>
    <w:div w:id="632366417">
      <w:bodyDiv w:val="1"/>
      <w:marLeft w:val="0"/>
      <w:marRight w:val="0"/>
      <w:marTop w:val="0"/>
      <w:marBottom w:val="0"/>
      <w:divBdr>
        <w:top w:val="none" w:sz="0" w:space="0" w:color="auto"/>
        <w:left w:val="none" w:sz="0" w:space="0" w:color="auto"/>
        <w:bottom w:val="none" w:sz="0" w:space="0" w:color="auto"/>
        <w:right w:val="none" w:sz="0" w:space="0" w:color="auto"/>
      </w:divBdr>
    </w:div>
    <w:div w:id="638073317">
      <w:bodyDiv w:val="1"/>
      <w:marLeft w:val="0"/>
      <w:marRight w:val="0"/>
      <w:marTop w:val="0"/>
      <w:marBottom w:val="0"/>
      <w:divBdr>
        <w:top w:val="none" w:sz="0" w:space="0" w:color="auto"/>
        <w:left w:val="none" w:sz="0" w:space="0" w:color="auto"/>
        <w:bottom w:val="none" w:sz="0" w:space="0" w:color="auto"/>
        <w:right w:val="none" w:sz="0" w:space="0" w:color="auto"/>
      </w:divBdr>
      <w:divsChild>
        <w:div w:id="450366586">
          <w:marLeft w:val="0"/>
          <w:marRight w:val="0"/>
          <w:marTop w:val="0"/>
          <w:marBottom w:val="0"/>
          <w:divBdr>
            <w:top w:val="none" w:sz="0" w:space="0" w:color="auto"/>
            <w:left w:val="none" w:sz="0" w:space="0" w:color="auto"/>
            <w:bottom w:val="none" w:sz="0" w:space="0" w:color="auto"/>
            <w:right w:val="none" w:sz="0" w:space="0" w:color="auto"/>
          </w:divBdr>
          <w:divsChild>
            <w:div w:id="1140416062">
              <w:marLeft w:val="0"/>
              <w:marRight w:val="0"/>
              <w:marTop w:val="0"/>
              <w:marBottom w:val="0"/>
              <w:divBdr>
                <w:top w:val="none" w:sz="0" w:space="0" w:color="auto"/>
                <w:left w:val="none" w:sz="0" w:space="0" w:color="auto"/>
                <w:bottom w:val="none" w:sz="0" w:space="0" w:color="auto"/>
                <w:right w:val="none" w:sz="0" w:space="0" w:color="auto"/>
              </w:divBdr>
              <w:divsChild>
                <w:div w:id="293024308">
                  <w:marLeft w:val="0"/>
                  <w:marRight w:val="0"/>
                  <w:marTop w:val="0"/>
                  <w:marBottom w:val="0"/>
                  <w:divBdr>
                    <w:top w:val="none" w:sz="0" w:space="0" w:color="auto"/>
                    <w:left w:val="none" w:sz="0" w:space="0" w:color="auto"/>
                    <w:bottom w:val="none" w:sz="0" w:space="0" w:color="auto"/>
                    <w:right w:val="none" w:sz="0" w:space="0" w:color="auto"/>
                  </w:divBdr>
                  <w:divsChild>
                    <w:div w:id="554006070">
                      <w:marLeft w:val="0"/>
                      <w:marRight w:val="0"/>
                      <w:marTop w:val="0"/>
                      <w:marBottom w:val="0"/>
                      <w:divBdr>
                        <w:top w:val="none" w:sz="0" w:space="0" w:color="auto"/>
                        <w:left w:val="none" w:sz="0" w:space="0" w:color="auto"/>
                        <w:bottom w:val="none" w:sz="0" w:space="0" w:color="auto"/>
                        <w:right w:val="none" w:sz="0" w:space="0" w:color="auto"/>
                      </w:divBdr>
                      <w:divsChild>
                        <w:div w:id="1768308364">
                          <w:marLeft w:val="0"/>
                          <w:marRight w:val="0"/>
                          <w:marTop w:val="0"/>
                          <w:marBottom w:val="0"/>
                          <w:divBdr>
                            <w:top w:val="none" w:sz="0" w:space="0" w:color="auto"/>
                            <w:left w:val="none" w:sz="0" w:space="0" w:color="auto"/>
                            <w:bottom w:val="none" w:sz="0" w:space="0" w:color="auto"/>
                            <w:right w:val="none" w:sz="0" w:space="0" w:color="auto"/>
                          </w:divBdr>
                          <w:divsChild>
                            <w:div w:id="10658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899899">
                  <w:marLeft w:val="0"/>
                  <w:marRight w:val="0"/>
                  <w:marTop w:val="0"/>
                  <w:marBottom w:val="0"/>
                  <w:divBdr>
                    <w:top w:val="none" w:sz="0" w:space="0" w:color="auto"/>
                    <w:left w:val="none" w:sz="0" w:space="0" w:color="auto"/>
                    <w:bottom w:val="none" w:sz="0" w:space="0" w:color="auto"/>
                    <w:right w:val="none" w:sz="0" w:space="0" w:color="auto"/>
                  </w:divBdr>
                  <w:divsChild>
                    <w:div w:id="7058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583565">
      <w:bodyDiv w:val="1"/>
      <w:marLeft w:val="0"/>
      <w:marRight w:val="0"/>
      <w:marTop w:val="0"/>
      <w:marBottom w:val="0"/>
      <w:divBdr>
        <w:top w:val="none" w:sz="0" w:space="0" w:color="auto"/>
        <w:left w:val="none" w:sz="0" w:space="0" w:color="auto"/>
        <w:bottom w:val="none" w:sz="0" w:space="0" w:color="auto"/>
        <w:right w:val="none" w:sz="0" w:space="0" w:color="auto"/>
      </w:divBdr>
      <w:divsChild>
        <w:div w:id="1140416513">
          <w:marLeft w:val="0"/>
          <w:marRight w:val="0"/>
          <w:marTop w:val="0"/>
          <w:marBottom w:val="0"/>
          <w:divBdr>
            <w:top w:val="none" w:sz="0" w:space="0" w:color="auto"/>
            <w:left w:val="none" w:sz="0" w:space="0" w:color="auto"/>
            <w:bottom w:val="none" w:sz="0" w:space="0" w:color="auto"/>
            <w:right w:val="none" w:sz="0" w:space="0" w:color="auto"/>
          </w:divBdr>
          <w:divsChild>
            <w:div w:id="1642155489">
              <w:marLeft w:val="0"/>
              <w:marRight w:val="0"/>
              <w:marTop w:val="0"/>
              <w:marBottom w:val="0"/>
              <w:divBdr>
                <w:top w:val="none" w:sz="0" w:space="0" w:color="auto"/>
                <w:left w:val="none" w:sz="0" w:space="0" w:color="auto"/>
                <w:bottom w:val="none" w:sz="0" w:space="0" w:color="auto"/>
                <w:right w:val="none" w:sz="0" w:space="0" w:color="auto"/>
              </w:divBdr>
              <w:divsChild>
                <w:div w:id="173689854">
                  <w:marLeft w:val="0"/>
                  <w:marRight w:val="0"/>
                  <w:marTop w:val="0"/>
                  <w:marBottom w:val="0"/>
                  <w:divBdr>
                    <w:top w:val="none" w:sz="0" w:space="0" w:color="auto"/>
                    <w:left w:val="none" w:sz="0" w:space="0" w:color="auto"/>
                    <w:bottom w:val="none" w:sz="0" w:space="0" w:color="auto"/>
                    <w:right w:val="none" w:sz="0" w:space="0" w:color="auto"/>
                  </w:divBdr>
                  <w:divsChild>
                    <w:div w:id="90441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585513">
      <w:bodyDiv w:val="1"/>
      <w:marLeft w:val="0"/>
      <w:marRight w:val="0"/>
      <w:marTop w:val="0"/>
      <w:marBottom w:val="0"/>
      <w:divBdr>
        <w:top w:val="none" w:sz="0" w:space="0" w:color="auto"/>
        <w:left w:val="none" w:sz="0" w:space="0" w:color="auto"/>
        <w:bottom w:val="none" w:sz="0" w:space="0" w:color="auto"/>
        <w:right w:val="none" w:sz="0" w:space="0" w:color="auto"/>
      </w:divBdr>
    </w:div>
    <w:div w:id="64489571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16">
          <w:marLeft w:val="0"/>
          <w:marRight w:val="0"/>
          <w:marTop w:val="0"/>
          <w:marBottom w:val="0"/>
          <w:divBdr>
            <w:top w:val="none" w:sz="0" w:space="0" w:color="auto"/>
            <w:left w:val="none" w:sz="0" w:space="0" w:color="auto"/>
            <w:bottom w:val="none" w:sz="0" w:space="0" w:color="auto"/>
            <w:right w:val="none" w:sz="0" w:space="0" w:color="auto"/>
          </w:divBdr>
          <w:divsChild>
            <w:div w:id="896208359">
              <w:marLeft w:val="0"/>
              <w:marRight w:val="0"/>
              <w:marTop w:val="0"/>
              <w:marBottom w:val="0"/>
              <w:divBdr>
                <w:top w:val="none" w:sz="0" w:space="0" w:color="auto"/>
                <w:left w:val="none" w:sz="0" w:space="0" w:color="auto"/>
                <w:bottom w:val="none" w:sz="0" w:space="0" w:color="auto"/>
                <w:right w:val="none" w:sz="0" w:space="0" w:color="auto"/>
              </w:divBdr>
              <w:divsChild>
                <w:div w:id="936253309">
                  <w:marLeft w:val="0"/>
                  <w:marRight w:val="0"/>
                  <w:marTop w:val="0"/>
                  <w:marBottom w:val="0"/>
                  <w:divBdr>
                    <w:top w:val="none" w:sz="0" w:space="0" w:color="auto"/>
                    <w:left w:val="none" w:sz="0" w:space="0" w:color="auto"/>
                    <w:bottom w:val="none" w:sz="0" w:space="0" w:color="auto"/>
                    <w:right w:val="none" w:sz="0" w:space="0" w:color="auto"/>
                  </w:divBdr>
                  <w:divsChild>
                    <w:div w:id="106765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817456">
      <w:bodyDiv w:val="1"/>
      <w:marLeft w:val="0"/>
      <w:marRight w:val="0"/>
      <w:marTop w:val="0"/>
      <w:marBottom w:val="0"/>
      <w:divBdr>
        <w:top w:val="none" w:sz="0" w:space="0" w:color="auto"/>
        <w:left w:val="none" w:sz="0" w:space="0" w:color="auto"/>
        <w:bottom w:val="none" w:sz="0" w:space="0" w:color="auto"/>
        <w:right w:val="none" w:sz="0" w:space="0" w:color="auto"/>
      </w:divBdr>
      <w:divsChild>
        <w:div w:id="1988590298">
          <w:marLeft w:val="0"/>
          <w:marRight w:val="0"/>
          <w:marTop w:val="0"/>
          <w:marBottom w:val="0"/>
          <w:divBdr>
            <w:top w:val="none" w:sz="0" w:space="0" w:color="auto"/>
            <w:left w:val="none" w:sz="0" w:space="0" w:color="auto"/>
            <w:bottom w:val="none" w:sz="0" w:space="0" w:color="auto"/>
            <w:right w:val="none" w:sz="0" w:space="0" w:color="auto"/>
          </w:divBdr>
          <w:divsChild>
            <w:div w:id="1094131761">
              <w:marLeft w:val="0"/>
              <w:marRight w:val="0"/>
              <w:marTop w:val="0"/>
              <w:marBottom w:val="0"/>
              <w:divBdr>
                <w:top w:val="none" w:sz="0" w:space="0" w:color="auto"/>
                <w:left w:val="none" w:sz="0" w:space="0" w:color="auto"/>
                <w:bottom w:val="none" w:sz="0" w:space="0" w:color="auto"/>
                <w:right w:val="none" w:sz="0" w:space="0" w:color="auto"/>
              </w:divBdr>
              <w:divsChild>
                <w:div w:id="1802377710">
                  <w:marLeft w:val="0"/>
                  <w:marRight w:val="0"/>
                  <w:marTop w:val="0"/>
                  <w:marBottom w:val="0"/>
                  <w:divBdr>
                    <w:top w:val="none" w:sz="0" w:space="0" w:color="auto"/>
                    <w:left w:val="none" w:sz="0" w:space="0" w:color="auto"/>
                    <w:bottom w:val="none" w:sz="0" w:space="0" w:color="auto"/>
                    <w:right w:val="none" w:sz="0" w:space="0" w:color="auto"/>
                  </w:divBdr>
                  <w:divsChild>
                    <w:div w:id="80886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647580">
      <w:bodyDiv w:val="1"/>
      <w:marLeft w:val="0"/>
      <w:marRight w:val="0"/>
      <w:marTop w:val="0"/>
      <w:marBottom w:val="0"/>
      <w:divBdr>
        <w:top w:val="none" w:sz="0" w:space="0" w:color="auto"/>
        <w:left w:val="none" w:sz="0" w:space="0" w:color="auto"/>
        <w:bottom w:val="none" w:sz="0" w:space="0" w:color="auto"/>
        <w:right w:val="none" w:sz="0" w:space="0" w:color="auto"/>
      </w:divBdr>
      <w:divsChild>
        <w:div w:id="1895041089">
          <w:marLeft w:val="0"/>
          <w:marRight w:val="0"/>
          <w:marTop w:val="0"/>
          <w:marBottom w:val="0"/>
          <w:divBdr>
            <w:top w:val="none" w:sz="0" w:space="0" w:color="auto"/>
            <w:left w:val="none" w:sz="0" w:space="0" w:color="auto"/>
            <w:bottom w:val="none" w:sz="0" w:space="0" w:color="auto"/>
            <w:right w:val="none" w:sz="0" w:space="0" w:color="auto"/>
          </w:divBdr>
          <w:divsChild>
            <w:div w:id="21365062">
              <w:marLeft w:val="0"/>
              <w:marRight w:val="0"/>
              <w:marTop w:val="0"/>
              <w:marBottom w:val="0"/>
              <w:divBdr>
                <w:top w:val="none" w:sz="0" w:space="0" w:color="auto"/>
                <w:left w:val="none" w:sz="0" w:space="0" w:color="auto"/>
                <w:bottom w:val="none" w:sz="0" w:space="0" w:color="auto"/>
                <w:right w:val="none" w:sz="0" w:space="0" w:color="auto"/>
              </w:divBdr>
              <w:divsChild>
                <w:div w:id="1554537942">
                  <w:marLeft w:val="0"/>
                  <w:marRight w:val="0"/>
                  <w:marTop w:val="0"/>
                  <w:marBottom w:val="0"/>
                  <w:divBdr>
                    <w:top w:val="none" w:sz="0" w:space="0" w:color="auto"/>
                    <w:left w:val="none" w:sz="0" w:space="0" w:color="auto"/>
                    <w:bottom w:val="none" w:sz="0" w:space="0" w:color="auto"/>
                    <w:right w:val="none" w:sz="0" w:space="0" w:color="auto"/>
                  </w:divBdr>
                  <w:divsChild>
                    <w:div w:id="53373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894499">
      <w:bodyDiv w:val="1"/>
      <w:marLeft w:val="0"/>
      <w:marRight w:val="0"/>
      <w:marTop w:val="0"/>
      <w:marBottom w:val="0"/>
      <w:divBdr>
        <w:top w:val="none" w:sz="0" w:space="0" w:color="auto"/>
        <w:left w:val="none" w:sz="0" w:space="0" w:color="auto"/>
        <w:bottom w:val="none" w:sz="0" w:space="0" w:color="auto"/>
        <w:right w:val="none" w:sz="0" w:space="0" w:color="auto"/>
      </w:divBdr>
      <w:divsChild>
        <w:div w:id="1311449105">
          <w:marLeft w:val="0"/>
          <w:marRight w:val="0"/>
          <w:marTop w:val="0"/>
          <w:marBottom w:val="0"/>
          <w:divBdr>
            <w:top w:val="none" w:sz="0" w:space="0" w:color="auto"/>
            <w:left w:val="none" w:sz="0" w:space="0" w:color="auto"/>
            <w:bottom w:val="none" w:sz="0" w:space="0" w:color="auto"/>
            <w:right w:val="none" w:sz="0" w:space="0" w:color="auto"/>
          </w:divBdr>
        </w:div>
      </w:divsChild>
    </w:div>
    <w:div w:id="663555106">
      <w:bodyDiv w:val="1"/>
      <w:marLeft w:val="0"/>
      <w:marRight w:val="0"/>
      <w:marTop w:val="0"/>
      <w:marBottom w:val="0"/>
      <w:divBdr>
        <w:top w:val="none" w:sz="0" w:space="0" w:color="auto"/>
        <w:left w:val="none" w:sz="0" w:space="0" w:color="auto"/>
        <w:bottom w:val="none" w:sz="0" w:space="0" w:color="auto"/>
        <w:right w:val="none" w:sz="0" w:space="0" w:color="auto"/>
      </w:divBdr>
      <w:divsChild>
        <w:div w:id="258876253">
          <w:marLeft w:val="0"/>
          <w:marRight w:val="0"/>
          <w:marTop w:val="0"/>
          <w:marBottom w:val="0"/>
          <w:divBdr>
            <w:top w:val="none" w:sz="0" w:space="0" w:color="auto"/>
            <w:left w:val="none" w:sz="0" w:space="0" w:color="auto"/>
            <w:bottom w:val="none" w:sz="0" w:space="0" w:color="auto"/>
            <w:right w:val="none" w:sz="0" w:space="0" w:color="auto"/>
          </w:divBdr>
          <w:divsChild>
            <w:div w:id="1668288700">
              <w:marLeft w:val="0"/>
              <w:marRight w:val="0"/>
              <w:marTop w:val="0"/>
              <w:marBottom w:val="0"/>
              <w:divBdr>
                <w:top w:val="none" w:sz="0" w:space="0" w:color="auto"/>
                <w:left w:val="none" w:sz="0" w:space="0" w:color="auto"/>
                <w:bottom w:val="none" w:sz="0" w:space="0" w:color="auto"/>
                <w:right w:val="none" w:sz="0" w:space="0" w:color="auto"/>
              </w:divBdr>
              <w:divsChild>
                <w:div w:id="1961374019">
                  <w:marLeft w:val="0"/>
                  <w:marRight w:val="0"/>
                  <w:marTop w:val="0"/>
                  <w:marBottom w:val="0"/>
                  <w:divBdr>
                    <w:top w:val="none" w:sz="0" w:space="0" w:color="auto"/>
                    <w:left w:val="none" w:sz="0" w:space="0" w:color="auto"/>
                    <w:bottom w:val="none" w:sz="0" w:space="0" w:color="auto"/>
                    <w:right w:val="none" w:sz="0" w:space="0" w:color="auto"/>
                  </w:divBdr>
                  <w:divsChild>
                    <w:div w:id="1561020327">
                      <w:marLeft w:val="0"/>
                      <w:marRight w:val="0"/>
                      <w:marTop w:val="0"/>
                      <w:marBottom w:val="0"/>
                      <w:divBdr>
                        <w:top w:val="none" w:sz="0" w:space="0" w:color="auto"/>
                        <w:left w:val="none" w:sz="0" w:space="0" w:color="auto"/>
                        <w:bottom w:val="none" w:sz="0" w:space="0" w:color="auto"/>
                        <w:right w:val="none" w:sz="0" w:space="0" w:color="auto"/>
                      </w:divBdr>
                      <w:divsChild>
                        <w:div w:id="1980500648">
                          <w:marLeft w:val="0"/>
                          <w:marRight w:val="0"/>
                          <w:marTop w:val="0"/>
                          <w:marBottom w:val="0"/>
                          <w:divBdr>
                            <w:top w:val="none" w:sz="0" w:space="0" w:color="auto"/>
                            <w:left w:val="none" w:sz="0" w:space="0" w:color="auto"/>
                            <w:bottom w:val="none" w:sz="0" w:space="0" w:color="auto"/>
                            <w:right w:val="none" w:sz="0" w:space="0" w:color="auto"/>
                          </w:divBdr>
                          <w:divsChild>
                            <w:div w:id="456799222">
                              <w:marLeft w:val="0"/>
                              <w:marRight w:val="0"/>
                              <w:marTop w:val="0"/>
                              <w:marBottom w:val="0"/>
                              <w:divBdr>
                                <w:top w:val="none" w:sz="0" w:space="0" w:color="auto"/>
                                <w:left w:val="none" w:sz="0" w:space="0" w:color="auto"/>
                                <w:bottom w:val="none" w:sz="0" w:space="0" w:color="auto"/>
                                <w:right w:val="none" w:sz="0" w:space="0" w:color="auto"/>
                              </w:divBdr>
                              <w:divsChild>
                                <w:div w:id="220603005">
                                  <w:marLeft w:val="0"/>
                                  <w:marRight w:val="0"/>
                                  <w:marTop w:val="0"/>
                                  <w:marBottom w:val="0"/>
                                  <w:divBdr>
                                    <w:top w:val="none" w:sz="0" w:space="0" w:color="auto"/>
                                    <w:left w:val="none" w:sz="0" w:space="0" w:color="auto"/>
                                    <w:bottom w:val="none" w:sz="0" w:space="0" w:color="auto"/>
                                    <w:right w:val="none" w:sz="0" w:space="0" w:color="auto"/>
                                  </w:divBdr>
                                  <w:divsChild>
                                    <w:div w:id="64489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7175577">
      <w:bodyDiv w:val="1"/>
      <w:marLeft w:val="0"/>
      <w:marRight w:val="0"/>
      <w:marTop w:val="0"/>
      <w:marBottom w:val="0"/>
      <w:divBdr>
        <w:top w:val="none" w:sz="0" w:space="0" w:color="auto"/>
        <w:left w:val="none" w:sz="0" w:space="0" w:color="auto"/>
        <w:bottom w:val="none" w:sz="0" w:space="0" w:color="auto"/>
        <w:right w:val="none" w:sz="0" w:space="0" w:color="auto"/>
      </w:divBdr>
      <w:divsChild>
        <w:div w:id="1688679345">
          <w:marLeft w:val="0"/>
          <w:marRight w:val="0"/>
          <w:marTop w:val="0"/>
          <w:marBottom w:val="0"/>
          <w:divBdr>
            <w:top w:val="none" w:sz="0" w:space="0" w:color="auto"/>
            <w:left w:val="none" w:sz="0" w:space="0" w:color="auto"/>
            <w:bottom w:val="none" w:sz="0" w:space="0" w:color="auto"/>
            <w:right w:val="none" w:sz="0" w:space="0" w:color="auto"/>
          </w:divBdr>
          <w:divsChild>
            <w:div w:id="1496995962">
              <w:marLeft w:val="0"/>
              <w:marRight w:val="0"/>
              <w:marTop w:val="0"/>
              <w:marBottom w:val="0"/>
              <w:divBdr>
                <w:top w:val="none" w:sz="0" w:space="0" w:color="auto"/>
                <w:left w:val="none" w:sz="0" w:space="0" w:color="auto"/>
                <w:bottom w:val="none" w:sz="0" w:space="0" w:color="auto"/>
                <w:right w:val="none" w:sz="0" w:space="0" w:color="auto"/>
              </w:divBdr>
              <w:divsChild>
                <w:div w:id="1793553819">
                  <w:marLeft w:val="0"/>
                  <w:marRight w:val="0"/>
                  <w:marTop w:val="0"/>
                  <w:marBottom w:val="0"/>
                  <w:divBdr>
                    <w:top w:val="none" w:sz="0" w:space="0" w:color="auto"/>
                    <w:left w:val="none" w:sz="0" w:space="0" w:color="auto"/>
                    <w:bottom w:val="none" w:sz="0" w:space="0" w:color="auto"/>
                    <w:right w:val="none" w:sz="0" w:space="0" w:color="auto"/>
                  </w:divBdr>
                  <w:divsChild>
                    <w:div w:id="1275937839">
                      <w:marLeft w:val="0"/>
                      <w:marRight w:val="0"/>
                      <w:marTop w:val="0"/>
                      <w:marBottom w:val="0"/>
                      <w:divBdr>
                        <w:top w:val="none" w:sz="0" w:space="0" w:color="auto"/>
                        <w:left w:val="none" w:sz="0" w:space="0" w:color="auto"/>
                        <w:bottom w:val="none" w:sz="0" w:space="0" w:color="auto"/>
                        <w:right w:val="none" w:sz="0" w:space="0" w:color="auto"/>
                      </w:divBdr>
                      <w:divsChild>
                        <w:div w:id="2087217828">
                          <w:marLeft w:val="0"/>
                          <w:marRight w:val="0"/>
                          <w:marTop w:val="0"/>
                          <w:marBottom w:val="0"/>
                          <w:divBdr>
                            <w:top w:val="none" w:sz="0" w:space="0" w:color="auto"/>
                            <w:left w:val="none" w:sz="0" w:space="0" w:color="auto"/>
                            <w:bottom w:val="none" w:sz="0" w:space="0" w:color="auto"/>
                            <w:right w:val="none" w:sz="0" w:space="0" w:color="auto"/>
                          </w:divBdr>
                          <w:divsChild>
                            <w:div w:id="1380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819554">
      <w:bodyDiv w:val="1"/>
      <w:marLeft w:val="0"/>
      <w:marRight w:val="0"/>
      <w:marTop w:val="0"/>
      <w:marBottom w:val="0"/>
      <w:divBdr>
        <w:top w:val="none" w:sz="0" w:space="0" w:color="auto"/>
        <w:left w:val="none" w:sz="0" w:space="0" w:color="auto"/>
        <w:bottom w:val="none" w:sz="0" w:space="0" w:color="auto"/>
        <w:right w:val="none" w:sz="0" w:space="0" w:color="auto"/>
      </w:divBdr>
      <w:divsChild>
        <w:div w:id="1846433092">
          <w:marLeft w:val="0"/>
          <w:marRight w:val="0"/>
          <w:marTop w:val="0"/>
          <w:marBottom w:val="0"/>
          <w:divBdr>
            <w:top w:val="none" w:sz="0" w:space="0" w:color="auto"/>
            <w:left w:val="none" w:sz="0" w:space="0" w:color="auto"/>
            <w:bottom w:val="none" w:sz="0" w:space="0" w:color="auto"/>
            <w:right w:val="none" w:sz="0" w:space="0" w:color="auto"/>
          </w:divBdr>
          <w:divsChild>
            <w:div w:id="1102185652">
              <w:marLeft w:val="0"/>
              <w:marRight w:val="0"/>
              <w:marTop w:val="0"/>
              <w:marBottom w:val="0"/>
              <w:divBdr>
                <w:top w:val="none" w:sz="0" w:space="0" w:color="auto"/>
                <w:left w:val="none" w:sz="0" w:space="0" w:color="auto"/>
                <w:bottom w:val="none" w:sz="0" w:space="0" w:color="auto"/>
                <w:right w:val="none" w:sz="0" w:space="0" w:color="auto"/>
              </w:divBdr>
              <w:divsChild>
                <w:div w:id="646125438">
                  <w:marLeft w:val="0"/>
                  <w:marRight w:val="0"/>
                  <w:marTop w:val="0"/>
                  <w:marBottom w:val="0"/>
                  <w:divBdr>
                    <w:top w:val="none" w:sz="0" w:space="0" w:color="auto"/>
                    <w:left w:val="none" w:sz="0" w:space="0" w:color="auto"/>
                    <w:bottom w:val="none" w:sz="0" w:space="0" w:color="auto"/>
                    <w:right w:val="none" w:sz="0" w:space="0" w:color="auto"/>
                  </w:divBdr>
                  <w:divsChild>
                    <w:div w:id="103064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920201">
      <w:bodyDiv w:val="1"/>
      <w:marLeft w:val="0"/>
      <w:marRight w:val="0"/>
      <w:marTop w:val="0"/>
      <w:marBottom w:val="0"/>
      <w:divBdr>
        <w:top w:val="none" w:sz="0" w:space="0" w:color="auto"/>
        <w:left w:val="none" w:sz="0" w:space="0" w:color="auto"/>
        <w:bottom w:val="none" w:sz="0" w:space="0" w:color="auto"/>
        <w:right w:val="none" w:sz="0" w:space="0" w:color="auto"/>
      </w:divBdr>
      <w:divsChild>
        <w:div w:id="1191379232">
          <w:marLeft w:val="0"/>
          <w:marRight w:val="0"/>
          <w:marTop w:val="0"/>
          <w:marBottom w:val="0"/>
          <w:divBdr>
            <w:top w:val="none" w:sz="0" w:space="0" w:color="auto"/>
            <w:left w:val="none" w:sz="0" w:space="0" w:color="auto"/>
            <w:bottom w:val="none" w:sz="0" w:space="0" w:color="auto"/>
            <w:right w:val="none" w:sz="0" w:space="0" w:color="auto"/>
          </w:divBdr>
          <w:divsChild>
            <w:div w:id="1253391960">
              <w:marLeft w:val="0"/>
              <w:marRight w:val="0"/>
              <w:marTop w:val="0"/>
              <w:marBottom w:val="0"/>
              <w:divBdr>
                <w:top w:val="none" w:sz="0" w:space="0" w:color="auto"/>
                <w:left w:val="none" w:sz="0" w:space="0" w:color="auto"/>
                <w:bottom w:val="none" w:sz="0" w:space="0" w:color="auto"/>
                <w:right w:val="none" w:sz="0" w:space="0" w:color="auto"/>
              </w:divBdr>
              <w:divsChild>
                <w:div w:id="697316684">
                  <w:marLeft w:val="0"/>
                  <w:marRight w:val="0"/>
                  <w:marTop w:val="0"/>
                  <w:marBottom w:val="0"/>
                  <w:divBdr>
                    <w:top w:val="none" w:sz="0" w:space="0" w:color="auto"/>
                    <w:left w:val="none" w:sz="0" w:space="0" w:color="auto"/>
                    <w:bottom w:val="none" w:sz="0" w:space="0" w:color="auto"/>
                    <w:right w:val="none" w:sz="0" w:space="0" w:color="auto"/>
                  </w:divBdr>
                  <w:divsChild>
                    <w:div w:id="198207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933199">
      <w:bodyDiv w:val="1"/>
      <w:marLeft w:val="0"/>
      <w:marRight w:val="0"/>
      <w:marTop w:val="0"/>
      <w:marBottom w:val="0"/>
      <w:divBdr>
        <w:top w:val="none" w:sz="0" w:space="0" w:color="auto"/>
        <w:left w:val="none" w:sz="0" w:space="0" w:color="auto"/>
        <w:bottom w:val="none" w:sz="0" w:space="0" w:color="auto"/>
        <w:right w:val="none" w:sz="0" w:space="0" w:color="auto"/>
      </w:divBdr>
      <w:divsChild>
        <w:div w:id="1964993518">
          <w:marLeft w:val="0"/>
          <w:marRight w:val="0"/>
          <w:marTop w:val="0"/>
          <w:marBottom w:val="0"/>
          <w:divBdr>
            <w:top w:val="none" w:sz="0" w:space="0" w:color="auto"/>
            <w:left w:val="none" w:sz="0" w:space="0" w:color="auto"/>
            <w:bottom w:val="none" w:sz="0" w:space="0" w:color="auto"/>
            <w:right w:val="none" w:sz="0" w:space="0" w:color="auto"/>
          </w:divBdr>
          <w:divsChild>
            <w:div w:id="1473987311">
              <w:marLeft w:val="0"/>
              <w:marRight w:val="0"/>
              <w:marTop w:val="0"/>
              <w:marBottom w:val="0"/>
              <w:divBdr>
                <w:top w:val="none" w:sz="0" w:space="0" w:color="auto"/>
                <w:left w:val="none" w:sz="0" w:space="0" w:color="auto"/>
                <w:bottom w:val="none" w:sz="0" w:space="0" w:color="auto"/>
                <w:right w:val="none" w:sz="0" w:space="0" w:color="auto"/>
              </w:divBdr>
              <w:divsChild>
                <w:div w:id="409230948">
                  <w:marLeft w:val="0"/>
                  <w:marRight w:val="0"/>
                  <w:marTop w:val="0"/>
                  <w:marBottom w:val="0"/>
                  <w:divBdr>
                    <w:top w:val="none" w:sz="0" w:space="0" w:color="auto"/>
                    <w:left w:val="none" w:sz="0" w:space="0" w:color="auto"/>
                    <w:bottom w:val="none" w:sz="0" w:space="0" w:color="auto"/>
                    <w:right w:val="none" w:sz="0" w:space="0" w:color="auto"/>
                  </w:divBdr>
                  <w:divsChild>
                    <w:div w:id="190560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562794">
      <w:bodyDiv w:val="1"/>
      <w:marLeft w:val="0"/>
      <w:marRight w:val="0"/>
      <w:marTop w:val="0"/>
      <w:marBottom w:val="0"/>
      <w:divBdr>
        <w:top w:val="none" w:sz="0" w:space="0" w:color="auto"/>
        <w:left w:val="none" w:sz="0" w:space="0" w:color="auto"/>
        <w:bottom w:val="none" w:sz="0" w:space="0" w:color="auto"/>
        <w:right w:val="none" w:sz="0" w:space="0" w:color="auto"/>
      </w:divBdr>
      <w:divsChild>
        <w:div w:id="1372917088">
          <w:marLeft w:val="0"/>
          <w:marRight w:val="0"/>
          <w:marTop w:val="0"/>
          <w:marBottom w:val="0"/>
          <w:divBdr>
            <w:top w:val="none" w:sz="0" w:space="0" w:color="auto"/>
            <w:left w:val="none" w:sz="0" w:space="0" w:color="auto"/>
            <w:bottom w:val="none" w:sz="0" w:space="0" w:color="auto"/>
            <w:right w:val="none" w:sz="0" w:space="0" w:color="auto"/>
          </w:divBdr>
          <w:divsChild>
            <w:div w:id="1971783042">
              <w:marLeft w:val="0"/>
              <w:marRight w:val="0"/>
              <w:marTop w:val="0"/>
              <w:marBottom w:val="0"/>
              <w:divBdr>
                <w:top w:val="none" w:sz="0" w:space="0" w:color="auto"/>
                <w:left w:val="none" w:sz="0" w:space="0" w:color="auto"/>
                <w:bottom w:val="none" w:sz="0" w:space="0" w:color="auto"/>
                <w:right w:val="none" w:sz="0" w:space="0" w:color="auto"/>
              </w:divBdr>
              <w:divsChild>
                <w:div w:id="711417118">
                  <w:marLeft w:val="0"/>
                  <w:marRight w:val="0"/>
                  <w:marTop w:val="0"/>
                  <w:marBottom w:val="0"/>
                  <w:divBdr>
                    <w:top w:val="none" w:sz="0" w:space="0" w:color="auto"/>
                    <w:left w:val="none" w:sz="0" w:space="0" w:color="auto"/>
                    <w:bottom w:val="none" w:sz="0" w:space="0" w:color="auto"/>
                    <w:right w:val="none" w:sz="0" w:space="0" w:color="auto"/>
                  </w:divBdr>
                  <w:divsChild>
                    <w:div w:id="2142115446">
                      <w:marLeft w:val="0"/>
                      <w:marRight w:val="0"/>
                      <w:marTop w:val="0"/>
                      <w:marBottom w:val="0"/>
                      <w:divBdr>
                        <w:top w:val="none" w:sz="0" w:space="0" w:color="auto"/>
                        <w:left w:val="none" w:sz="0" w:space="0" w:color="auto"/>
                        <w:bottom w:val="none" w:sz="0" w:space="0" w:color="auto"/>
                        <w:right w:val="none" w:sz="0" w:space="0" w:color="auto"/>
                      </w:divBdr>
                      <w:divsChild>
                        <w:div w:id="2060086363">
                          <w:marLeft w:val="0"/>
                          <w:marRight w:val="0"/>
                          <w:marTop w:val="0"/>
                          <w:marBottom w:val="0"/>
                          <w:divBdr>
                            <w:top w:val="none" w:sz="0" w:space="0" w:color="auto"/>
                            <w:left w:val="none" w:sz="0" w:space="0" w:color="auto"/>
                            <w:bottom w:val="none" w:sz="0" w:space="0" w:color="auto"/>
                            <w:right w:val="none" w:sz="0" w:space="0" w:color="auto"/>
                          </w:divBdr>
                          <w:divsChild>
                            <w:div w:id="859121036">
                              <w:marLeft w:val="0"/>
                              <w:marRight w:val="0"/>
                              <w:marTop w:val="0"/>
                              <w:marBottom w:val="0"/>
                              <w:divBdr>
                                <w:top w:val="none" w:sz="0" w:space="0" w:color="auto"/>
                                <w:left w:val="none" w:sz="0" w:space="0" w:color="auto"/>
                                <w:bottom w:val="none" w:sz="0" w:space="0" w:color="auto"/>
                                <w:right w:val="none" w:sz="0" w:space="0" w:color="auto"/>
                              </w:divBdr>
                              <w:divsChild>
                                <w:div w:id="964045034">
                                  <w:marLeft w:val="0"/>
                                  <w:marRight w:val="0"/>
                                  <w:marTop w:val="0"/>
                                  <w:marBottom w:val="0"/>
                                  <w:divBdr>
                                    <w:top w:val="none" w:sz="0" w:space="0" w:color="auto"/>
                                    <w:left w:val="none" w:sz="0" w:space="0" w:color="auto"/>
                                    <w:bottom w:val="none" w:sz="0" w:space="0" w:color="auto"/>
                                    <w:right w:val="none" w:sz="0" w:space="0" w:color="auto"/>
                                  </w:divBdr>
                                  <w:divsChild>
                                    <w:div w:id="16242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0421777">
      <w:bodyDiv w:val="1"/>
      <w:marLeft w:val="0"/>
      <w:marRight w:val="0"/>
      <w:marTop w:val="0"/>
      <w:marBottom w:val="0"/>
      <w:divBdr>
        <w:top w:val="none" w:sz="0" w:space="0" w:color="auto"/>
        <w:left w:val="none" w:sz="0" w:space="0" w:color="auto"/>
        <w:bottom w:val="none" w:sz="0" w:space="0" w:color="auto"/>
        <w:right w:val="none" w:sz="0" w:space="0" w:color="auto"/>
      </w:divBdr>
    </w:div>
    <w:div w:id="716590218">
      <w:bodyDiv w:val="1"/>
      <w:marLeft w:val="0"/>
      <w:marRight w:val="0"/>
      <w:marTop w:val="0"/>
      <w:marBottom w:val="0"/>
      <w:divBdr>
        <w:top w:val="none" w:sz="0" w:space="0" w:color="auto"/>
        <w:left w:val="none" w:sz="0" w:space="0" w:color="auto"/>
        <w:bottom w:val="none" w:sz="0" w:space="0" w:color="auto"/>
        <w:right w:val="none" w:sz="0" w:space="0" w:color="auto"/>
      </w:divBdr>
    </w:div>
    <w:div w:id="775947526">
      <w:bodyDiv w:val="1"/>
      <w:marLeft w:val="0"/>
      <w:marRight w:val="0"/>
      <w:marTop w:val="0"/>
      <w:marBottom w:val="0"/>
      <w:divBdr>
        <w:top w:val="none" w:sz="0" w:space="0" w:color="auto"/>
        <w:left w:val="none" w:sz="0" w:space="0" w:color="auto"/>
        <w:bottom w:val="none" w:sz="0" w:space="0" w:color="auto"/>
        <w:right w:val="none" w:sz="0" w:space="0" w:color="auto"/>
      </w:divBdr>
      <w:divsChild>
        <w:div w:id="1535773151">
          <w:marLeft w:val="0"/>
          <w:marRight w:val="0"/>
          <w:marTop w:val="0"/>
          <w:marBottom w:val="0"/>
          <w:divBdr>
            <w:top w:val="none" w:sz="0" w:space="0" w:color="auto"/>
            <w:left w:val="none" w:sz="0" w:space="0" w:color="auto"/>
            <w:bottom w:val="none" w:sz="0" w:space="0" w:color="auto"/>
            <w:right w:val="none" w:sz="0" w:space="0" w:color="auto"/>
          </w:divBdr>
          <w:divsChild>
            <w:div w:id="93207922">
              <w:marLeft w:val="0"/>
              <w:marRight w:val="0"/>
              <w:marTop w:val="0"/>
              <w:marBottom w:val="0"/>
              <w:divBdr>
                <w:top w:val="none" w:sz="0" w:space="0" w:color="auto"/>
                <w:left w:val="none" w:sz="0" w:space="0" w:color="auto"/>
                <w:bottom w:val="none" w:sz="0" w:space="0" w:color="auto"/>
                <w:right w:val="none" w:sz="0" w:space="0" w:color="auto"/>
              </w:divBdr>
              <w:divsChild>
                <w:div w:id="1871408035">
                  <w:marLeft w:val="0"/>
                  <w:marRight w:val="0"/>
                  <w:marTop w:val="0"/>
                  <w:marBottom w:val="0"/>
                  <w:divBdr>
                    <w:top w:val="none" w:sz="0" w:space="0" w:color="auto"/>
                    <w:left w:val="none" w:sz="0" w:space="0" w:color="auto"/>
                    <w:bottom w:val="none" w:sz="0" w:space="0" w:color="auto"/>
                    <w:right w:val="none" w:sz="0" w:space="0" w:color="auto"/>
                  </w:divBdr>
                  <w:divsChild>
                    <w:div w:id="13410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298434">
      <w:bodyDiv w:val="1"/>
      <w:marLeft w:val="0"/>
      <w:marRight w:val="0"/>
      <w:marTop w:val="0"/>
      <w:marBottom w:val="0"/>
      <w:divBdr>
        <w:top w:val="none" w:sz="0" w:space="0" w:color="auto"/>
        <w:left w:val="none" w:sz="0" w:space="0" w:color="auto"/>
        <w:bottom w:val="none" w:sz="0" w:space="0" w:color="auto"/>
        <w:right w:val="none" w:sz="0" w:space="0" w:color="auto"/>
      </w:divBdr>
      <w:divsChild>
        <w:div w:id="987978666">
          <w:marLeft w:val="0"/>
          <w:marRight w:val="0"/>
          <w:marTop w:val="0"/>
          <w:marBottom w:val="0"/>
          <w:divBdr>
            <w:top w:val="none" w:sz="0" w:space="0" w:color="auto"/>
            <w:left w:val="none" w:sz="0" w:space="0" w:color="auto"/>
            <w:bottom w:val="none" w:sz="0" w:space="0" w:color="auto"/>
            <w:right w:val="none" w:sz="0" w:space="0" w:color="auto"/>
          </w:divBdr>
          <w:divsChild>
            <w:div w:id="710691870">
              <w:marLeft w:val="0"/>
              <w:marRight w:val="0"/>
              <w:marTop w:val="0"/>
              <w:marBottom w:val="0"/>
              <w:divBdr>
                <w:top w:val="none" w:sz="0" w:space="0" w:color="auto"/>
                <w:left w:val="none" w:sz="0" w:space="0" w:color="auto"/>
                <w:bottom w:val="none" w:sz="0" w:space="0" w:color="auto"/>
                <w:right w:val="none" w:sz="0" w:space="0" w:color="auto"/>
              </w:divBdr>
              <w:divsChild>
                <w:div w:id="938370303">
                  <w:marLeft w:val="0"/>
                  <w:marRight w:val="0"/>
                  <w:marTop w:val="0"/>
                  <w:marBottom w:val="0"/>
                  <w:divBdr>
                    <w:top w:val="none" w:sz="0" w:space="0" w:color="auto"/>
                    <w:left w:val="none" w:sz="0" w:space="0" w:color="auto"/>
                    <w:bottom w:val="none" w:sz="0" w:space="0" w:color="auto"/>
                    <w:right w:val="none" w:sz="0" w:space="0" w:color="auto"/>
                  </w:divBdr>
                  <w:divsChild>
                    <w:div w:id="321395695">
                      <w:marLeft w:val="0"/>
                      <w:marRight w:val="0"/>
                      <w:marTop w:val="0"/>
                      <w:marBottom w:val="0"/>
                      <w:divBdr>
                        <w:top w:val="none" w:sz="0" w:space="0" w:color="auto"/>
                        <w:left w:val="none" w:sz="0" w:space="0" w:color="auto"/>
                        <w:bottom w:val="none" w:sz="0" w:space="0" w:color="auto"/>
                        <w:right w:val="none" w:sz="0" w:space="0" w:color="auto"/>
                      </w:divBdr>
                      <w:divsChild>
                        <w:div w:id="1031421583">
                          <w:marLeft w:val="0"/>
                          <w:marRight w:val="0"/>
                          <w:marTop w:val="0"/>
                          <w:marBottom w:val="0"/>
                          <w:divBdr>
                            <w:top w:val="none" w:sz="0" w:space="0" w:color="auto"/>
                            <w:left w:val="none" w:sz="0" w:space="0" w:color="auto"/>
                            <w:bottom w:val="none" w:sz="0" w:space="0" w:color="auto"/>
                            <w:right w:val="none" w:sz="0" w:space="0" w:color="auto"/>
                          </w:divBdr>
                          <w:divsChild>
                            <w:div w:id="1333680189">
                              <w:marLeft w:val="0"/>
                              <w:marRight w:val="0"/>
                              <w:marTop w:val="0"/>
                              <w:marBottom w:val="0"/>
                              <w:divBdr>
                                <w:top w:val="none" w:sz="0" w:space="0" w:color="auto"/>
                                <w:left w:val="none" w:sz="0" w:space="0" w:color="auto"/>
                                <w:bottom w:val="none" w:sz="0" w:space="0" w:color="auto"/>
                                <w:right w:val="none" w:sz="0" w:space="0" w:color="auto"/>
                              </w:divBdr>
                              <w:divsChild>
                                <w:div w:id="2033918734">
                                  <w:marLeft w:val="0"/>
                                  <w:marRight w:val="0"/>
                                  <w:marTop w:val="0"/>
                                  <w:marBottom w:val="0"/>
                                  <w:divBdr>
                                    <w:top w:val="none" w:sz="0" w:space="0" w:color="auto"/>
                                    <w:left w:val="none" w:sz="0" w:space="0" w:color="auto"/>
                                    <w:bottom w:val="none" w:sz="0" w:space="0" w:color="auto"/>
                                    <w:right w:val="none" w:sz="0" w:space="0" w:color="auto"/>
                                  </w:divBdr>
                                  <w:divsChild>
                                    <w:div w:id="96523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2678797">
      <w:bodyDiv w:val="1"/>
      <w:marLeft w:val="0"/>
      <w:marRight w:val="0"/>
      <w:marTop w:val="0"/>
      <w:marBottom w:val="0"/>
      <w:divBdr>
        <w:top w:val="none" w:sz="0" w:space="0" w:color="auto"/>
        <w:left w:val="none" w:sz="0" w:space="0" w:color="auto"/>
        <w:bottom w:val="none" w:sz="0" w:space="0" w:color="auto"/>
        <w:right w:val="none" w:sz="0" w:space="0" w:color="auto"/>
      </w:divBdr>
    </w:div>
    <w:div w:id="815535973">
      <w:bodyDiv w:val="1"/>
      <w:marLeft w:val="0"/>
      <w:marRight w:val="0"/>
      <w:marTop w:val="0"/>
      <w:marBottom w:val="0"/>
      <w:divBdr>
        <w:top w:val="none" w:sz="0" w:space="0" w:color="auto"/>
        <w:left w:val="none" w:sz="0" w:space="0" w:color="auto"/>
        <w:bottom w:val="none" w:sz="0" w:space="0" w:color="auto"/>
        <w:right w:val="none" w:sz="0" w:space="0" w:color="auto"/>
      </w:divBdr>
    </w:div>
    <w:div w:id="836192906">
      <w:bodyDiv w:val="1"/>
      <w:marLeft w:val="0"/>
      <w:marRight w:val="0"/>
      <w:marTop w:val="0"/>
      <w:marBottom w:val="0"/>
      <w:divBdr>
        <w:top w:val="none" w:sz="0" w:space="0" w:color="auto"/>
        <w:left w:val="none" w:sz="0" w:space="0" w:color="auto"/>
        <w:bottom w:val="none" w:sz="0" w:space="0" w:color="auto"/>
        <w:right w:val="none" w:sz="0" w:space="0" w:color="auto"/>
      </w:divBdr>
      <w:divsChild>
        <w:div w:id="617761235">
          <w:marLeft w:val="0"/>
          <w:marRight w:val="0"/>
          <w:marTop w:val="0"/>
          <w:marBottom w:val="0"/>
          <w:divBdr>
            <w:top w:val="none" w:sz="0" w:space="0" w:color="auto"/>
            <w:left w:val="none" w:sz="0" w:space="0" w:color="auto"/>
            <w:bottom w:val="none" w:sz="0" w:space="0" w:color="auto"/>
            <w:right w:val="none" w:sz="0" w:space="0" w:color="auto"/>
          </w:divBdr>
          <w:divsChild>
            <w:div w:id="1148550107">
              <w:marLeft w:val="0"/>
              <w:marRight w:val="0"/>
              <w:marTop w:val="0"/>
              <w:marBottom w:val="0"/>
              <w:divBdr>
                <w:top w:val="none" w:sz="0" w:space="0" w:color="auto"/>
                <w:left w:val="none" w:sz="0" w:space="0" w:color="auto"/>
                <w:bottom w:val="none" w:sz="0" w:space="0" w:color="auto"/>
                <w:right w:val="none" w:sz="0" w:space="0" w:color="auto"/>
              </w:divBdr>
              <w:divsChild>
                <w:div w:id="573051413">
                  <w:marLeft w:val="0"/>
                  <w:marRight w:val="0"/>
                  <w:marTop w:val="0"/>
                  <w:marBottom w:val="0"/>
                  <w:divBdr>
                    <w:top w:val="none" w:sz="0" w:space="0" w:color="auto"/>
                    <w:left w:val="none" w:sz="0" w:space="0" w:color="auto"/>
                    <w:bottom w:val="none" w:sz="0" w:space="0" w:color="auto"/>
                    <w:right w:val="none" w:sz="0" w:space="0" w:color="auto"/>
                  </w:divBdr>
                  <w:divsChild>
                    <w:div w:id="9097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263314">
      <w:bodyDiv w:val="1"/>
      <w:marLeft w:val="0"/>
      <w:marRight w:val="0"/>
      <w:marTop w:val="0"/>
      <w:marBottom w:val="0"/>
      <w:divBdr>
        <w:top w:val="none" w:sz="0" w:space="0" w:color="auto"/>
        <w:left w:val="none" w:sz="0" w:space="0" w:color="auto"/>
        <w:bottom w:val="none" w:sz="0" w:space="0" w:color="auto"/>
        <w:right w:val="none" w:sz="0" w:space="0" w:color="auto"/>
      </w:divBdr>
      <w:divsChild>
        <w:div w:id="441195870">
          <w:marLeft w:val="0"/>
          <w:marRight w:val="0"/>
          <w:marTop w:val="0"/>
          <w:marBottom w:val="0"/>
          <w:divBdr>
            <w:top w:val="none" w:sz="0" w:space="0" w:color="auto"/>
            <w:left w:val="none" w:sz="0" w:space="0" w:color="auto"/>
            <w:bottom w:val="none" w:sz="0" w:space="0" w:color="auto"/>
            <w:right w:val="none" w:sz="0" w:space="0" w:color="auto"/>
          </w:divBdr>
          <w:divsChild>
            <w:div w:id="203949120">
              <w:marLeft w:val="0"/>
              <w:marRight w:val="0"/>
              <w:marTop w:val="0"/>
              <w:marBottom w:val="0"/>
              <w:divBdr>
                <w:top w:val="none" w:sz="0" w:space="0" w:color="auto"/>
                <w:left w:val="none" w:sz="0" w:space="0" w:color="auto"/>
                <w:bottom w:val="none" w:sz="0" w:space="0" w:color="auto"/>
                <w:right w:val="none" w:sz="0" w:space="0" w:color="auto"/>
              </w:divBdr>
              <w:divsChild>
                <w:div w:id="743382382">
                  <w:marLeft w:val="0"/>
                  <w:marRight w:val="0"/>
                  <w:marTop w:val="0"/>
                  <w:marBottom w:val="0"/>
                  <w:divBdr>
                    <w:top w:val="none" w:sz="0" w:space="0" w:color="auto"/>
                    <w:left w:val="none" w:sz="0" w:space="0" w:color="auto"/>
                    <w:bottom w:val="none" w:sz="0" w:space="0" w:color="auto"/>
                    <w:right w:val="none" w:sz="0" w:space="0" w:color="auto"/>
                  </w:divBdr>
                  <w:divsChild>
                    <w:div w:id="88506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287267">
      <w:bodyDiv w:val="1"/>
      <w:marLeft w:val="0"/>
      <w:marRight w:val="0"/>
      <w:marTop w:val="0"/>
      <w:marBottom w:val="0"/>
      <w:divBdr>
        <w:top w:val="none" w:sz="0" w:space="0" w:color="auto"/>
        <w:left w:val="none" w:sz="0" w:space="0" w:color="auto"/>
        <w:bottom w:val="none" w:sz="0" w:space="0" w:color="auto"/>
        <w:right w:val="none" w:sz="0" w:space="0" w:color="auto"/>
      </w:divBdr>
      <w:divsChild>
        <w:div w:id="1040276925">
          <w:marLeft w:val="0"/>
          <w:marRight w:val="0"/>
          <w:marTop w:val="0"/>
          <w:marBottom w:val="0"/>
          <w:divBdr>
            <w:top w:val="none" w:sz="0" w:space="0" w:color="auto"/>
            <w:left w:val="none" w:sz="0" w:space="0" w:color="auto"/>
            <w:bottom w:val="none" w:sz="0" w:space="0" w:color="auto"/>
            <w:right w:val="none" w:sz="0" w:space="0" w:color="auto"/>
          </w:divBdr>
          <w:divsChild>
            <w:div w:id="1714116078">
              <w:marLeft w:val="0"/>
              <w:marRight w:val="0"/>
              <w:marTop w:val="0"/>
              <w:marBottom w:val="0"/>
              <w:divBdr>
                <w:top w:val="none" w:sz="0" w:space="0" w:color="auto"/>
                <w:left w:val="none" w:sz="0" w:space="0" w:color="auto"/>
                <w:bottom w:val="none" w:sz="0" w:space="0" w:color="auto"/>
                <w:right w:val="none" w:sz="0" w:space="0" w:color="auto"/>
              </w:divBdr>
              <w:divsChild>
                <w:div w:id="2075353468">
                  <w:marLeft w:val="0"/>
                  <w:marRight w:val="0"/>
                  <w:marTop w:val="0"/>
                  <w:marBottom w:val="0"/>
                  <w:divBdr>
                    <w:top w:val="none" w:sz="0" w:space="0" w:color="auto"/>
                    <w:left w:val="none" w:sz="0" w:space="0" w:color="auto"/>
                    <w:bottom w:val="none" w:sz="0" w:space="0" w:color="auto"/>
                    <w:right w:val="none" w:sz="0" w:space="0" w:color="auto"/>
                  </w:divBdr>
                  <w:divsChild>
                    <w:div w:id="1568803727">
                      <w:marLeft w:val="0"/>
                      <w:marRight w:val="0"/>
                      <w:marTop w:val="0"/>
                      <w:marBottom w:val="0"/>
                      <w:divBdr>
                        <w:top w:val="none" w:sz="0" w:space="0" w:color="auto"/>
                        <w:left w:val="none" w:sz="0" w:space="0" w:color="auto"/>
                        <w:bottom w:val="none" w:sz="0" w:space="0" w:color="auto"/>
                        <w:right w:val="none" w:sz="0" w:space="0" w:color="auto"/>
                      </w:divBdr>
                      <w:divsChild>
                        <w:div w:id="1481851401">
                          <w:marLeft w:val="0"/>
                          <w:marRight w:val="0"/>
                          <w:marTop w:val="0"/>
                          <w:marBottom w:val="0"/>
                          <w:divBdr>
                            <w:top w:val="none" w:sz="0" w:space="0" w:color="auto"/>
                            <w:left w:val="none" w:sz="0" w:space="0" w:color="auto"/>
                            <w:bottom w:val="none" w:sz="0" w:space="0" w:color="auto"/>
                            <w:right w:val="none" w:sz="0" w:space="0" w:color="auto"/>
                          </w:divBdr>
                          <w:divsChild>
                            <w:div w:id="402456948">
                              <w:marLeft w:val="0"/>
                              <w:marRight w:val="0"/>
                              <w:marTop w:val="0"/>
                              <w:marBottom w:val="0"/>
                              <w:divBdr>
                                <w:top w:val="none" w:sz="0" w:space="0" w:color="auto"/>
                                <w:left w:val="none" w:sz="0" w:space="0" w:color="auto"/>
                                <w:bottom w:val="none" w:sz="0" w:space="0" w:color="auto"/>
                                <w:right w:val="none" w:sz="0" w:space="0" w:color="auto"/>
                              </w:divBdr>
                              <w:divsChild>
                                <w:div w:id="854808322">
                                  <w:marLeft w:val="0"/>
                                  <w:marRight w:val="0"/>
                                  <w:marTop w:val="0"/>
                                  <w:marBottom w:val="0"/>
                                  <w:divBdr>
                                    <w:top w:val="none" w:sz="0" w:space="0" w:color="auto"/>
                                    <w:left w:val="none" w:sz="0" w:space="0" w:color="auto"/>
                                    <w:bottom w:val="none" w:sz="0" w:space="0" w:color="auto"/>
                                    <w:right w:val="none" w:sz="0" w:space="0" w:color="auto"/>
                                  </w:divBdr>
                                  <w:divsChild>
                                    <w:div w:id="45988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150305">
      <w:bodyDiv w:val="1"/>
      <w:marLeft w:val="0"/>
      <w:marRight w:val="0"/>
      <w:marTop w:val="0"/>
      <w:marBottom w:val="0"/>
      <w:divBdr>
        <w:top w:val="none" w:sz="0" w:space="0" w:color="auto"/>
        <w:left w:val="none" w:sz="0" w:space="0" w:color="auto"/>
        <w:bottom w:val="none" w:sz="0" w:space="0" w:color="auto"/>
        <w:right w:val="none" w:sz="0" w:space="0" w:color="auto"/>
      </w:divBdr>
      <w:divsChild>
        <w:div w:id="1804881323">
          <w:marLeft w:val="0"/>
          <w:marRight w:val="0"/>
          <w:marTop w:val="0"/>
          <w:marBottom w:val="0"/>
          <w:divBdr>
            <w:top w:val="none" w:sz="0" w:space="0" w:color="auto"/>
            <w:left w:val="none" w:sz="0" w:space="0" w:color="auto"/>
            <w:bottom w:val="none" w:sz="0" w:space="0" w:color="auto"/>
            <w:right w:val="none" w:sz="0" w:space="0" w:color="auto"/>
          </w:divBdr>
          <w:divsChild>
            <w:div w:id="736778496">
              <w:marLeft w:val="0"/>
              <w:marRight w:val="0"/>
              <w:marTop w:val="0"/>
              <w:marBottom w:val="0"/>
              <w:divBdr>
                <w:top w:val="none" w:sz="0" w:space="0" w:color="auto"/>
                <w:left w:val="none" w:sz="0" w:space="0" w:color="auto"/>
                <w:bottom w:val="none" w:sz="0" w:space="0" w:color="auto"/>
                <w:right w:val="none" w:sz="0" w:space="0" w:color="auto"/>
              </w:divBdr>
              <w:divsChild>
                <w:div w:id="488133983">
                  <w:marLeft w:val="0"/>
                  <w:marRight w:val="0"/>
                  <w:marTop w:val="0"/>
                  <w:marBottom w:val="0"/>
                  <w:divBdr>
                    <w:top w:val="none" w:sz="0" w:space="0" w:color="auto"/>
                    <w:left w:val="none" w:sz="0" w:space="0" w:color="auto"/>
                    <w:bottom w:val="none" w:sz="0" w:space="0" w:color="auto"/>
                    <w:right w:val="none" w:sz="0" w:space="0" w:color="auto"/>
                  </w:divBdr>
                  <w:divsChild>
                    <w:div w:id="1578007321">
                      <w:marLeft w:val="0"/>
                      <w:marRight w:val="0"/>
                      <w:marTop w:val="0"/>
                      <w:marBottom w:val="0"/>
                      <w:divBdr>
                        <w:top w:val="none" w:sz="0" w:space="0" w:color="auto"/>
                        <w:left w:val="none" w:sz="0" w:space="0" w:color="auto"/>
                        <w:bottom w:val="none" w:sz="0" w:space="0" w:color="auto"/>
                        <w:right w:val="none" w:sz="0" w:space="0" w:color="auto"/>
                      </w:divBdr>
                      <w:divsChild>
                        <w:div w:id="704988324">
                          <w:marLeft w:val="0"/>
                          <w:marRight w:val="0"/>
                          <w:marTop w:val="0"/>
                          <w:marBottom w:val="0"/>
                          <w:divBdr>
                            <w:top w:val="none" w:sz="0" w:space="0" w:color="auto"/>
                            <w:left w:val="none" w:sz="0" w:space="0" w:color="auto"/>
                            <w:bottom w:val="none" w:sz="0" w:space="0" w:color="auto"/>
                            <w:right w:val="none" w:sz="0" w:space="0" w:color="auto"/>
                          </w:divBdr>
                          <w:divsChild>
                            <w:div w:id="490144762">
                              <w:marLeft w:val="0"/>
                              <w:marRight w:val="0"/>
                              <w:marTop w:val="0"/>
                              <w:marBottom w:val="0"/>
                              <w:divBdr>
                                <w:top w:val="none" w:sz="0" w:space="0" w:color="auto"/>
                                <w:left w:val="none" w:sz="0" w:space="0" w:color="auto"/>
                                <w:bottom w:val="none" w:sz="0" w:space="0" w:color="auto"/>
                                <w:right w:val="none" w:sz="0" w:space="0" w:color="auto"/>
                              </w:divBdr>
                              <w:divsChild>
                                <w:div w:id="1170411148">
                                  <w:marLeft w:val="0"/>
                                  <w:marRight w:val="0"/>
                                  <w:marTop w:val="0"/>
                                  <w:marBottom w:val="0"/>
                                  <w:divBdr>
                                    <w:top w:val="none" w:sz="0" w:space="0" w:color="auto"/>
                                    <w:left w:val="none" w:sz="0" w:space="0" w:color="auto"/>
                                    <w:bottom w:val="none" w:sz="0" w:space="0" w:color="auto"/>
                                    <w:right w:val="none" w:sz="0" w:space="0" w:color="auto"/>
                                  </w:divBdr>
                                  <w:divsChild>
                                    <w:div w:id="189276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1618245">
      <w:bodyDiv w:val="1"/>
      <w:marLeft w:val="0"/>
      <w:marRight w:val="0"/>
      <w:marTop w:val="0"/>
      <w:marBottom w:val="0"/>
      <w:divBdr>
        <w:top w:val="none" w:sz="0" w:space="0" w:color="auto"/>
        <w:left w:val="none" w:sz="0" w:space="0" w:color="auto"/>
        <w:bottom w:val="none" w:sz="0" w:space="0" w:color="auto"/>
        <w:right w:val="none" w:sz="0" w:space="0" w:color="auto"/>
      </w:divBdr>
      <w:divsChild>
        <w:div w:id="253562529">
          <w:marLeft w:val="0"/>
          <w:marRight w:val="0"/>
          <w:marTop w:val="0"/>
          <w:marBottom w:val="0"/>
          <w:divBdr>
            <w:top w:val="none" w:sz="0" w:space="0" w:color="auto"/>
            <w:left w:val="none" w:sz="0" w:space="0" w:color="auto"/>
            <w:bottom w:val="none" w:sz="0" w:space="0" w:color="auto"/>
            <w:right w:val="none" w:sz="0" w:space="0" w:color="auto"/>
          </w:divBdr>
          <w:divsChild>
            <w:div w:id="1104762506">
              <w:marLeft w:val="0"/>
              <w:marRight w:val="0"/>
              <w:marTop w:val="0"/>
              <w:marBottom w:val="0"/>
              <w:divBdr>
                <w:top w:val="none" w:sz="0" w:space="0" w:color="auto"/>
                <w:left w:val="none" w:sz="0" w:space="0" w:color="auto"/>
                <w:bottom w:val="none" w:sz="0" w:space="0" w:color="auto"/>
                <w:right w:val="none" w:sz="0" w:space="0" w:color="auto"/>
              </w:divBdr>
              <w:divsChild>
                <w:div w:id="1590043112">
                  <w:marLeft w:val="0"/>
                  <w:marRight w:val="0"/>
                  <w:marTop w:val="0"/>
                  <w:marBottom w:val="0"/>
                  <w:divBdr>
                    <w:top w:val="none" w:sz="0" w:space="0" w:color="auto"/>
                    <w:left w:val="none" w:sz="0" w:space="0" w:color="auto"/>
                    <w:bottom w:val="none" w:sz="0" w:space="0" w:color="auto"/>
                    <w:right w:val="none" w:sz="0" w:space="0" w:color="auto"/>
                  </w:divBdr>
                  <w:divsChild>
                    <w:div w:id="11175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280904">
      <w:bodyDiv w:val="1"/>
      <w:marLeft w:val="0"/>
      <w:marRight w:val="0"/>
      <w:marTop w:val="0"/>
      <w:marBottom w:val="0"/>
      <w:divBdr>
        <w:top w:val="none" w:sz="0" w:space="0" w:color="auto"/>
        <w:left w:val="none" w:sz="0" w:space="0" w:color="auto"/>
        <w:bottom w:val="none" w:sz="0" w:space="0" w:color="auto"/>
        <w:right w:val="none" w:sz="0" w:space="0" w:color="auto"/>
      </w:divBdr>
      <w:divsChild>
        <w:div w:id="918707294">
          <w:marLeft w:val="0"/>
          <w:marRight w:val="0"/>
          <w:marTop w:val="0"/>
          <w:marBottom w:val="0"/>
          <w:divBdr>
            <w:top w:val="none" w:sz="0" w:space="0" w:color="auto"/>
            <w:left w:val="none" w:sz="0" w:space="0" w:color="auto"/>
            <w:bottom w:val="none" w:sz="0" w:space="0" w:color="auto"/>
            <w:right w:val="none" w:sz="0" w:space="0" w:color="auto"/>
          </w:divBdr>
          <w:divsChild>
            <w:div w:id="701252104">
              <w:marLeft w:val="0"/>
              <w:marRight w:val="0"/>
              <w:marTop w:val="0"/>
              <w:marBottom w:val="0"/>
              <w:divBdr>
                <w:top w:val="none" w:sz="0" w:space="0" w:color="auto"/>
                <w:left w:val="none" w:sz="0" w:space="0" w:color="auto"/>
                <w:bottom w:val="none" w:sz="0" w:space="0" w:color="auto"/>
                <w:right w:val="none" w:sz="0" w:space="0" w:color="auto"/>
              </w:divBdr>
              <w:divsChild>
                <w:div w:id="2029140747">
                  <w:marLeft w:val="0"/>
                  <w:marRight w:val="0"/>
                  <w:marTop w:val="0"/>
                  <w:marBottom w:val="0"/>
                  <w:divBdr>
                    <w:top w:val="none" w:sz="0" w:space="0" w:color="auto"/>
                    <w:left w:val="none" w:sz="0" w:space="0" w:color="auto"/>
                    <w:bottom w:val="none" w:sz="0" w:space="0" w:color="auto"/>
                    <w:right w:val="none" w:sz="0" w:space="0" w:color="auto"/>
                  </w:divBdr>
                  <w:divsChild>
                    <w:div w:id="90888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425180">
      <w:bodyDiv w:val="1"/>
      <w:marLeft w:val="0"/>
      <w:marRight w:val="0"/>
      <w:marTop w:val="0"/>
      <w:marBottom w:val="0"/>
      <w:divBdr>
        <w:top w:val="none" w:sz="0" w:space="0" w:color="auto"/>
        <w:left w:val="none" w:sz="0" w:space="0" w:color="auto"/>
        <w:bottom w:val="none" w:sz="0" w:space="0" w:color="auto"/>
        <w:right w:val="none" w:sz="0" w:space="0" w:color="auto"/>
      </w:divBdr>
      <w:divsChild>
        <w:div w:id="1902863555">
          <w:marLeft w:val="0"/>
          <w:marRight w:val="0"/>
          <w:marTop w:val="0"/>
          <w:marBottom w:val="0"/>
          <w:divBdr>
            <w:top w:val="none" w:sz="0" w:space="0" w:color="auto"/>
            <w:left w:val="none" w:sz="0" w:space="0" w:color="auto"/>
            <w:bottom w:val="none" w:sz="0" w:space="0" w:color="auto"/>
            <w:right w:val="none" w:sz="0" w:space="0" w:color="auto"/>
          </w:divBdr>
          <w:divsChild>
            <w:div w:id="687176759">
              <w:marLeft w:val="0"/>
              <w:marRight w:val="0"/>
              <w:marTop w:val="0"/>
              <w:marBottom w:val="0"/>
              <w:divBdr>
                <w:top w:val="none" w:sz="0" w:space="0" w:color="auto"/>
                <w:left w:val="none" w:sz="0" w:space="0" w:color="auto"/>
                <w:bottom w:val="none" w:sz="0" w:space="0" w:color="auto"/>
                <w:right w:val="none" w:sz="0" w:space="0" w:color="auto"/>
              </w:divBdr>
              <w:divsChild>
                <w:div w:id="2143571367">
                  <w:marLeft w:val="0"/>
                  <w:marRight w:val="0"/>
                  <w:marTop w:val="0"/>
                  <w:marBottom w:val="0"/>
                  <w:divBdr>
                    <w:top w:val="none" w:sz="0" w:space="0" w:color="auto"/>
                    <w:left w:val="none" w:sz="0" w:space="0" w:color="auto"/>
                    <w:bottom w:val="none" w:sz="0" w:space="0" w:color="auto"/>
                    <w:right w:val="none" w:sz="0" w:space="0" w:color="auto"/>
                  </w:divBdr>
                  <w:divsChild>
                    <w:div w:id="492186991">
                      <w:marLeft w:val="0"/>
                      <w:marRight w:val="0"/>
                      <w:marTop w:val="0"/>
                      <w:marBottom w:val="0"/>
                      <w:divBdr>
                        <w:top w:val="none" w:sz="0" w:space="0" w:color="auto"/>
                        <w:left w:val="none" w:sz="0" w:space="0" w:color="auto"/>
                        <w:bottom w:val="none" w:sz="0" w:space="0" w:color="auto"/>
                        <w:right w:val="none" w:sz="0" w:space="0" w:color="auto"/>
                      </w:divBdr>
                      <w:divsChild>
                        <w:div w:id="1462066086">
                          <w:marLeft w:val="0"/>
                          <w:marRight w:val="0"/>
                          <w:marTop w:val="0"/>
                          <w:marBottom w:val="0"/>
                          <w:divBdr>
                            <w:top w:val="none" w:sz="0" w:space="0" w:color="auto"/>
                            <w:left w:val="none" w:sz="0" w:space="0" w:color="auto"/>
                            <w:bottom w:val="none" w:sz="0" w:space="0" w:color="auto"/>
                            <w:right w:val="none" w:sz="0" w:space="0" w:color="auto"/>
                          </w:divBdr>
                          <w:divsChild>
                            <w:div w:id="1209806833">
                              <w:marLeft w:val="0"/>
                              <w:marRight w:val="0"/>
                              <w:marTop w:val="0"/>
                              <w:marBottom w:val="0"/>
                              <w:divBdr>
                                <w:top w:val="none" w:sz="0" w:space="0" w:color="auto"/>
                                <w:left w:val="none" w:sz="0" w:space="0" w:color="auto"/>
                                <w:bottom w:val="none" w:sz="0" w:space="0" w:color="auto"/>
                                <w:right w:val="none" w:sz="0" w:space="0" w:color="auto"/>
                              </w:divBdr>
                              <w:divsChild>
                                <w:div w:id="2085714444">
                                  <w:marLeft w:val="0"/>
                                  <w:marRight w:val="0"/>
                                  <w:marTop w:val="0"/>
                                  <w:marBottom w:val="0"/>
                                  <w:divBdr>
                                    <w:top w:val="none" w:sz="0" w:space="0" w:color="auto"/>
                                    <w:left w:val="none" w:sz="0" w:space="0" w:color="auto"/>
                                    <w:bottom w:val="none" w:sz="0" w:space="0" w:color="auto"/>
                                    <w:right w:val="none" w:sz="0" w:space="0" w:color="auto"/>
                                  </w:divBdr>
                                  <w:divsChild>
                                    <w:div w:id="81737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2053170">
      <w:bodyDiv w:val="1"/>
      <w:marLeft w:val="0"/>
      <w:marRight w:val="0"/>
      <w:marTop w:val="0"/>
      <w:marBottom w:val="0"/>
      <w:divBdr>
        <w:top w:val="none" w:sz="0" w:space="0" w:color="auto"/>
        <w:left w:val="none" w:sz="0" w:space="0" w:color="auto"/>
        <w:bottom w:val="none" w:sz="0" w:space="0" w:color="auto"/>
        <w:right w:val="none" w:sz="0" w:space="0" w:color="auto"/>
      </w:divBdr>
      <w:divsChild>
        <w:div w:id="745956547">
          <w:marLeft w:val="0"/>
          <w:marRight w:val="0"/>
          <w:marTop w:val="0"/>
          <w:marBottom w:val="0"/>
          <w:divBdr>
            <w:top w:val="none" w:sz="0" w:space="0" w:color="auto"/>
            <w:left w:val="none" w:sz="0" w:space="0" w:color="auto"/>
            <w:bottom w:val="none" w:sz="0" w:space="0" w:color="auto"/>
            <w:right w:val="none" w:sz="0" w:space="0" w:color="auto"/>
          </w:divBdr>
          <w:divsChild>
            <w:div w:id="712114868">
              <w:marLeft w:val="0"/>
              <w:marRight w:val="0"/>
              <w:marTop w:val="0"/>
              <w:marBottom w:val="0"/>
              <w:divBdr>
                <w:top w:val="none" w:sz="0" w:space="0" w:color="auto"/>
                <w:left w:val="none" w:sz="0" w:space="0" w:color="auto"/>
                <w:bottom w:val="none" w:sz="0" w:space="0" w:color="auto"/>
                <w:right w:val="none" w:sz="0" w:space="0" w:color="auto"/>
              </w:divBdr>
              <w:divsChild>
                <w:div w:id="1986079561">
                  <w:marLeft w:val="0"/>
                  <w:marRight w:val="0"/>
                  <w:marTop w:val="0"/>
                  <w:marBottom w:val="0"/>
                  <w:divBdr>
                    <w:top w:val="none" w:sz="0" w:space="0" w:color="auto"/>
                    <w:left w:val="none" w:sz="0" w:space="0" w:color="auto"/>
                    <w:bottom w:val="none" w:sz="0" w:space="0" w:color="auto"/>
                    <w:right w:val="none" w:sz="0" w:space="0" w:color="auto"/>
                  </w:divBdr>
                  <w:divsChild>
                    <w:div w:id="193516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051803">
      <w:bodyDiv w:val="1"/>
      <w:marLeft w:val="0"/>
      <w:marRight w:val="0"/>
      <w:marTop w:val="0"/>
      <w:marBottom w:val="0"/>
      <w:divBdr>
        <w:top w:val="none" w:sz="0" w:space="0" w:color="auto"/>
        <w:left w:val="none" w:sz="0" w:space="0" w:color="auto"/>
        <w:bottom w:val="none" w:sz="0" w:space="0" w:color="auto"/>
        <w:right w:val="none" w:sz="0" w:space="0" w:color="auto"/>
      </w:divBdr>
      <w:divsChild>
        <w:div w:id="1796946539">
          <w:marLeft w:val="0"/>
          <w:marRight w:val="0"/>
          <w:marTop w:val="0"/>
          <w:marBottom w:val="0"/>
          <w:divBdr>
            <w:top w:val="none" w:sz="0" w:space="0" w:color="auto"/>
            <w:left w:val="none" w:sz="0" w:space="0" w:color="auto"/>
            <w:bottom w:val="none" w:sz="0" w:space="0" w:color="auto"/>
            <w:right w:val="none" w:sz="0" w:space="0" w:color="auto"/>
          </w:divBdr>
          <w:divsChild>
            <w:div w:id="1002507488">
              <w:marLeft w:val="0"/>
              <w:marRight w:val="0"/>
              <w:marTop w:val="0"/>
              <w:marBottom w:val="0"/>
              <w:divBdr>
                <w:top w:val="none" w:sz="0" w:space="0" w:color="auto"/>
                <w:left w:val="none" w:sz="0" w:space="0" w:color="auto"/>
                <w:bottom w:val="none" w:sz="0" w:space="0" w:color="auto"/>
                <w:right w:val="none" w:sz="0" w:space="0" w:color="auto"/>
              </w:divBdr>
              <w:divsChild>
                <w:div w:id="2130203532">
                  <w:marLeft w:val="0"/>
                  <w:marRight w:val="0"/>
                  <w:marTop w:val="0"/>
                  <w:marBottom w:val="0"/>
                  <w:divBdr>
                    <w:top w:val="none" w:sz="0" w:space="0" w:color="auto"/>
                    <w:left w:val="none" w:sz="0" w:space="0" w:color="auto"/>
                    <w:bottom w:val="none" w:sz="0" w:space="0" w:color="auto"/>
                    <w:right w:val="none" w:sz="0" w:space="0" w:color="auto"/>
                  </w:divBdr>
                  <w:divsChild>
                    <w:div w:id="1851289448">
                      <w:marLeft w:val="0"/>
                      <w:marRight w:val="0"/>
                      <w:marTop w:val="0"/>
                      <w:marBottom w:val="0"/>
                      <w:divBdr>
                        <w:top w:val="none" w:sz="0" w:space="0" w:color="auto"/>
                        <w:left w:val="none" w:sz="0" w:space="0" w:color="auto"/>
                        <w:bottom w:val="none" w:sz="0" w:space="0" w:color="auto"/>
                        <w:right w:val="none" w:sz="0" w:space="0" w:color="auto"/>
                      </w:divBdr>
                      <w:divsChild>
                        <w:div w:id="858470630">
                          <w:marLeft w:val="0"/>
                          <w:marRight w:val="0"/>
                          <w:marTop w:val="0"/>
                          <w:marBottom w:val="0"/>
                          <w:divBdr>
                            <w:top w:val="none" w:sz="0" w:space="0" w:color="auto"/>
                            <w:left w:val="none" w:sz="0" w:space="0" w:color="auto"/>
                            <w:bottom w:val="none" w:sz="0" w:space="0" w:color="auto"/>
                            <w:right w:val="none" w:sz="0" w:space="0" w:color="auto"/>
                          </w:divBdr>
                          <w:divsChild>
                            <w:div w:id="1060012025">
                              <w:marLeft w:val="0"/>
                              <w:marRight w:val="0"/>
                              <w:marTop w:val="0"/>
                              <w:marBottom w:val="0"/>
                              <w:divBdr>
                                <w:top w:val="none" w:sz="0" w:space="0" w:color="auto"/>
                                <w:left w:val="none" w:sz="0" w:space="0" w:color="auto"/>
                                <w:bottom w:val="none" w:sz="0" w:space="0" w:color="auto"/>
                                <w:right w:val="none" w:sz="0" w:space="0" w:color="auto"/>
                              </w:divBdr>
                              <w:divsChild>
                                <w:div w:id="1472940142">
                                  <w:marLeft w:val="0"/>
                                  <w:marRight w:val="0"/>
                                  <w:marTop w:val="0"/>
                                  <w:marBottom w:val="0"/>
                                  <w:divBdr>
                                    <w:top w:val="none" w:sz="0" w:space="0" w:color="auto"/>
                                    <w:left w:val="none" w:sz="0" w:space="0" w:color="auto"/>
                                    <w:bottom w:val="none" w:sz="0" w:space="0" w:color="auto"/>
                                    <w:right w:val="none" w:sz="0" w:space="0" w:color="auto"/>
                                  </w:divBdr>
                                  <w:divsChild>
                                    <w:div w:id="43032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534511">
                          <w:marLeft w:val="0"/>
                          <w:marRight w:val="0"/>
                          <w:marTop w:val="0"/>
                          <w:marBottom w:val="0"/>
                          <w:divBdr>
                            <w:top w:val="none" w:sz="0" w:space="0" w:color="auto"/>
                            <w:left w:val="none" w:sz="0" w:space="0" w:color="auto"/>
                            <w:bottom w:val="none" w:sz="0" w:space="0" w:color="auto"/>
                            <w:right w:val="none" w:sz="0" w:space="0" w:color="auto"/>
                          </w:divBdr>
                          <w:divsChild>
                            <w:div w:id="446891458">
                              <w:marLeft w:val="0"/>
                              <w:marRight w:val="0"/>
                              <w:marTop w:val="0"/>
                              <w:marBottom w:val="0"/>
                              <w:divBdr>
                                <w:top w:val="none" w:sz="0" w:space="0" w:color="auto"/>
                                <w:left w:val="none" w:sz="0" w:space="0" w:color="auto"/>
                                <w:bottom w:val="none" w:sz="0" w:space="0" w:color="auto"/>
                                <w:right w:val="none" w:sz="0" w:space="0" w:color="auto"/>
                              </w:divBdr>
                              <w:divsChild>
                                <w:div w:id="1286695110">
                                  <w:marLeft w:val="0"/>
                                  <w:marRight w:val="0"/>
                                  <w:marTop w:val="0"/>
                                  <w:marBottom w:val="0"/>
                                  <w:divBdr>
                                    <w:top w:val="none" w:sz="0" w:space="0" w:color="auto"/>
                                    <w:left w:val="none" w:sz="0" w:space="0" w:color="auto"/>
                                    <w:bottom w:val="none" w:sz="0" w:space="0" w:color="auto"/>
                                    <w:right w:val="none" w:sz="0" w:space="0" w:color="auto"/>
                                  </w:divBdr>
                                  <w:divsChild>
                                    <w:div w:id="118602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2442823">
      <w:bodyDiv w:val="1"/>
      <w:marLeft w:val="0"/>
      <w:marRight w:val="0"/>
      <w:marTop w:val="0"/>
      <w:marBottom w:val="0"/>
      <w:divBdr>
        <w:top w:val="none" w:sz="0" w:space="0" w:color="auto"/>
        <w:left w:val="none" w:sz="0" w:space="0" w:color="auto"/>
        <w:bottom w:val="none" w:sz="0" w:space="0" w:color="auto"/>
        <w:right w:val="none" w:sz="0" w:space="0" w:color="auto"/>
      </w:divBdr>
      <w:divsChild>
        <w:div w:id="2042701114">
          <w:marLeft w:val="0"/>
          <w:marRight w:val="0"/>
          <w:marTop w:val="0"/>
          <w:marBottom w:val="0"/>
          <w:divBdr>
            <w:top w:val="none" w:sz="0" w:space="0" w:color="auto"/>
            <w:left w:val="none" w:sz="0" w:space="0" w:color="auto"/>
            <w:bottom w:val="none" w:sz="0" w:space="0" w:color="auto"/>
            <w:right w:val="none" w:sz="0" w:space="0" w:color="auto"/>
          </w:divBdr>
          <w:divsChild>
            <w:div w:id="1198542293">
              <w:marLeft w:val="0"/>
              <w:marRight w:val="0"/>
              <w:marTop w:val="0"/>
              <w:marBottom w:val="0"/>
              <w:divBdr>
                <w:top w:val="none" w:sz="0" w:space="0" w:color="auto"/>
                <w:left w:val="none" w:sz="0" w:space="0" w:color="auto"/>
                <w:bottom w:val="none" w:sz="0" w:space="0" w:color="auto"/>
                <w:right w:val="none" w:sz="0" w:space="0" w:color="auto"/>
              </w:divBdr>
              <w:divsChild>
                <w:div w:id="1967344804">
                  <w:marLeft w:val="0"/>
                  <w:marRight w:val="0"/>
                  <w:marTop w:val="0"/>
                  <w:marBottom w:val="0"/>
                  <w:divBdr>
                    <w:top w:val="none" w:sz="0" w:space="0" w:color="auto"/>
                    <w:left w:val="none" w:sz="0" w:space="0" w:color="auto"/>
                    <w:bottom w:val="none" w:sz="0" w:space="0" w:color="auto"/>
                    <w:right w:val="none" w:sz="0" w:space="0" w:color="auto"/>
                  </w:divBdr>
                  <w:divsChild>
                    <w:div w:id="7517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580571">
      <w:bodyDiv w:val="1"/>
      <w:marLeft w:val="0"/>
      <w:marRight w:val="0"/>
      <w:marTop w:val="0"/>
      <w:marBottom w:val="0"/>
      <w:divBdr>
        <w:top w:val="none" w:sz="0" w:space="0" w:color="auto"/>
        <w:left w:val="none" w:sz="0" w:space="0" w:color="auto"/>
        <w:bottom w:val="none" w:sz="0" w:space="0" w:color="auto"/>
        <w:right w:val="none" w:sz="0" w:space="0" w:color="auto"/>
      </w:divBdr>
      <w:divsChild>
        <w:div w:id="412510737">
          <w:marLeft w:val="0"/>
          <w:marRight w:val="0"/>
          <w:marTop w:val="0"/>
          <w:marBottom w:val="0"/>
          <w:divBdr>
            <w:top w:val="none" w:sz="0" w:space="0" w:color="auto"/>
            <w:left w:val="none" w:sz="0" w:space="0" w:color="auto"/>
            <w:bottom w:val="none" w:sz="0" w:space="0" w:color="auto"/>
            <w:right w:val="none" w:sz="0" w:space="0" w:color="auto"/>
          </w:divBdr>
          <w:divsChild>
            <w:div w:id="390618443">
              <w:marLeft w:val="0"/>
              <w:marRight w:val="0"/>
              <w:marTop w:val="0"/>
              <w:marBottom w:val="0"/>
              <w:divBdr>
                <w:top w:val="none" w:sz="0" w:space="0" w:color="auto"/>
                <w:left w:val="none" w:sz="0" w:space="0" w:color="auto"/>
                <w:bottom w:val="none" w:sz="0" w:space="0" w:color="auto"/>
                <w:right w:val="none" w:sz="0" w:space="0" w:color="auto"/>
              </w:divBdr>
              <w:divsChild>
                <w:div w:id="474638664">
                  <w:marLeft w:val="0"/>
                  <w:marRight w:val="0"/>
                  <w:marTop w:val="0"/>
                  <w:marBottom w:val="0"/>
                  <w:divBdr>
                    <w:top w:val="none" w:sz="0" w:space="0" w:color="auto"/>
                    <w:left w:val="none" w:sz="0" w:space="0" w:color="auto"/>
                    <w:bottom w:val="none" w:sz="0" w:space="0" w:color="auto"/>
                    <w:right w:val="none" w:sz="0" w:space="0" w:color="auto"/>
                  </w:divBdr>
                  <w:divsChild>
                    <w:div w:id="30751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77452">
      <w:bodyDiv w:val="1"/>
      <w:marLeft w:val="0"/>
      <w:marRight w:val="0"/>
      <w:marTop w:val="0"/>
      <w:marBottom w:val="0"/>
      <w:divBdr>
        <w:top w:val="none" w:sz="0" w:space="0" w:color="auto"/>
        <w:left w:val="none" w:sz="0" w:space="0" w:color="auto"/>
        <w:bottom w:val="none" w:sz="0" w:space="0" w:color="auto"/>
        <w:right w:val="none" w:sz="0" w:space="0" w:color="auto"/>
      </w:divBdr>
      <w:divsChild>
        <w:div w:id="2084645796">
          <w:marLeft w:val="0"/>
          <w:marRight w:val="0"/>
          <w:marTop w:val="0"/>
          <w:marBottom w:val="0"/>
          <w:divBdr>
            <w:top w:val="none" w:sz="0" w:space="0" w:color="auto"/>
            <w:left w:val="none" w:sz="0" w:space="0" w:color="auto"/>
            <w:bottom w:val="none" w:sz="0" w:space="0" w:color="auto"/>
            <w:right w:val="none" w:sz="0" w:space="0" w:color="auto"/>
          </w:divBdr>
          <w:divsChild>
            <w:div w:id="527530870">
              <w:marLeft w:val="0"/>
              <w:marRight w:val="0"/>
              <w:marTop w:val="0"/>
              <w:marBottom w:val="0"/>
              <w:divBdr>
                <w:top w:val="none" w:sz="0" w:space="0" w:color="auto"/>
                <w:left w:val="none" w:sz="0" w:space="0" w:color="auto"/>
                <w:bottom w:val="none" w:sz="0" w:space="0" w:color="auto"/>
                <w:right w:val="none" w:sz="0" w:space="0" w:color="auto"/>
              </w:divBdr>
              <w:divsChild>
                <w:div w:id="192577075">
                  <w:marLeft w:val="0"/>
                  <w:marRight w:val="0"/>
                  <w:marTop w:val="0"/>
                  <w:marBottom w:val="0"/>
                  <w:divBdr>
                    <w:top w:val="none" w:sz="0" w:space="0" w:color="auto"/>
                    <w:left w:val="none" w:sz="0" w:space="0" w:color="auto"/>
                    <w:bottom w:val="none" w:sz="0" w:space="0" w:color="auto"/>
                    <w:right w:val="none" w:sz="0" w:space="0" w:color="auto"/>
                  </w:divBdr>
                  <w:divsChild>
                    <w:div w:id="80315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575167">
          <w:marLeft w:val="0"/>
          <w:marRight w:val="0"/>
          <w:marTop w:val="0"/>
          <w:marBottom w:val="0"/>
          <w:divBdr>
            <w:top w:val="none" w:sz="0" w:space="0" w:color="auto"/>
            <w:left w:val="none" w:sz="0" w:space="0" w:color="auto"/>
            <w:bottom w:val="none" w:sz="0" w:space="0" w:color="auto"/>
            <w:right w:val="none" w:sz="0" w:space="0" w:color="auto"/>
          </w:divBdr>
          <w:divsChild>
            <w:div w:id="1512406452">
              <w:marLeft w:val="0"/>
              <w:marRight w:val="0"/>
              <w:marTop w:val="0"/>
              <w:marBottom w:val="0"/>
              <w:divBdr>
                <w:top w:val="none" w:sz="0" w:space="0" w:color="auto"/>
                <w:left w:val="none" w:sz="0" w:space="0" w:color="auto"/>
                <w:bottom w:val="none" w:sz="0" w:space="0" w:color="auto"/>
                <w:right w:val="none" w:sz="0" w:space="0" w:color="auto"/>
              </w:divBdr>
              <w:divsChild>
                <w:div w:id="37439892">
                  <w:marLeft w:val="0"/>
                  <w:marRight w:val="0"/>
                  <w:marTop w:val="0"/>
                  <w:marBottom w:val="0"/>
                  <w:divBdr>
                    <w:top w:val="none" w:sz="0" w:space="0" w:color="auto"/>
                    <w:left w:val="none" w:sz="0" w:space="0" w:color="auto"/>
                    <w:bottom w:val="none" w:sz="0" w:space="0" w:color="auto"/>
                    <w:right w:val="none" w:sz="0" w:space="0" w:color="auto"/>
                  </w:divBdr>
                  <w:divsChild>
                    <w:div w:id="79016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881560">
      <w:bodyDiv w:val="1"/>
      <w:marLeft w:val="0"/>
      <w:marRight w:val="0"/>
      <w:marTop w:val="0"/>
      <w:marBottom w:val="0"/>
      <w:divBdr>
        <w:top w:val="none" w:sz="0" w:space="0" w:color="auto"/>
        <w:left w:val="none" w:sz="0" w:space="0" w:color="auto"/>
        <w:bottom w:val="none" w:sz="0" w:space="0" w:color="auto"/>
        <w:right w:val="none" w:sz="0" w:space="0" w:color="auto"/>
      </w:divBdr>
      <w:divsChild>
        <w:div w:id="261763013">
          <w:marLeft w:val="0"/>
          <w:marRight w:val="0"/>
          <w:marTop w:val="0"/>
          <w:marBottom w:val="0"/>
          <w:divBdr>
            <w:top w:val="none" w:sz="0" w:space="0" w:color="auto"/>
            <w:left w:val="none" w:sz="0" w:space="0" w:color="auto"/>
            <w:bottom w:val="none" w:sz="0" w:space="0" w:color="auto"/>
            <w:right w:val="none" w:sz="0" w:space="0" w:color="auto"/>
          </w:divBdr>
          <w:divsChild>
            <w:div w:id="1612006175">
              <w:marLeft w:val="0"/>
              <w:marRight w:val="0"/>
              <w:marTop w:val="0"/>
              <w:marBottom w:val="0"/>
              <w:divBdr>
                <w:top w:val="none" w:sz="0" w:space="0" w:color="auto"/>
                <w:left w:val="none" w:sz="0" w:space="0" w:color="auto"/>
                <w:bottom w:val="none" w:sz="0" w:space="0" w:color="auto"/>
                <w:right w:val="none" w:sz="0" w:space="0" w:color="auto"/>
              </w:divBdr>
              <w:divsChild>
                <w:div w:id="1296064261">
                  <w:marLeft w:val="0"/>
                  <w:marRight w:val="0"/>
                  <w:marTop w:val="0"/>
                  <w:marBottom w:val="0"/>
                  <w:divBdr>
                    <w:top w:val="none" w:sz="0" w:space="0" w:color="auto"/>
                    <w:left w:val="none" w:sz="0" w:space="0" w:color="auto"/>
                    <w:bottom w:val="none" w:sz="0" w:space="0" w:color="auto"/>
                    <w:right w:val="none" w:sz="0" w:space="0" w:color="auto"/>
                  </w:divBdr>
                  <w:divsChild>
                    <w:div w:id="52128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987889">
      <w:bodyDiv w:val="1"/>
      <w:marLeft w:val="0"/>
      <w:marRight w:val="0"/>
      <w:marTop w:val="0"/>
      <w:marBottom w:val="0"/>
      <w:divBdr>
        <w:top w:val="none" w:sz="0" w:space="0" w:color="auto"/>
        <w:left w:val="none" w:sz="0" w:space="0" w:color="auto"/>
        <w:bottom w:val="none" w:sz="0" w:space="0" w:color="auto"/>
        <w:right w:val="none" w:sz="0" w:space="0" w:color="auto"/>
      </w:divBdr>
      <w:divsChild>
        <w:div w:id="1310282689">
          <w:marLeft w:val="0"/>
          <w:marRight w:val="0"/>
          <w:marTop w:val="0"/>
          <w:marBottom w:val="0"/>
          <w:divBdr>
            <w:top w:val="none" w:sz="0" w:space="0" w:color="auto"/>
            <w:left w:val="none" w:sz="0" w:space="0" w:color="auto"/>
            <w:bottom w:val="none" w:sz="0" w:space="0" w:color="auto"/>
            <w:right w:val="none" w:sz="0" w:space="0" w:color="auto"/>
          </w:divBdr>
          <w:divsChild>
            <w:div w:id="266735706">
              <w:marLeft w:val="0"/>
              <w:marRight w:val="0"/>
              <w:marTop w:val="0"/>
              <w:marBottom w:val="0"/>
              <w:divBdr>
                <w:top w:val="none" w:sz="0" w:space="0" w:color="auto"/>
                <w:left w:val="none" w:sz="0" w:space="0" w:color="auto"/>
                <w:bottom w:val="none" w:sz="0" w:space="0" w:color="auto"/>
                <w:right w:val="none" w:sz="0" w:space="0" w:color="auto"/>
              </w:divBdr>
              <w:divsChild>
                <w:div w:id="1820999074">
                  <w:marLeft w:val="0"/>
                  <w:marRight w:val="0"/>
                  <w:marTop w:val="0"/>
                  <w:marBottom w:val="0"/>
                  <w:divBdr>
                    <w:top w:val="none" w:sz="0" w:space="0" w:color="auto"/>
                    <w:left w:val="none" w:sz="0" w:space="0" w:color="auto"/>
                    <w:bottom w:val="none" w:sz="0" w:space="0" w:color="auto"/>
                    <w:right w:val="none" w:sz="0" w:space="0" w:color="auto"/>
                  </w:divBdr>
                  <w:divsChild>
                    <w:div w:id="150735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037490">
      <w:bodyDiv w:val="1"/>
      <w:marLeft w:val="0"/>
      <w:marRight w:val="0"/>
      <w:marTop w:val="0"/>
      <w:marBottom w:val="0"/>
      <w:divBdr>
        <w:top w:val="none" w:sz="0" w:space="0" w:color="auto"/>
        <w:left w:val="none" w:sz="0" w:space="0" w:color="auto"/>
        <w:bottom w:val="none" w:sz="0" w:space="0" w:color="auto"/>
        <w:right w:val="none" w:sz="0" w:space="0" w:color="auto"/>
      </w:divBdr>
      <w:divsChild>
        <w:div w:id="254631527">
          <w:marLeft w:val="0"/>
          <w:marRight w:val="0"/>
          <w:marTop w:val="0"/>
          <w:marBottom w:val="0"/>
          <w:divBdr>
            <w:top w:val="none" w:sz="0" w:space="0" w:color="auto"/>
            <w:left w:val="none" w:sz="0" w:space="0" w:color="auto"/>
            <w:bottom w:val="none" w:sz="0" w:space="0" w:color="auto"/>
            <w:right w:val="none" w:sz="0" w:space="0" w:color="auto"/>
          </w:divBdr>
          <w:divsChild>
            <w:div w:id="240796253">
              <w:marLeft w:val="0"/>
              <w:marRight w:val="0"/>
              <w:marTop w:val="0"/>
              <w:marBottom w:val="0"/>
              <w:divBdr>
                <w:top w:val="none" w:sz="0" w:space="0" w:color="auto"/>
                <w:left w:val="none" w:sz="0" w:space="0" w:color="auto"/>
                <w:bottom w:val="none" w:sz="0" w:space="0" w:color="auto"/>
                <w:right w:val="none" w:sz="0" w:space="0" w:color="auto"/>
              </w:divBdr>
              <w:divsChild>
                <w:div w:id="801463119">
                  <w:marLeft w:val="0"/>
                  <w:marRight w:val="0"/>
                  <w:marTop w:val="0"/>
                  <w:marBottom w:val="0"/>
                  <w:divBdr>
                    <w:top w:val="none" w:sz="0" w:space="0" w:color="auto"/>
                    <w:left w:val="none" w:sz="0" w:space="0" w:color="auto"/>
                    <w:bottom w:val="none" w:sz="0" w:space="0" w:color="auto"/>
                    <w:right w:val="none" w:sz="0" w:space="0" w:color="auto"/>
                  </w:divBdr>
                  <w:divsChild>
                    <w:div w:id="204408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461789">
      <w:bodyDiv w:val="1"/>
      <w:marLeft w:val="0"/>
      <w:marRight w:val="0"/>
      <w:marTop w:val="0"/>
      <w:marBottom w:val="0"/>
      <w:divBdr>
        <w:top w:val="none" w:sz="0" w:space="0" w:color="auto"/>
        <w:left w:val="none" w:sz="0" w:space="0" w:color="auto"/>
        <w:bottom w:val="none" w:sz="0" w:space="0" w:color="auto"/>
        <w:right w:val="none" w:sz="0" w:space="0" w:color="auto"/>
      </w:divBdr>
      <w:divsChild>
        <w:div w:id="447284783">
          <w:marLeft w:val="0"/>
          <w:marRight w:val="0"/>
          <w:marTop w:val="0"/>
          <w:marBottom w:val="0"/>
          <w:divBdr>
            <w:top w:val="none" w:sz="0" w:space="0" w:color="auto"/>
            <w:left w:val="none" w:sz="0" w:space="0" w:color="auto"/>
            <w:bottom w:val="none" w:sz="0" w:space="0" w:color="auto"/>
            <w:right w:val="none" w:sz="0" w:space="0" w:color="auto"/>
          </w:divBdr>
          <w:divsChild>
            <w:div w:id="2135634081">
              <w:marLeft w:val="0"/>
              <w:marRight w:val="0"/>
              <w:marTop w:val="0"/>
              <w:marBottom w:val="0"/>
              <w:divBdr>
                <w:top w:val="none" w:sz="0" w:space="0" w:color="auto"/>
                <w:left w:val="none" w:sz="0" w:space="0" w:color="auto"/>
                <w:bottom w:val="none" w:sz="0" w:space="0" w:color="auto"/>
                <w:right w:val="none" w:sz="0" w:space="0" w:color="auto"/>
              </w:divBdr>
              <w:divsChild>
                <w:div w:id="547181704">
                  <w:marLeft w:val="0"/>
                  <w:marRight w:val="0"/>
                  <w:marTop w:val="0"/>
                  <w:marBottom w:val="0"/>
                  <w:divBdr>
                    <w:top w:val="none" w:sz="0" w:space="0" w:color="auto"/>
                    <w:left w:val="none" w:sz="0" w:space="0" w:color="auto"/>
                    <w:bottom w:val="none" w:sz="0" w:space="0" w:color="auto"/>
                    <w:right w:val="none" w:sz="0" w:space="0" w:color="auto"/>
                  </w:divBdr>
                  <w:divsChild>
                    <w:div w:id="34008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391540">
      <w:bodyDiv w:val="1"/>
      <w:marLeft w:val="0"/>
      <w:marRight w:val="0"/>
      <w:marTop w:val="0"/>
      <w:marBottom w:val="0"/>
      <w:divBdr>
        <w:top w:val="none" w:sz="0" w:space="0" w:color="auto"/>
        <w:left w:val="none" w:sz="0" w:space="0" w:color="auto"/>
        <w:bottom w:val="none" w:sz="0" w:space="0" w:color="auto"/>
        <w:right w:val="none" w:sz="0" w:space="0" w:color="auto"/>
      </w:divBdr>
      <w:divsChild>
        <w:div w:id="158077795">
          <w:marLeft w:val="0"/>
          <w:marRight w:val="0"/>
          <w:marTop w:val="0"/>
          <w:marBottom w:val="0"/>
          <w:divBdr>
            <w:top w:val="none" w:sz="0" w:space="0" w:color="auto"/>
            <w:left w:val="none" w:sz="0" w:space="0" w:color="auto"/>
            <w:bottom w:val="none" w:sz="0" w:space="0" w:color="auto"/>
            <w:right w:val="none" w:sz="0" w:space="0" w:color="auto"/>
          </w:divBdr>
          <w:divsChild>
            <w:div w:id="1450734677">
              <w:marLeft w:val="0"/>
              <w:marRight w:val="0"/>
              <w:marTop w:val="0"/>
              <w:marBottom w:val="0"/>
              <w:divBdr>
                <w:top w:val="none" w:sz="0" w:space="0" w:color="auto"/>
                <w:left w:val="none" w:sz="0" w:space="0" w:color="auto"/>
                <w:bottom w:val="none" w:sz="0" w:space="0" w:color="auto"/>
                <w:right w:val="none" w:sz="0" w:space="0" w:color="auto"/>
              </w:divBdr>
              <w:divsChild>
                <w:div w:id="2026248960">
                  <w:marLeft w:val="0"/>
                  <w:marRight w:val="0"/>
                  <w:marTop w:val="0"/>
                  <w:marBottom w:val="0"/>
                  <w:divBdr>
                    <w:top w:val="none" w:sz="0" w:space="0" w:color="auto"/>
                    <w:left w:val="none" w:sz="0" w:space="0" w:color="auto"/>
                    <w:bottom w:val="none" w:sz="0" w:space="0" w:color="auto"/>
                    <w:right w:val="none" w:sz="0" w:space="0" w:color="auto"/>
                  </w:divBdr>
                  <w:divsChild>
                    <w:div w:id="517278901">
                      <w:marLeft w:val="0"/>
                      <w:marRight w:val="0"/>
                      <w:marTop w:val="0"/>
                      <w:marBottom w:val="0"/>
                      <w:divBdr>
                        <w:top w:val="none" w:sz="0" w:space="0" w:color="auto"/>
                        <w:left w:val="none" w:sz="0" w:space="0" w:color="auto"/>
                        <w:bottom w:val="none" w:sz="0" w:space="0" w:color="auto"/>
                        <w:right w:val="none" w:sz="0" w:space="0" w:color="auto"/>
                      </w:divBdr>
                      <w:divsChild>
                        <w:div w:id="29189651">
                          <w:marLeft w:val="0"/>
                          <w:marRight w:val="0"/>
                          <w:marTop w:val="0"/>
                          <w:marBottom w:val="0"/>
                          <w:divBdr>
                            <w:top w:val="none" w:sz="0" w:space="0" w:color="auto"/>
                            <w:left w:val="none" w:sz="0" w:space="0" w:color="auto"/>
                            <w:bottom w:val="none" w:sz="0" w:space="0" w:color="auto"/>
                            <w:right w:val="none" w:sz="0" w:space="0" w:color="auto"/>
                          </w:divBdr>
                          <w:divsChild>
                            <w:div w:id="1576626110">
                              <w:marLeft w:val="0"/>
                              <w:marRight w:val="0"/>
                              <w:marTop w:val="0"/>
                              <w:marBottom w:val="0"/>
                              <w:divBdr>
                                <w:top w:val="none" w:sz="0" w:space="0" w:color="auto"/>
                                <w:left w:val="none" w:sz="0" w:space="0" w:color="auto"/>
                                <w:bottom w:val="none" w:sz="0" w:space="0" w:color="auto"/>
                                <w:right w:val="none" w:sz="0" w:space="0" w:color="auto"/>
                              </w:divBdr>
                              <w:divsChild>
                                <w:div w:id="384184359">
                                  <w:marLeft w:val="0"/>
                                  <w:marRight w:val="0"/>
                                  <w:marTop w:val="0"/>
                                  <w:marBottom w:val="0"/>
                                  <w:divBdr>
                                    <w:top w:val="none" w:sz="0" w:space="0" w:color="auto"/>
                                    <w:left w:val="none" w:sz="0" w:space="0" w:color="auto"/>
                                    <w:bottom w:val="none" w:sz="0" w:space="0" w:color="auto"/>
                                    <w:right w:val="none" w:sz="0" w:space="0" w:color="auto"/>
                                  </w:divBdr>
                                  <w:divsChild>
                                    <w:div w:id="67372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4238686">
      <w:bodyDiv w:val="1"/>
      <w:marLeft w:val="0"/>
      <w:marRight w:val="0"/>
      <w:marTop w:val="0"/>
      <w:marBottom w:val="0"/>
      <w:divBdr>
        <w:top w:val="none" w:sz="0" w:space="0" w:color="auto"/>
        <w:left w:val="none" w:sz="0" w:space="0" w:color="auto"/>
        <w:bottom w:val="none" w:sz="0" w:space="0" w:color="auto"/>
        <w:right w:val="none" w:sz="0" w:space="0" w:color="auto"/>
      </w:divBdr>
      <w:divsChild>
        <w:div w:id="1056396749">
          <w:marLeft w:val="0"/>
          <w:marRight w:val="0"/>
          <w:marTop w:val="0"/>
          <w:marBottom w:val="0"/>
          <w:divBdr>
            <w:top w:val="none" w:sz="0" w:space="0" w:color="auto"/>
            <w:left w:val="none" w:sz="0" w:space="0" w:color="auto"/>
            <w:bottom w:val="none" w:sz="0" w:space="0" w:color="auto"/>
            <w:right w:val="none" w:sz="0" w:space="0" w:color="auto"/>
          </w:divBdr>
          <w:divsChild>
            <w:div w:id="503864658">
              <w:marLeft w:val="0"/>
              <w:marRight w:val="0"/>
              <w:marTop w:val="0"/>
              <w:marBottom w:val="0"/>
              <w:divBdr>
                <w:top w:val="none" w:sz="0" w:space="0" w:color="auto"/>
                <w:left w:val="none" w:sz="0" w:space="0" w:color="auto"/>
                <w:bottom w:val="none" w:sz="0" w:space="0" w:color="auto"/>
                <w:right w:val="none" w:sz="0" w:space="0" w:color="auto"/>
              </w:divBdr>
              <w:divsChild>
                <w:div w:id="1375347698">
                  <w:marLeft w:val="0"/>
                  <w:marRight w:val="0"/>
                  <w:marTop w:val="0"/>
                  <w:marBottom w:val="0"/>
                  <w:divBdr>
                    <w:top w:val="none" w:sz="0" w:space="0" w:color="auto"/>
                    <w:left w:val="none" w:sz="0" w:space="0" w:color="auto"/>
                    <w:bottom w:val="none" w:sz="0" w:space="0" w:color="auto"/>
                    <w:right w:val="none" w:sz="0" w:space="0" w:color="auto"/>
                  </w:divBdr>
                  <w:divsChild>
                    <w:div w:id="818426952">
                      <w:marLeft w:val="0"/>
                      <w:marRight w:val="0"/>
                      <w:marTop w:val="0"/>
                      <w:marBottom w:val="0"/>
                      <w:divBdr>
                        <w:top w:val="none" w:sz="0" w:space="0" w:color="auto"/>
                        <w:left w:val="none" w:sz="0" w:space="0" w:color="auto"/>
                        <w:bottom w:val="none" w:sz="0" w:space="0" w:color="auto"/>
                        <w:right w:val="none" w:sz="0" w:space="0" w:color="auto"/>
                      </w:divBdr>
                      <w:divsChild>
                        <w:div w:id="1737433919">
                          <w:marLeft w:val="0"/>
                          <w:marRight w:val="0"/>
                          <w:marTop w:val="0"/>
                          <w:marBottom w:val="0"/>
                          <w:divBdr>
                            <w:top w:val="none" w:sz="0" w:space="0" w:color="auto"/>
                            <w:left w:val="none" w:sz="0" w:space="0" w:color="auto"/>
                            <w:bottom w:val="none" w:sz="0" w:space="0" w:color="auto"/>
                            <w:right w:val="none" w:sz="0" w:space="0" w:color="auto"/>
                          </w:divBdr>
                          <w:divsChild>
                            <w:div w:id="3040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827234">
      <w:bodyDiv w:val="1"/>
      <w:marLeft w:val="0"/>
      <w:marRight w:val="0"/>
      <w:marTop w:val="0"/>
      <w:marBottom w:val="0"/>
      <w:divBdr>
        <w:top w:val="none" w:sz="0" w:space="0" w:color="auto"/>
        <w:left w:val="none" w:sz="0" w:space="0" w:color="auto"/>
        <w:bottom w:val="none" w:sz="0" w:space="0" w:color="auto"/>
        <w:right w:val="none" w:sz="0" w:space="0" w:color="auto"/>
      </w:divBdr>
      <w:divsChild>
        <w:div w:id="325016534">
          <w:marLeft w:val="0"/>
          <w:marRight w:val="0"/>
          <w:marTop w:val="0"/>
          <w:marBottom w:val="0"/>
          <w:divBdr>
            <w:top w:val="none" w:sz="0" w:space="0" w:color="auto"/>
            <w:left w:val="none" w:sz="0" w:space="0" w:color="auto"/>
            <w:bottom w:val="none" w:sz="0" w:space="0" w:color="auto"/>
            <w:right w:val="none" w:sz="0" w:space="0" w:color="auto"/>
          </w:divBdr>
          <w:divsChild>
            <w:div w:id="1550343679">
              <w:marLeft w:val="0"/>
              <w:marRight w:val="0"/>
              <w:marTop w:val="0"/>
              <w:marBottom w:val="0"/>
              <w:divBdr>
                <w:top w:val="none" w:sz="0" w:space="0" w:color="auto"/>
                <w:left w:val="none" w:sz="0" w:space="0" w:color="auto"/>
                <w:bottom w:val="none" w:sz="0" w:space="0" w:color="auto"/>
                <w:right w:val="none" w:sz="0" w:space="0" w:color="auto"/>
              </w:divBdr>
              <w:divsChild>
                <w:div w:id="936064039">
                  <w:marLeft w:val="0"/>
                  <w:marRight w:val="0"/>
                  <w:marTop w:val="0"/>
                  <w:marBottom w:val="0"/>
                  <w:divBdr>
                    <w:top w:val="none" w:sz="0" w:space="0" w:color="auto"/>
                    <w:left w:val="none" w:sz="0" w:space="0" w:color="auto"/>
                    <w:bottom w:val="none" w:sz="0" w:space="0" w:color="auto"/>
                    <w:right w:val="none" w:sz="0" w:space="0" w:color="auto"/>
                  </w:divBdr>
                  <w:divsChild>
                    <w:div w:id="1796367138">
                      <w:marLeft w:val="0"/>
                      <w:marRight w:val="0"/>
                      <w:marTop w:val="0"/>
                      <w:marBottom w:val="0"/>
                      <w:divBdr>
                        <w:top w:val="none" w:sz="0" w:space="0" w:color="auto"/>
                        <w:left w:val="none" w:sz="0" w:space="0" w:color="auto"/>
                        <w:bottom w:val="none" w:sz="0" w:space="0" w:color="auto"/>
                        <w:right w:val="none" w:sz="0" w:space="0" w:color="auto"/>
                      </w:divBdr>
                      <w:divsChild>
                        <w:div w:id="870844242">
                          <w:marLeft w:val="0"/>
                          <w:marRight w:val="0"/>
                          <w:marTop w:val="0"/>
                          <w:marBottom w:val="0"/>
                          <w:divBdr>
                            <w:top w:val="none" w:sz="0" w:space="0" w:color="auto"/>
                            <w:left w:val="none" w:sz="0" w:space="0" w:color="auto"/>
                            <w:bottom w:val="none" w:sz="0" w:space="0" w:color="auto"/>
                            <w:right w:val="none" w:sz="0" w:space="0" w:color="auto"/>
                          </w:divBdr>
                          <w:divsChild>
                            <w:div w:id="1646541756">
                              <w:marLeft w:val="0"/>
                              <w:marRight w:val="0"/>
                              <w:marTop w:val="0"/>
                              <w:marBottom w:val="0"/>
                              <w:divBdr>
                                <w:top w:val="none" w:sz="0" w:space="0" w:color="auto"/>
                                <w:left w:val="none" w:sz="0" w:space="0" w:color="auto"/>
                                <w:bottom w:val="none" w:sz="0" w:space="0" w:color="auto"/>
                                <w:right w:val="none" w:sz="0" w:space="0" w:color="auto"/>
                              </w:divBdr>
                              <w:divsChild>
                                <w:div w:id="837229486">
                                  <w:marLeft w:val="0"/>
                                  <w:marRight w:val="0"/>
                                  <w:marTop w:val="0"/>
                                  <w:marBottom w:val="0"/>
                                  <w:divBdr>
                                    <w:top w:val="none" w:sz="0" w:space="0" w:color="auto"/>
                                    <w:left w:val="none" w:sz="0" w:space="0" w:color="auto"/>
                                    <w:bottom w:val="none" w:sz="0" w:space="0" w:color="auto"/>
                                    <w:right w:val="none" w:sz="0" w:space="0" w:color="auto"/>
                                  </w:divBdr>
                                  <w:divsChild>
                                    <w:div w:id="200712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7653851">
      <w:bodyDiv w:val="1"/>
      <w:marLeft w:val="0"/>
      <w:marRight w:val="0"/>
      <w:marTop w:val="0"/>
      <w:marBottom w:val="0"/>
      <w:divBdr>
        <w:top w:val="none" w:sz="0" w:space="0" w:color="auto"/>
        <w:left w:val="none" w:sz="0" w:space="0" w:color="auto"/>
        <w:bottom w:val="none" w:sz="0" w:space="0" w:color="auto"/>
        <w:right w:val="none" w:sz="0" w:space="0" w:color="auto"/>
      </w:divBdr>
      <w:divsChild>
        <w:div w:id="1763917770">
          <w:marLeft w:val="0"/>
          <w:marRight w:val="0"/>
          <w:marTop w:val="0"/>
          <w:marBottom w:val="0"/>
          <w:divBdr>
            <w:top w:val="none" w:sz="0" w:space="0" w:color="auto"/>
            <w:left w:val="none" w:sz="0" w:space="0" w:color="auto"/>
            <w:bottom w:val="none" w:sz="0" w:space="0" w:color="auto"/>
            <w:right w:val="none" w:sz="0" w:space="0" w:color="auto"/>
          </w:divBdr>
          <w:divsChild>
            <w:div w:id="589896315">
              <w:marLeft w:val="0"/>
              <w:marRight w:val="0"/>
              <w:marTop w:val="0"/>
              <w:marBottom w:val="0"/>
              <w:divBdr>
                <w:top w:val="none" w:sz="0" w:space="0" w:color="auto"/>
                <w:left w:val="none" w:sz="0" w:space="0" w:color="auto"/>
                <w:bottom w:val="none" w:sz="0" w:space="0" w:color="auto"/>
                <w:right w:val="none" w:sz="0" w:space="0" w:color="auto"/>
              </w:divBdr>
              <w:divsChild>
                <w:div w:id="623193482">
                  <w:marLeft w:val="0"/>
                  <w:marRight w:val="0"/>
                  <w:marTop w:val="0"/>
                  <w:marBottom w:val="0"/>
                  <w:divBdr>
                    <w:top w:val="none" w:sz="0" w:space="0" w:color="auto"/>
                    <w:left w:val="none" w:sz="0" w:space="0" w:color="auto"/>
                    <w:bottom w:val="none" w:sz="0" w:space="0" w:color="auto"/>
                    <w:right w:val="none" w:sz="0" w:space="0" w:color="auto"/>
                  </w:divBdr>
                  <w:divsChild>
                    <w:div w:id="132724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036808">
      <w:bodyDiv w:val="1"/>
      <w:marLeft w:val="0"/>
      <w:marRight w:val="0"/>
      <w:marTop w:val="0"/>
      <w:marBottom w:val="0"/>
      <w:divBdr>
        <w:top w:val="none" w:sz="0" w:space="0" w:color="auto"/>
        <w:left w:val="none" w:sz="0" w:space="0" w:color="auto"/>
        <w:bottom w:val="none" w:sz="0" w:space="0" w:color="auto"/>
        <w:right w:val="none" w:sz="0" w:space="0" w:color="auto"/>
      </w:divBdr>
      <w:divsChild>
        <w:div w:id="1408917132">
          <w:marLeft w:val="0"/>
          <w:marRight w:val="0"/>
          <w:marTop w:val="0"/>
          <w:marBottom w:val="0"/>
          <w:divBdr>
            <w:top w:val="none" w:sz="0" w:space="0" w:color="auto"/>
            <w:left w:val="none" w:sz="0" w:space="0" w:color="auto"/>
            <w:bottom w:val="none" w:sz="0" w:space="0" w:color="auto"/>
            <w:right w:val="none" w:sz="0" w:space="0" w:color="auto"/>
          </w:divBdr>
          <w:divsChild>
            <w:div w:id="147524671">
              <w:marLeft w:val="0"/>
              <w:marRight w:val="0"/>
              <w:marTop w:val="0"/>
              <w:marBottom w:val="0"/>
              <w:divBdr>
                <w:top w:val="none" w:sz="0" w:space="0" w:color="auto"/>
                <w:left w:val="none" w:sz="0" w:space="0" w:color="auto"/>
                <w:bottom w:val="none" w:sz="0" w:space="0" w:color="auto"/>
                <w:right w:val="none" w:sz="0" w:space="0" w:color="auto"/>
              </w:divBdr>
              <w:divsChild>
                <w:div w:id="1022978386">
                  <w:marLeft w:val="0"/>
                  <w:marRight w:val="0"/>
                  <w:marTop w:val="0"/>
                  <w:marBottom w:val="0"/>
                  <w:divBdr>
                    <w:top w:val="none" w:sz="0" w:space="0" w:color="auto"/>
                    <w:left w:val="none" w:sz="0" w:space="0" w:color="auto"/>
                    <w:bottom w:val="none" w:sz="0" w:space="0" w:color="auto"/>
                    <w:right w:val="none" w:sz="0" w:space="0" w:color="auto"/>
                  </w:divBdr>
                  <w:divsChild>
                    <w:div w:id="211959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077829">
      <w:bodyDiv w:val="1"/>
      <w:marLeft w:val="0"/>
      <w:marRight w:val="0"/>
      <w:marTop w:val="0"/>
      <w:marBottom w:val="0"/>
      <w:divBdr>
        <w:top w:val="none" w:sz="0" w:space="0" w:color="auto"/>
        <w:left w:val="none" w:sz="0" w:space="0" w:color="auto"/>
        <w:bottom w:val="none" w:sz="0" w:space="0" w:color="auto"/>
        <w:right w:val="none" w:sz="0" w:space="0" w:color="auto"/>
      </w:divBdr>
    </w:div>
    <w:div w:id="1106384067">
      <w:bodyDiv w:val="1"/>
      <w:marLeft w:val="0"/>
      <w:marRight w:val="0"/>
      <w:marTop w:val="0"/>
      <w:marBottom w:val="0"/>
      <w:divBdr>
        <w:top w:val="none" w:sz="0" w:space="0" w:color="auto"/>
        <w:left w:val="none" w:sz="0" w:space="0" w:color="auto"/>
        <w:bottom w:val="none" w:sz="0" w:space="0" w:color="auto"/>
        <w:right w:val="none" w:sz="0" w:space="0" w:color="auto"/>
      </w:divBdr>
    </w:div>
    <w:div w:id="1112091116">
      <w:bodyDiv w:val="1"/>
      <w:marLeft w:val="0"/>
      <w:marRight w:val="0"/>
      <w:marTop w:val="0"/>
      <w:marBottom w:val="0"/>
      <w:divBdr>
        <w:top w:val="none" w:sz="0" w:space="0" w:color="auto"/>
        <w:left w:val="none" w:sz="0" w:space="0" w:color="auto"/>
        <w:bottom w:val="none" w:sz="0" w:space="0" w:color="auto"/>
        <w:right w:val="none" w:sz="0" w:space="0" w:color="auto"/>
      </w:divBdr>
      <w:divsChild>
        <w:div w:id="243925537">
          <w:marLeft w:val="0"/>
          <w:marRight w:val="0"/>
          <w:marTop w:val="0"/>
          <w:marBottom w:val="0"/>
          <w:divBdr>
            <w:top w:val="none" w:sz="0" w:space="0" w:color="auto"/>
            <w:left w:val="none" w:sz="0" w:space="0" w:color="auto"/>
            <w:bottom w:val="none" w:sz="0" w:space="0" w:color="auto"/>
            <w:right w:val="none" w:sz="0" w:space="0" w:color="auto"/>
          </w:divBdr>
          <w:divsChild>
            <w:div w:id="1358313469">
              <w:marLeft w:val="0"/>
              <w:marRight w:val="0"/>
              <w:marTop w:val="0"/>
              <w:marBottom w:val="0"/>
              <w:divBdr>
                <w:top w:val="none" w:sz="0" w:space="0" w:color="auto"/>
                <w:left w:val="none" w:sz="0" w:space="0" w:color="auto"/>
                <w:bottom w:val="none" w:sz="0" w:space="0" w:color="auto"/>
                <w:right w:val="none" w:sz="0" w:space="0" w:color="auto"/>
              </w:divBdr>
              <w:divsChild>
                <w:div w:id="1043480297">
                  <w:marLeft w:val="0"/>
                  <w:marRight w:val="0"/>
                  <w:marTop w:val="0"/>
                  <w:marBottom w:val="0"/>
                  <w:divBdr>
                    <w:top w:val="none" w:sz="0" w:space="0" w:color="auto"/>
                    <w:left w:val="none" w:sz="0" w:space="0" w:color="auto"/>
                    <w:bottom w:val="none" w:sz="0" w:space="0" w:color="auto"/>
                    <w:right w:val="none" w:sz="0" w:space="0" w:color="auto"/>
                  </w:divBdr>
                  <w:divsChild>
                    <w:div w:id="1638686224">
                      <w:marLeft w:val="0"/>
                      <w:marRight w:val="0"/>
                      <w:marTop w:val="0"/>
                      <w:marBottom w:val="0"/>
                      <w:divBdr>
                        <w:top w:val="none" w:sz="0" w:space="0" w:color="auto"/>
                        <w:left w:val="none" w:sz="0" w:space="0" w:color="auto"/>
                        <w:bottom w:val="none" w:sz="0" w:space="0" w:color="auto"/>
                        <w:right w:val="none" w:sz="0" w:space="0" w:color="auto"/>
                      </w:divBdr>
                      <w:divsChild>
                        <w:div w:id="2129935347">
                          <w:marLeft w:val="0"/>
                          <w:marRight w:val="0"/>
                          <w:marTop w:val="0"/>
                          <w:marBottom w:val="0"/>
                          <w:divBdr>
                            <w:top w:val="none" w:sz="0" w:space="0" w:color="auto"/>
                            <w:left w:val="none" w:sz="0" w:space="0" w:color="auto"/>
                            <w:bottom w:val="none" w:sz="0" w:space="0" w:color="auto"/>
                            <w:right w:val="none" w:sz="0" w:space="0" w:color="auto"/>
                          </w:divBdr>
                          <w:divsChild>
                            <w:div w:id="3134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448674">
                  <w:marLeft w:val="0"/>
                  <w:marRight w:val="0"/>
                  <w:marTop w:val="0"/>
                  <w:marBottom w:val="0"/>
                  <w:divBdr>
                    <w:top w:val="none" w:sz="0" w:space="0" w:color="auto"/>
                    <w:left w:val="none" w:sz="0" w:space="0" w:color="auto"/>
                    <w:bottom w:val="none" w:sz="0" w:space="0" w:color="auto"/>
                    <w:right w:val="none" w:sz="0" w:space="0" w:color="auto"/>
                  </w:divBdr>
                  <w:divsChild>
                    <w:div w:id="23921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193888">
      <w:bodyDiv w:val="1"/>
      <w:marLeft w:val="0"/>
      <w:marRight w:val="0"/>
      <w:marTop w:val="0"/>
      <w:marBottom w:val="0"/>
      <w:divBdr>
        <w:top w:val="none" w:sz="0" w:space="0" w:color="auto"/>
        <w:left w:val="none" w:sz="0" w:space="0" w:color="auto"/>
        <w:bottom w:val="none" w:sz="0" w:space="0" w:color="auto"/>
        <w:right w:val="none" w:sz="0" w:space="0" w:color="auto"/>
      </w:divBdr>
      <w:divsChild>
        <w:div w:id="35473762">
          <w:marLeft w:val="0"/>
          <w:marRight w:val="0"/>
          <w:marTop w:val="0"/>
          <w:marBottom w:val="0"/>
          <w:divBdr>
            <w:top w:val="none" w:sz="0" w:space="0" w:color="auto"/>
            <w:left w:val="none" w:sz="0" w:space="0" w:color="auto"/>
            <w:bottom w:val="none" w:sz="0" w:space="0" w:color="auto"/>
            <w:right w:val="none" w:sz="0" w:space="0" w:color="auto"/>
          </w:divBdr>
          <w:divsChild>
            <w:div w:id="1342046805">
              <w:marLeft w:val="0"/>
              <w:marRight w:val="0"/>
              <w:marTop w:val="0"/>
              <w:marBottom w:val="0"/>
              <w:divBdr>
                <w:top w:val="none" w:sz="0" w:space="0" w:color="auto"/>
                <w:left w:val="none" w:sz="0" w:space="0" w:color="auto"/>
                <w:bottom w:val="none" w:sz="0" w:space="0" w:color="auto"/>
                <w:right w:val="none" w:sz="0" w:space="0" w:color="auto"/>
              </w:divBdr>
              <w:divsChild>
                <w:div w:id="1329477818">
                  <w:marLeft w:val="0"/>
                  <w:marRight w:val="0"/>
                  <w:marTop w:val="0"/>
                  <w:marBottom w:val="0"/>
                  <w:divBdr>
                    <w:top w:val="none" w:sz="0" w:space="0" w:color="auto"/>
                    <w:left w:val="none" w:sz="0" w:space="0" w:color="auto"/>
                    <w:bottom w:val="none" w:sz="0" w:space="0" w:color="auto"/>
                    <w:right w:val="none" w:sz="0" w:space="0" w:color="auto"/>
                  </w:divBdr>
                  <w:divsChild>
                    <w:div w:id="12197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467157">
      <w:bodyDiv w:val="1"/>
      <w:marLeft w:val="0"/>
      <w:marRight w:val="0"/>
      <w:marTop w:val="0"/>
      <w:marBottom w:val="0"/>
      <w:divBdr>
        <w:top w:val="none" w:sz="0" w:space="0" w:color="auto"/>
        <w:left w:val="none" w:sz="0" w:space="0" w:color="auto"/>
        <w:bottom w:val="none" w:sz="0" w:space="0" w:color="auto"/>
        <w:right w:val="none" w:sz="0" w:space="0" w:color="auto"/>
      </w:divBdr>
      <w:divsChild>
        <w:div w:id="613902648">
          <w:marLeft w:val="0"/>
          <w:marRight w:val="0"/>
          <w:marTop w:val="0"/>
          <w:marBottom w:val="0"/>
          <w:divBdr>
            <w:top w:val="none" w:sz="0" w:space="0" w:color="auto"/>
            <w:left w:val="none" w:sz="0" w:space="0" w:color="auto"/>
            <w:bottom w:val="none" w:sz="0" w:space="0" w:color="auto"/>
            <w:right w:val="none" w:sz="0" w:space="0" w:color="auto"/>
          </w:divBdr>
          <w:divsChild>
            <w:div w:id="2070883265">
              <w:marLeft w:val="0"/>
              <w:marRight w:val="0"/>
              <w:marTop w:val="0"/>
              <w:marBottom w:val="0"/>
              <w:divBdr>
                <w:top w:val="none" w:sz="0" w:space="0" w:color="auto"/>
                <w:left w:val="none" w:sz="0" w:space="0" w:color="auto"/>
                <w:bottom w:val="none" w:sz="0" w:space="0" w:color="auto"/>
                <w:right w:val="none" w:sz="0" w:space="0" w:color="auto"/>
              </w:divBdr>
              <w:divsChild>
                <w:div w:id="31619671">
                  <w:marLeft w:val="0"/>
                  <w:marRight w:val="0"/>
                  <w:marTop w:val="0"/>
                  <w:marBottom w:val="0"/>
                  <w:divBdr>
                    <w:top w:val="none" w:sz="0" w:space="0" w:color="auto"/>
                    <w:left w:val="none" w:sz="0" w:space="0" w:color="auto"/>
                    <w:bottom w:val="none" w:sz="0" w:space="0" w:color="auto"/>
                    <w:right w:val="none" w:sz="0" w:space="0" w:color="auto"/>
                  </w:divBdr>
                  <w:divsChild>
                    <w:div w:id="71670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311170">
      <w:bodyDiv w:val="1"/>
      <w:marLeft w:val="0"/>
      <w:marRight w:val="0"/>
      <w:marTop w:val="0"/>
      <w:marBottom w:val="0"/>
      <w:divBdr>
        <w:top w:val="none" w:sz="0" w:space="0" w:color="auto"/>
        <w:left w:val="none" w:sz="0" w:space="0" w:color="auto"/>
        <w:bottom w:val="none" w:sz="0" w:space="0" w:color="auto"/>
        <w:right w:val="none" w:sz="0" w:space="0" w:color="auto"/>
      </w:divBdr>
      <w:divsChild>
        <w:div w:id="1791321837">
          <w:marLeft w:val="0"/>
          <w:marRight w:val="0"/>
          <w:marTop w:val="0"/>
          <w:marBottom w:val="0"/>
          <w:divBdr>
            <w:top w:val="none" w:sz="0" w:space="0" w:color="auto"/>
            <w:left w:val="none" w:sz="0" w:space="0" w:color="auto"/>
            <w:bottom w:val="none" w:sz="0" w:space="0" w:color="auto"/>
            <w:right w:val="none" w:sz="0" w:space="0" w:color="auto"/>
          </w:divBdr>
          <w:divsChild>
            <w:div w:id="1482573238">
              <w:marLeft w:val="0"/>
              <w:marRight w:val="0"/>
              <w:marTop w:val="0"/>
              <w:marBottom w:val="0"/>
              <w:divBdr>
                <w:top w:val="none" w:sz="0" w:space="0" w:color="auto"/>
                <w:left w:val="none" w:sz="0" w:space="0" w:color="auto"/>
                <w:bottom w:val="none" w:sz="0" w:space="0" w:color="auto"/>
                <w:right w:val="none" w:sz="0" w:space="0" w:color="auto"/>
              </w:divBdr>
              <w:divsChild>
                <w:div w:id="1601452088">
                  <w:marLeft w:val="0"/>
                  <w:marRight w:val="0"/>
                  <w:marTop w:val="0"/>
                  <w:marBottom w:val="0"/>
                  <w:divBdr>
                    <w:top w:val="none" w:sz="0" w:space="0" w:color="auto"/>
                    <w:left w:val="none" w:sz="0" w:space="0" w:color="auto"/>
                    <w:bottom w:val="none" w:sz="0" w:space="0" w:color="auto"/>
                    <w:right w:val="none" w:sz="0" w:space="0" w:color="auto"/>
                  </w:divBdr>
                  <w:divsChild>
                    <w:div w:id="111771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352654">
      <w:bodyDiv w:val="1"/>
      <w:marLeft w:val="0"/>
      <w:marRight w:val="0"/>
      <w:marTop w:val="0"/>
      <w:marBottom w:val="0"/>
      <w:divBdr>
        <w:top w:val="none" w:sz="0" w:space="0" w:color="auto"/>
        <w:left w:val="none" w:sz="0" w:space="0" w:color="auto"/>
        <w:bottom w:val="none" w:sz="0" w:space="0" w:color="auto"/>
        <w:right w:val="none" w:sz="0" w:space="0" w:color="auto"/>
      </w:divBdr>
      <w:divsChild>
        <w:div w:id="736780376">
          <w:marLeft w:val="0"/>
          <w:marRight w:val="0"/>
          <w:marTop w:val="0"/>
          <w:marBottom w:val="0"/>
          <w:divBdr>
            <w:top w:val="none" w:sz="0" w:space="0" w:color="auto"/>
            <w:left w:val="none" w:sz="0" w:space="0" w:color="auto"/>
            <w:bottom w:val="none" w:sz="0" w:space="0" w:color="auto"/>
            <w:right w:val="none" w:sz="0" w:space="0" w:color="auto"/>
          </w:divBdr>
          <w:divsChild>
            <w:div w:id="2146316105">
              <w:marLeft w:val="0"/>
              <w:marRight w:val="0"/>
              <w:marTop w:val="0"/>
              <w:marBottom w:val="0"/>
              <w:divBdr>
                <w:top w:val="none" w:sz="0" w:space="0" w:color="auto"/>
                <w:left w:val="none" w:sz="0" w:space="0" w:color="auto"/>
                <w:bottom w:val="none" w:sz="0" w:space="0" w:color="auto"/>
                <w:right w:val="none" w:sz="0" w:space="0" w:color="auto"/>
              </w:divBdr>
              <w:divsChild>
                <w:div w:id="2049913496">
                  <w:marLeft w:val="0"/>
                  <w:marRight w:val="0"/>
                  <w:marTop w:val="0"/>
                  <w:marBottom w:val="0"/>
                  <w:divBdr>
                    <w:top w:val="none" w:sz="0" w:space="0" w:color="auto"/>
                    <w:left w:val="none" w:sz="0" w:space="0" w:color="auto"/>
                    <w:bottom w:val="none" w:sz="0" w:space="0" w:color="auto"/>
                    <w:right w:val="none" w:sz="0" w:space="0" w:color="auto"/>
                  </w:divBdr>
                  <w:divsChild>
                    <w:div w:id="18495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283965">
      <w:bodyDiv w:val="1"/>
      <w:marLeft w:val="0"/>
      <w:marRight w:val="0"/>
      <w:marTop w:val="0"/>
      <w:marBottom w:val="0"/>
      <w:divBdr>
        <w:top w:val="none" w:sz="0" w:space="0" w:color="auto"/>
        <w:left w:val="none" w:sz="0" w:space="0" w:color="auto"/>
        <w:bottom w:val="none" w:sz="0" w:space="0" w:color="auto"/>
        <w:right w:val="none" w:sz="0" w:space="0" w:color="auto"/>
      </w:divBdr>
      <w:divsChild>
        <w:div w:id="1792625334">
          <w:marLeft w:val="0"/>
          <w:marRight w:val="0"/>
          <w:marTop w:val="0"/>
          <w:marBottom w:val="0"/>
          <w:divBdr>
            <w:top w:val="none" w:sz="0" w:space="0" w:color="auto"/>
            <w:left w:val="none" w:sz="0" w:space="0" w:color="auto"/>
            <w:bottom w:val="none" w:sz="0" w:space="0" w:color="auto"/>
            <w:right w:val="none" w:sz="0" w:space="0" w:color="auto"/>
          </w:divBdr>
          <w:divsChild>
            <w:div w:id="1347556826">
              <w:marLeft w:val="0"/>
              <w:marRight w:val="0"/>
              <w:marTop w:val="0"/>
              <w:marBottom w:val="0"/>
              <w:divBdr>
                <w:top w:val="none" w:sz="0" w:space="0" w:color="auto"/>
                <w:left w:val="none" w:sz="0" w:space="0" w:color="auto"/>
                <w:bottom w:val="none" w:sz="0" w:space="0" w:color="auto"/>
                <w:right w:val="none" w:sz="0" w:space="0" w:color="auto"/>
              </w:divBdr>
              <w:divsChild>
                <w:div w:id="1837988771">
                  <w:marLeft w:val="0"/>
                  <w:marRight w:val="0"/>
                  <w:marTop w:val="0"/>
                  <w:marBottom w:val="0"/>
                  <w:divBdr>
                    <w:top w:val="none" w:sz="0" w:space="0" w:color="auto"/>
                    <w:left w:val="none" w:sz="0" w:space="0" w:color="auto"/>
                    <w:bottom w:val="none" w:sz="0" w:space="0" w:color="auto"/>
                    <w:right w:val="none" w:sz="0" w:space="0" w:color="auto"/>
                  </w:divBdr>
                  <w:divsChild>
                    <w:div w:id="60766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430450">
      <w:bodyDiv w:val="1"/>
      <w:marLeft w:val="0"/>
      <w:marRight w:val="0"/>
      <w:marTop w:val="0"/>
      <w:marBottom w:val="0"/>
      <w:divBdr>
        <w:top w:val="none" w:sz="0" w:space="0" w:color="auto"/>
        <w:left w:val="none" w:sz="0" w:space="0" w:color="auto"/>
        <w:bottom w:val="none" w:sz="0" w:space="0" w:color="auto"/>
        <w:right w:val="none" w:sz="0" w:space="0" w:color="auto"/>
      </w:divBdr>
      <w:divsChild>
        <w:div w:id="1675300096">
          <w:marLeft w:val="0"/>
          <w:marRight w:val="0"/>
          <w:marTop w:val="0"/>
          <w:marBottom w:val="0"/>
          <w:divBdr>
            <w:top w:val="none" w:sz="0" w:space="0" w:color="auto"/>
            <w:left w:val="none" w:sz="0" w:space="0" w:color="auto"/>
            <w:bottom w:val="none" w:sz="0" w:space="0" w:color="auto"/>
            <w:right w:val="none" w:sz="0" w:space="0" w:color="auto"/>
          </w:divBdr>
          <w:divsChild>
            <w:div w:id="984553169">
              <w:marLeft w:val="0"/>
              <w:marRight w:val="0"/>
              <w:marTop w:val="0"/>
              <w:marBottom w:val="0"/>
              <w:divBdr>
                <w:top w:val="none" w:sz="0" w:space="0" w:color="auto"/>
                <w:left w:val="none" w:sz="0" w:space="0" w:color="auto"/>
                <w:bottom w:val="none" w:sz="0" w:space="0" w:color="auto"/>
                <w:right w:val="none" w:sz="0" w:space="0" w:color="auto"/>
              </w:divBdr>
              <w:divsChild>
                <w:div w:id="350110443">
                  <w:marLeft w:val="0"/>
                  <w:marRight w:val="0"/>
                  <w:marTop w:val="0"/>
                  <w:marBottom w:val="0"/>
                  <w:divBdr>
                    <w:top w:val="none" w:sz="0" w:space="0" w:color="auto"/>
                    <w:left w:val="none" w:sz="0" w:space="0" w:color="auto"/>
                    <w:bottom w:val="none" w:sz="0" w:space="0" w:color="auto"/>
                    <w:right w:val="none" w:sz="0" w:space="0" w:color="auto"/>
                  </w:divBdr>
                  <w:divsChild>
                    <w:div w:id="605775856">
                      <w:marLeft w:val="0"/>
                      <w:marRight w:val="0"/>
                      <w:marTop w:val="0"/>
                      <w:marBottom w:val="0"/>
                      <w:divBdr>
                        <w:top w:val="none" w:sz="0" w:space="0" w:color="auto"/>
                        <w:left w:val="none" w:sz="0" w:space="0" w:color="auto"/>
                        <w:bottom w:val="none" w:sz="0" w:space="0" w:color="auto"/>
                        <w:right w:val="none" w:sz="0" w:space="0" w:color="auto"/>
                      </w:divBdr>
                      <w:divsChild>
                        <w:div w:id="1385524506">
                          <w:marLeft w:val="0"/>
                          <w:marRight w:val="0"/>
                          <w:marTop w:val="0"/>
                          <w:marBottom w:val="0"/>
                          <w:divBdr>
                            <w:top w:val="none" w:sz="0" w:space="0" w:color="auto"/>
                            <w:left w:val="none" w:sz="0" w:space="0" w:color="auto"/>
                            <w:bottom w:val="none" w:sz="0" w:space="0" w:color="auto"/>
                            <w:right w:val="none" w:sz="0" w:space="0" w:color="auto"/>
                          </w:divBdr>
                          <w:divsChild>
                            <w:div w:id="766775666">
                              <w:marLeft w:val="0"/>
                              <w:marRight w:val="0"/>
                              <w:marTop w:val="0"/>
                              <w:marBottom w:val="0"/>
                              <w:divBdr>
                                <w:top w:val="none" w:sz="0" w:space="0" w:color="auto"/>
                                <w:left w:val="none" w:sz="0" w:space="0" w:color="auto"/>
                                <w:bottom w:val="none" w:sz="0" w:space="0" w:color="auto"/>
                                <w:right w:val="none" w:sz="0" w:space="0" w:color="auto"/>
                              </w:divBdr>
                              <w:divsChild>
                                <w:div w:id="1150556973">
                                  <w:marLeft w:val="0"/>
                                  <w:marRight w:val="0"/>
                                  <w:marTop w:val="0"/>
                                  <w:marBottom w:val="0"/>
                                  <w:divBdr>
                                    <w:top w:val="none" w:sz="0" w:space="0" w:color="auto"/>
                                    <w:left w:val="none" w:sz="0" w:space="0" w:color="auto"/>
                                    <w:bottom w:val="none" w:sz="0" w:space="0" w:color="auto"/>
                                    <w:right w:val="none" w:sz="0" w:space="0" w:color="auto"/>
                                  </w:divBdr>
                                  <w:divsChild>
                                    <w:div w:id="125351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426434">
                          <w:marLeft w:val="0"/>
                          <w:marRight w:val="0"/>
                          <w:marTop w:val="0"/>
                          <w:marBottom w:val="0"/>
                          <w:divBdr>
                            <w:top w:val="none" w:sz="0" w:space="0" w:color="auto"/>
                            <w:left w:val="none" w:sz="0" w:space="0" w:color="auto"/>
                            <w:bottom w:val="none" w:sz="0" w:space="0" w:color="auto"/>
                            <w:right w:val="none" w:sz="0" w:space="0" w:color="auto"/>
                          </w:divBdr>
                          <w:divsChild>
                            <w:div w:id="2052028880">
                              <w:marLeft w:val="0"/>
                              <w:marRight w:val="0"/>
                              <w:marTop w:val="0"/>
                              <w:marBottom w:val="0"/>
                              <w:divBdr>
                                <w:top w:val="none" w:sz="0" w:space="0" w:color="auto"/>
                                <w:left w:val="none" w:sz="0" w:space="0" w:color="auto"/>
                                <w:bottom w:val="none" w:sz="0" w:space="0" w:color="auto"/>
                                <w:right w:val="none" w:sz="0" w:space="0" w:color="auto"/>
                              </w:divBdr>
                              <w:divsChild>
                                <w:div w:id="294410870">
                                  <w:marLeft w:val="0"/>
                                  <w:marRight w:val="0"/>
                                  <w:marTop w:val="0"/>
                                  <w:marBottom w:val="0"/>
                                  <w:divBdr>
                                    <w:top w:val="none" w:sz="0" w:space="0" w:color="auto"/>
                                    <w:left w:val="none" w:sz="0" w:space="0" w:color="auto"/>
                                    <w:bottom w:val="none" w:sz="0" w:space="0" w:color="auto"/>
                                    <w:right w:val="none" w:sz="0" w:space="0" w:color="auto"/>
                                  </w:divBdr>
                                  <w:divsChild>
                                    <w:div w:id="60457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4591601">
      <w:bodyDiv w:val="1"/>
      <w:marLeft w:val="0"/>
      <w:marRight w:val="0"/>
      <w:marTop w:val="0"/>
      <w:marBottom w:val="0"/>
      <w:divBdr>
        <w:top w:val="none" w:sz="0" w:space="0" w:color="auto"/>
        <w:left w:val="none" w:sz="0" w:space="0" w:color="auto"/>
        <w:bottom w:val="none" w:sz="0" w:space="0" w:color="auto"/>
        <w:right w:val="none" w:sz="0" w:space="0" w:color="auto"/>
      </w:divBdr>
    </w:div>
    <w:div w:id="1164929268">
      <w:bodyDiv w:val="1"/>
      <w:marLeft w:val="0"/>
      <w:marRight w:val="0"/>
      <w:marTop w:val="0"/>
      <w:marBottom w:val="0"/>
      <w:divBdr>
        <w:top w:val="none" w:sz="0" w:space="0" w:color="auto"/>
        <w:left w:val="none" w:sz="0" w:space="0" w:color="auto"/>
        <w:bottom w:val="none" w:sz="0" w:space="0" w:color="auto"/>
        <w:right w:val="none" w:sz="0" w:space="0" w:color="auto"/>
      </w:divBdr>
      <w:divsChild>
        <w:div w:id="1463812483">
          <w:marLeft w:val="0"/>
          <w:marRight w:val="0"/>
          <w:marTop w:val="0"/>
          <w:marBottom w:val="0"/>
          <w:divBdr>
            <w:top w:val="none" w:sz="0" w:space="0" w:color="auto"/>
            <w:left w:val="none" w:sz="0" w:space="0" w:color="auto"/>
            <w:bottom w:val="none" w:sz="0" w:space="0" w:color="auto"/>
            <w:right w:val="none" w:sz="0" w:space="0" w:color="auto"/>
          </w:divBdr>
        </w:div>
      </w:divsChild>
    </w:div>
    <w:div w:id="1190413618">
      <w:bodyDiv w:val="1"/>
      <w:marLeft w:val="0"/>
      <w:marRight w:val="0"/>
      <w:marTop w:val="0"/>
      <w:marBottom w:val="0"/>
      <w:divBdr>
        <w:top w:val="none" w:sz="0" w:space="0" w:color="auto"/>
        <w:left w:val="none" w:sz="0" w:space="0" w:color="auto"/>
        <w:bottom w:val="none" w:sz="0" w:space="0" w:color="auto"/>
        <w:right w:val="none" w:sz="0" w:space="0" w:color="auto"/>
      </w:divBdr>
    </w:div>
    <w:div w:id="1192911057">
      <w:bodyDiv w:val="1"/>
      <w:marLeft w:val="0"/>
      <w:marRight w:val="0"/>
      <w:marTop w:val="0"/>
      <w:marBottom w:val="0"/>
      <w:divBdr>
        <w:top w:val="none" w:sz="0" w:space="0" w:color="auto"/>
        <w:left w:val="none" w:sz="0" w:space="0" w:color="auto"/>
        <w:bottom w:val="none" w:sz="0" w:space="0" w:color="auto"/>
        <w:right w:val="none" w:sz="0" w:space="0" w:color="auto"/>
      </w:divBdr>
    </w:div>
    <w:div w:id="1200508968">
      <w:bodyDiv w:val="1"/>
      <w:marLeft w:val="0"/>
      <w:marRight w:val="0"/>
      <w:marTop w:val="0"/>
      <w:marBottom w:val="0"/>
      <w:divBdr>
        <w:top w:val="none" w:sz="0" w:space="0" w:color="auto"/>
        <w:left w:val="none" w:sz="0" w:space="0" w:color="auto"/>
        <w:bottom w:val="none" w:sz="0" w:space="0" w:color="auto"/>
        <w:right w:val="none" w:sz="0" w:space="0" w:color="auto"/>
      </w:divBdr>
    </w:div>
    <w:div w:id="1201286416">
      <w:bodyDiv w:val="1"/>
      <w:marLeft w:val="0"/>
      <w:marRight w:val="0"/>
      <w:marTop w:val="0"/>
      <w:marBottom w:val="0"/>
      <w:divBdr>
        <w:top w:val="none" w:sz="0" w:space="0" w:color="auto"/>
        <w:left w:val="none" w:sz="0" w:space="0" w:color="auto"/>
        <w:bottom w:val="none" w:sz="0" w:space="0" w:color="auto"/>
        <w:right w:val="none" w:sz="0" w:space="0" w:color="auto"/>
      </w:divBdr>
      <w:divsChild>
        <w:div w:id="1979720651">
          <w:marLeft w:val="0"/>
          <w:marRight w:val="0"/>
          <w:marTop w:val="0"/>
          <w:marBottom w:val="0"/>
          <w:divBdr>
            <w:top w:val="none" w:sz="0" w:space="0" w:color="auto"/>
            <w:left w:val="none" w:sz="0" w:space="0" w:color="auto"/>
            <w:bottom w:val="none" w:sz="0" w:space="0" w:color="auto"/>
            <w:right w:val="none" w:sz="0" w:space="0" w:color="auto"/>
          </w:divBdr>
          <w:divsChild>
            <w:div w:id="436025708">
              <w:marLeft w:val="0"/>
              <w:marRight w:val="0"/>
              <w:marTop w:val="0"/>
              <w:marBottom w:val="0"/>
              <w:divBdr>
                <w:top w:val="none" w:sz="0" w:space="0" w:color="auto"/>
                <w:left w:val="none" w:sz="0" w:space="0" w:color="auto"/>
                <w:bottom w:val="none" w:sz="0" w:space="0" w:color="auto"/>
                <w:right w:val="none" w:sz="0" w:space="0" w:color="auto"/>
              </w:divBdr>
              <w:divsChild>
                <w:div w:id="128937038">
                  <w:marLeft w:val="0"/>
                  <w:marRight w:val="0"/>
                  <w:marTop w:val="0"/>
                  <w:marBottom w:val="0"/>
                  <w:divBdr>
                    <w:top w:val="none" w:sz="0" w:space="0" w:color="auto"/>
                    <w:left w:val="none" w:sz="0" w:space="0" w:color="auto"/>
                    <w:bottom w:val="none" w:sz="0" w:space="0" w:color="auto"/>
                    <w:right w:val="none" w:sz="0" w:space="0" w:color="auto"/>
                  </w:divBdr>
                  <w:divsChild>
                    <w:div w:id="30455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038557">
      <w:bodyDiv w:val="1"/>
      <w:marLeft w:val="0"/>
      <w:marRight w:val="0"/>
      <w:marTop w:val="0"/>
      <w:marBottom w:val="0"/>
      <w:divBdr>
        <w:top w:val="none" w:sz="0" w:space="0" w:color="auto"/>
        <w:left w:val="none" w:sz="0" w:space="0" w:color="auto"/>
        <w:bottom w:val="none" w:sz="0" w:space="0" w:color="auto"/>
        <w:right w:val="none" w:sz="0" w:space="0" w:color="auto"/>
      </w:divBdr>
    </w:div>
    <w:div w:id="1217862501">
      <w:bodyDiv w:val="1"/>
      <w:marLeft w:val="0"/>
      <w:marRight w:val="0"/>
      <w:marTop w:val="0"/>
      <w:marBottom w:val="0"/>
      <w:divBdr>
        <w:top w:val="none" w:sz="0" w:space="0" w:color="auto"/>
        <w:left w:val="none" w:sz="0" w:space="0" w:color="auto"/>
        <w:bottom w:val="none" w:sz="0" w:space="0" w:color="auto"/>
        <w:right w:val="none" w:sz="0" w:space="0" w:color="auto"/>
      </w:divBdr>
      <w:divsChild>
        <w:div w:id="1310012668">
          <w:marLeft w:val="0"/>
          <w:marRight w:val="0"/>
          <w:marTop w:val="0"/>
          <w:marBottom w:val="0"/>
          <w:divBdr>
            <w:top w:val="none" w:sz="0" w:space="0" w:color="auto"/>
            <w:left w:val="none" w:sz="0" w:space="0" w:color="auto"/>
            <w:bottom w:val="none" w:sz="0" w:space="0" w:color="auto"/>
            <w:right w:val="none" w:sz="0" w:space="0" w:color="auto"/>
          </w:divBdr>
          <w:divsChild>
            <w:div w:id="463620150">
              <w:marLeft w:val="0"/>
              <w:marRight w:val="0"/>
              <w:marTop w:val="0"/>
              <w:marBottom w:val="0"/>
              <w:divBdr>
                <w:top w:val="none" w:sz="0" w:space="0" w:color="auto"/>
                <w:left w:val="none" w:sz="0" w:space="0" w:color="auto"/>
                <w:bottom w:val="none" w:sz="0" w:space="0" w:color="auto"/>
                <w:right w:val="none" w:sz="0" w:space="0" w:color="auto"/>
              </w:divBdr>
              <w:divsChild>
                <w:div w:id="521094323">
                  <w:marLeft w:val="0"/>
                  <w:marRight w:val="0"/>
                  <w:marTop w:val="0"/>
                  <w:marBottom w:val="0"/>
                  <w:divBdr>
                    <w:top w:val="none" w:sz="0" w:space="0" w:color="auto"/>
                    <w:left w:val="none" w:sz="0" w:space="0" w:color="auto"/>
                    <w:bottom w:val="none" w:sz="0" w:space="0" w:color="auto"/>
                    <w:right w:val="none" w:sz="0" w:space="0" w:color="auto"/>
                  </w:divBdr>
                  <w:divsChild>
                    <w:div w:id="506676440">
                      <w:marLeft w:val="0"/>
                      <w:marRight w:val="0"/>
                      <w:marTop w:val="0"/>
                      <w:marBottom w:val="0"/>
                      <w:divBdr>
                        <w:top w:val="none" w:sz="0" w:space="0" w:color="auto"/>
                        <w:left w:val="none" w:sz="0" w:space="0" w:color="auto"/>
                        <w:bottom w:val="none" w:sz="0" w:space="0" w:color="auto"/>
                        <w:right w:val="none" w:sz="0" w:space="0" w:color="auto"/>
                      </w:divBdr>
                      <w:divsChild>
                        <w:div w:id="711615769">
                          <w:marLeft w:val="0"/>
                          <w:marRight w:val="0"/>
                          <w:marTop w:val="0"/>
                          <w:marBottom w:val="0"/>
                          <w:divBdr>
                            <w:top w:val="none" w:sz="0" w:space="0" w:color="auto"/>
                            <w:left w:val="none" w:sz="0" w:space="0" w:color="auto"/>
                            <w:bottom w:val="none" w:sz="0" w:space="0" w:color="auto"/>
                            <w:right w:val="none" w:sz="0" w:space="0" w:color="auto"/>
                          </w:divBdr>
                          <w:divsChild>
                            <w:div w:id="51342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361752">
                  <w:marLeft w:val="0"/>
                  <w:marRight w:val="0"/>
                  <w:marTop w:val="0"/>
                  <w:marBottom w:val="0"/>
                  <w:divBdr>
                    <w:top w:val="none" w:sz="0" w:space="0" w:color="auto"/>
                    <w:left w:val="none" w:sz="0" w:space="0" w:color="auto"/>
                    <w:bottom w:val="none" w:sz="0" w:space="0" w:color="auto"/>
                    <w:right w:val="none" w:sz="0" w:space="0" w:color="auto"/>
                  </w:divBdr>
                  <w:divsChild>
                    <w:div w:id="72222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787925">
      <w:bodyDiv w:val="1"/>
      <w:marLeft w:val="0"/>
      <w:marRight w:val="0"/>
      <w:marTop w:val="0"/>
      <w:marBottom w:val="0"/>
      <w:divBdr>
        <w:top w:val="none" w:sz="0" w:space="0" w:color="auto"/>
        <w:left w:val="none" w:sz="0" w:space="0" w:color="auto"/>
        <w:bottom w:val="none" w:sz="0" w:space="0" w:color="auto"/>
        <w:right w:val="none" w:sz="0" w:space="0" w:color="auto"/>
      </w:divBdr>
      <w:divsChild>
        <w:div w:id="616911549">
          <w:marLeft w:val="0"/>
          <w:marRight w:val="0"/>
          <w:marTop w:val="0"/>
          <w:marBottom w:val="0"/>
          <w:divBdr>
            <w:top w:val="none" w:sz="0" w:space="0" w:color="auto"/>
            <w:left w:val="none" w:sz="0" w:space="0" w:color="auto"/>
            <w:bottom w:val="none" w:sz="0" w:space="0" w:color="auto"/>
            <w:right w:val="none" w:sz="0" w:space="0" w:color="auto"/>
          </w:divBdr>
          <w:divsChild>
            <w:div w:id="1474566810">
              <w:marLeft w:val="0"/>
              <w:marRight w:val="0"/>
              <w:marTop w:val="0"/>
              <w:marBottom w:val="0"/>
              <w:divBdr>
                <w:top w:val="none" w:sz="0" w:space="0" w:color="auto"/>
                <w:left w:val="none" w:sz="0" w:space="0" w:color="auto"/>
                <w:bottom w:val="none" w:sz="0" w:space="0" w:color="auto"/>
                <w:right w:val="none" w:sz="0" w:space="0" w:color="auto"/>
              </w:divBdr>
              <w:divsChild>
                <w:div w:id="361979616">
                  <w:marLeft w:val="0"/>
                  <w:marRight w:val="0"/>
                  <w:marTop w:val="0"/>
                  <w:marBottom w:val="0"/>
                  <w:divBdr>
                    <w:top w:val="none" w:sz="0" w:space="0" w:color="auto"/>
                    <w:left w:val="none" w:sz="0" w:space="0" w:color="auto"/>
                    <w:bottom w:val="none" w:sz="0" w:space="0" w:color="auto"/>
                    <w:right w:val="none" w:sz="0" w:space="0" w:color="auto"/>
                  </w:divBdr>
                  <w:divsChild>
                    <w:div w:id="142411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012475">
      <w:bodyDiv w:val="1"/>
      <w:marLeft w:val="0"/>
      <w:marRight w:val="0"/>
      <w:marTop w:val="0"/>
      <w:marBottom w:val="0"/>
      <w:divBdr>
        <w:top w:val="none" w:sz="0" w:space="0" w:color="auto"/>
        <w:left w:val="none" w:sz="0" w:space="0" w:color="auto"/>
        <w:bottom w:val="none" w:sz="0" w:space="0" w:color="auto"/>
        <w:right w:val="none" w:sz="0" w:space="0" w:color="auto"/>
      </w:divBdr>
      <w:divsChild>
        <w:div w:id="933634653">
          <w:marLeft w:val="0"/>
          <w:marRight w:val="0"/>
          <w:marTop w:val="0"/>
          <w:marBottom w:val="0"/>
          <w:divBdr>
            <w:top w:val="none" w:sz="0" w:space="0" w:color="auto"/>
            <w:left w:val="none" w:sz="0" w:space="0" w:color="auto"/>
            <w:bottom w:val="none" w:sz="0" w:space="0" w:color="auto"/>
            <w:right w:val="none" w:sz="0" w:space="0" w:color="auto"/>
          </w:divBdr>
          <w:divsChild>
            <w:div w:id="1205747978">
              <w:marLeft w:val="0"/>
              <w:marRight w:val="0"/>
              <w:marTop w:val="0"/>
              <w:marBottom w:val="0"/>
              <w:divBdr>
                <w:top w:val="none" w:sz="0" w:space="0" w:color="auto"/>
                <w:left w:val="none" w:sz="0" w:space="0" w:color="auto"/>
                <w:bottom w:val="none" w:sz="0" w:space="0" w:color="auto"/>
                <w:right w:val="none" w:sz="0" w:space="0" w:color="auto"/>
              </w:divBdr>
              <w:divsChild>
                <w:div w:id="1042166856">
                  <w:marLeft w:val="0"/>
                  <w:marRight w:val="0"/>
                  <w:marTop w:val="0"/>
                  <w:marBottom w:val="0"/>
                  <w:divBdr>
                    <w:top w:val="none" w:sz="0" w:space="0" w:color="auto"/>
                    <w:left w:val="none" w:sz="0" w:space="0" w:color="auto"/>
                    <w:bottom w:val="none" w:sz="0" w:space="0" w:color="auto"/>
                    <w:right w:val="none" w:sz="0" w:space="0" w:color="auto"/>
                  </w:divBdr>
                  <w:divsChild>
                    <w:div w:id="542179760">
                      <w:marLeft w:val="0"/>
                      <w:marRight w:val="0"/>
                      <w:marTop w:val="0"/>
                      <w:marBottom w:val="0"/>
                      <w:divBdr>
                        <w:top w:val="none" w:sz="0" w:space="0" w:color="auto"/>
                        <w:left w:val="none" w:sz="0" w:space="0" w:color="auto"/>
                        <w:bottom w:val="none" w:sz="0" w:space="0" w:color="auto"/>
                        <w:right w:val="none" w:sz="0" w:space="0" w:color="auto"/>
                      </w:divBdr>
                      <w:divsChild>
                        <w:div w:id="1006834006">
                          <w:marLeft w:val="0"/>
                          <w:marRight w:val="0"/>
                          <w:marTop w:val="0"/>
                          <w:marBottom w:val="0"/>
                          <w:divBdr>
                            <w:top w:val="none" w:sz="0" w:space="0" w:color="auto"/>
                            <w:left w:val="none" w:sz="0" w:space="0" w:color="auto"/>
                            <w:bottom w:val="none" w:sz="0" w:space="0" w:color="auto"/>
                            <w:right w:val="none" w:sz="0" w:space="0" w:color="auto"/>
                          </w:divBdr>
                          <w:divsChild>
                            <w:div w:id="2048721855">
                              <w:marLeft w:val="0"/>
                              <w:marRight w:val="0"/>
                              <w:marTop w:val="0"/>
                              <w:marBottom w:val="0"/>
                              <w:divBdr>
                                <w:top w:val="none" w:sz="0" w:space="0" w:color="auto"/>
                                <w:left w:val="none" w:sz="0" w:space="0" w:color="auto"/>
                                <w:bottom w:val="none" w:sz="0" w:space="0" w:color="auto"/>
                                <w:right w:val="none" w:sz="0" w:space="0" w:color="auto"/>
                              </w:divBdr>
                              <w:divsChild>
                                <w:div w:id="1257519972">
                                  <w:marLeft w:val="0"/>
                                  <w:marRight w:val="0"/>
                                  <w:marTop w:val="0"/>
                                  <w:marBottom w:val="0"/>
                                  <w:divBdr>
                                    <w:top w:val="none" w:sz="0" w:space="0" w:color="auto"/>
                                    <w:left w:val="none" w:sz="0" w:space="0" w:color="auto"/>
                                    <w:bottom w:val="none" w:sz="0" w:space="0" w:color="auto"/>
                                    <w:right w:val="none" w:sz="0" w:space="0" w:color="auto"/>
                                  </w:divBdr>
                                  <w:divsChild>
                                    <w:div w:id="20971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1624964">
      <w:bodyDiv w:val="1"/>
      <w:marLeft w:val="0"/>
      <w:marRight w:val="0"/>
      <w:marTop w:val="0"/>
      <w:marBottom w:val="0"/>
      <w:divBdr>
        <w:top w:val="none" w:sz="0" w:space="0" w:color="auto"/>
        <w:left w:val="none" w:sz="0" w:space="0" w:color="auto"/>
        <w:bottom w:val="none" w:sz="0" w:space="0" w:color="auto"/>
        <w:right w:val="none" w:sz="0" w:space="0" w:color="auto"/>
      </w:divBdr>
      <w:divsChild>
        <w:div w:id="2099599715">
          <w:marLeft w:val="0"/>
          <w:marRight w:val="0"/>
          <w:marTop w:val="0"/>
          <w:marBottom w:val="0"/>
          <w:divBdr>
            <w:top w:val="none" w:sz="0" w:space="0" w:color="auto"/>
            <w:left w:val="none" w:sz="0" w:space="0" w:color="auto"/>
            <w:bottom w:val="none" w:sz="0" w:space="0" w:color="auto"/>
            <w:right w:val="none" w:sz="0" w:space="0" w:color="auto"/>
          </w:divBdr>
          <w:divsChild>
            <w:div w:id="469172267">
              <w:marLeft w:val="0"/>
              <w:marRight w:val="0"/>
              <w:marTop w:val="0"/>
              <w:marBottom w:val="0"/>
              <w:divBdr>
                <w:top w:val="none" w:sz="0" w:space="0" w:color="auto"/>
                <w:left w:val="none" w:sz="0" w:space="0" w:color="auto"/>
                <w:bottom w:val="none" w:sz="0" w:space="0" w:color="auto"/>
                <w:right w:val="none" w:sz="0" w:space="0" w:color="auto"/>
              </w:divBdr>
              <w:divsChild>
                <w:div w:id="249386668">
                  <w:marLeft w:val="0"/>
                  <w:marRight w:val="0"/>
                  <w:marTop w:val="0"/>
                  <w:marBottom w:val="0"/>
                  <w:divBdr>
                    <w:top w:val="none" w:sz="0" w:space="0" w:color="auto"/>
                    <w:left w:val="none" w:sz="0" w:space="0" w:color="auto"/>
                    <w:bottom w:val="none" w:sz="0" w:space="0" w:color="auto"/>
                    <w:right w:val="none" w:sz="0" w:space="0" w:color="auto"/>
                  </w:divBdr>
                  <w:divsChild>
                    <w:div w:id="1439712491">
                      <w:marLeft w:val="0"/>
                      <w:marRight w:val="0"/>
                      <w:marTop w:val="0"/>
                      <w:marBottom w:val="0"/>
                      <w:divBdr>
                        <w:top w:val="none" w:sz="0" w:space="0" w:color="auto"/>
                        <w:left w:val="none" w:sz="0" w:space="0" w:color="auto"/>
                        <w:bottom w:val="none" w:sz="0" w:space="0" w:color="auto"/>
                        <w:right w:val="none" w:sz="0" w:space="0" w:color="auto"/>
                      </w:divBdr>
                      <w:divsChild>
                        <w:div w:id="1480999092">
                          <w:marLeft w:val="0"/>
                          <w:marRight w:val="0"/>
                          <w:marTop w:val="0"/>
                          <w:marBottom w:val="0"/>
                          <w:divBdr>
                            <w:top w:val="none" w:sz="0" w:space="0" w:color="auto"/>
                            <w:left w:val="none" w:sz="0" w:space="0" w:color="auto"/>
                            <w:bottom w:val="none" w:sz="0" w:space="0" w:color="auto"/>
                            <w:right w:val="none" w:sz="0" w:space="0" w:color="auto"/>
                          </w:divBdr>
                          <w:divsChild>
                            <w:div w:id="1214854226">
                              <w:marLeft w:val="0"/>
                              <w:marRight w:val="0"/>
                              <w:marTop w:val="0"/>
                              <w:marBottom w:val="0"/>
                              <w:divBdr>
                                <w:top w:val="none" w:sz="0" w:space="0" w:color="auto"/>
                                <w:left w:val="none" w:sz="0" w:space="0" w:color="auto"/>
                                <w:bottom w:val="none" w:sz="0" w:space="0" w:color="auto"/>
                                <w:right w:val="none" w:sz="0" w:space="0" w:color="auto"/>
                              </w:divBdr>
                              <w:divsChild>
                                <w:div w:id="890575602">
                                  <w:marLeft w:val="0"/>
                                  <w:marRight w:val="0"/>
                                  <w:marTop w:val="0"/>
                                  <w:marBottom w:val="0"/>
                                  <w:divBdr>
                                    <w:top w:val="none" w:sz="0" w:space="0" w:color="auto"/>
                                    <w:left w:val="none" w:sz="0" w:space="0" w:color="auto"/>
                                    <w:bottom w:val="none" w:sz="0" w:space="0" w:color="auto"/>
                                    <w:right w:val="none" w:sz="0" w:space="0" w:color="auto"/>
                                  </w:divBdr>
                                  <w:divsChild>
                                    <w:div w:id="72896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045751">
      <w:bodyDiv w:val="1"/>
      <w:marLeft w:val="0"/>
      <w:marRight w:val="0"/>
      <w:marTop w:val="0"/>
      <w:marBottom w:val="0"/>
      <w:divBdr>
        <w:top w:val="none" w:sz="0" w:space="0" w:color="auto"/>
        <w:left w:val="none" w:sz="0" w:space="0" w:color="auto"/>
        <w:bottom w:val="none" w:sz="0" w:space="0" w:color="auto"/>
        <w:right w:val="none" w:sz="0" w:space="0" w:color="auto"/>
      </w:divBdr>
      <w:divsChild>
        <w:div w:id="1278608723">
          <w:marLeft w:val="0"/>
          <w:marRight w:val="0"/>
          <w:marTop w:val="0"/>
          <w:marBottom w:val="0"/>
          <w:divBdr>
            <w:top w:val="none" w:sz="0" w:space="0" w:color="auto"/>
            <w:left w:val="none" w:sz="0" w:space="0" w:color="auto"/>
            <w:bottom w:val="none" w:sz="0" w:space="0" w:color="auto"/>
            <w:right w:val="none" w:sz="0" w:space="0" w:color="auto"/>
          </w:divBdr>
          <w:divsChild>
            <w:div w:id="219484250">
              <w:marLeft w:val="0"/>
              <w:marRight w:val="0"/>
              <w:marTop w:val="0"/>
              <w:marBottom w:val="0"/>
              <w:divBdr>
                <w:top w:val="none" w:sz="0" w:space="0" w:color="auto"/>
                <w:left w:val="none" w:sz="0" w:space="0" w:color="auto"/>
                <w:bottom w:val="none" w:sz="0" w:space="0" w:color="auto"/>
                <w:right w:val="none" w:sz="0" w:space="0" w:color="auto"/>
              </w:divBdr>
              <w:divsChild>
                <w:div w:id="843711612">
                  <w:marLeft w:val="0"/>
                  <w:marRight w:val="0"/>
                  <w:marTop w:val="0"/>
                  <w:marBottom w:val="0"/>
                  <w:divBdr>
                    <w:top w:val="none" w:sz="0" w:space="0" w:color="auto"/>
                    <w:left w:val="none" w:sz="0" w:space="0" w:color="auto"/>
                    <w:bottom w:val="none" w:sz="0" w:space="0" w:color="auto"/>
                    <w:right w:val="none" w:sz="0" w:space="0" w:color="auto"/>
                  </w:divBdr>
                  <w:divsChild>
                    <w:div w:id="137130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130142">
      <w:bodyDiv w:val="1"/>
      <w:marLeft w:val="0"/>
      <w:marRight w:val="0"/>
      <w:marTop w:val="0"/>
      <w:marBottom w:val="0"/>
      <w:divBdr>
        <w:top w:val="none" w:sz="0" w:space="0" w:color="auto"/>
        <w:left w:val="none" w:sz="0" w:space="0" w:color="auto"/>
        <w:bottom w:val="none" w:sz="0" w:space="0" w:color="auto"/>
        <w:right w:val="none" w:sz="0" w:space="0" w:color="auto"/>
      </w:divBdr>
      <w:divsChild>
        <w:div w:id="1012534955">
          <w:marLeft w:val="0"/>
          <w:marRight w:val="0"/>
          <w:marTop w:val="0"/>
          <w:marBottom w:val="0"/>
          <w:divBdr>
            <w:top w:val="none" w:sz="0" w:space="0" w:color="auto"/>
            <w:left w:val="none" w:sz="0" w:space="0" w:color="auto"/>
            <w:bottom w:val="none" w:sz="0" w:space="0" w:color="auto"/>
            <w:right w:val="none" w:sz="0" w:space="0" w:color="auto"/>
          </w:divBdr>
          <w:divsChild>
            <w:div w:id="446394140">
              <w:marLeft w:val="0"/>
              <w:marRight w:val="0"/>
              <w:marTop w:val="0"/>
              <w:marBottom w:val="0"/>
              <w:divBdr>
                <w:top w:val="none" w:sz="0" w:space="0" w:color="auto"/>
                <w:left w:val="none" w:sz="0" w:space="0" w:color="auto"/>
                <w:bottom w:val="none" w:sz="0" w:space="0" w:color="auto"/>
                <w:right w:val="none" w:sz="0" w:space="0" w:color="auto"/>
              </w:divBdr>
              <w:divsChild>
                <w:div w:id="485361462">
                  <w:marLeft w:val="0"/>
                  <w:marRight w:val="0"/>
                  <w:marTop w:val="0"/>
                  <w:marBottom w:val="0"/>
                  <w:divBdr>
                    <w:top w:val="none" w:sz="0" w:space="0" w:color="auto"/>
                    <w:left w:val="none" w:sz="0" w:space="0" w:color="auto"/>
                    <w:bottom w:val="none" w:sz="0" w:space="0" w:color="auto"/>
                    <w:right w:val="none" w:sz="0" w:space="0" w:color="auto"/>
                  </w:divBdr>
                  <w:divsChild>
                    <w:div w:id="121099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950752">
      <w:bodyDiv w:val="1"/>
      <w:marLeft w:val="0"/>
      <w:marRight w:val="0"/>
      <w:marTop w:val="0"/>
      <w:marBottom w:val="0"/>
      <w:divBdr>
        <w:top w:val="none" w:sz="0" w:space="0" w:color="auto"/>
        <w:left w:val="none" w:sz="0" w:space="0" w:color="auto"/>
        <w:bottom w:val="none" w:sz="0" w:space="0" w:color="auto"/>
        <w:right w:val="none" w:sz="0" w:space="0" w:color="auto"/>
      </w:divBdr>
      <w:divsChild>
        <w:div w:id="1787581251">
          <w:marLeft w:val="0"/>
          <w:marRight w:val="0"/>
          <w:marTop w:val="0"/>
          <w:marBottom w:val="0"/>
          <w:divBdr>
            <w:top w:val="none" w:sz="0" w:space="0" w:color="auto"/>
            <w:left w:val="none" w:sz="0" w:space="0" w:color="auto"/>
            <w:bottom w:val="none" w:sz="0" w:space="0" w:color="auto"/>
            <w:right w:val="none" w:sz="0" w:space="0" w:color="auto"/>
          </w:divBdr>
          <w:divsChild>
            <w:div w:id="2030139386">
              <w:marLeft w:val="0"/>
              <w:marRight w:val="0"/>
              <w:marTop w:val="0"/>
              <w:marBottom w:val="0"/>
              <w:divBdr>
                <w:top w:val="none" w:sz="0" w:space="0" w:color="auto"/>
                <w:left w:val="none" w:sz="0" w:space="0" w:color="auto"/>
                <w:bottom w:val="none" w:sz="0" w:space="0" w:color="auto"/>
                <w:right w:val="none" w:sz="0" w:space="0" w:color="auto"/>
              </w:divBdr>
              <w:divsChild>
                <w:div w:id="1249463788">
                  <w:marLeft w:val="0"/>
                  <w:marRight w:val="0"/>
                  <w:marTop w:val="0"/>
                  <w:marBottom w:val="0"/>
                  <w:divBdr>
                    <w:top w:val="none" w:sz="0" w:space="0" w:color="auto"/>
                    <w:left w:val="none" w:sz="0" w:space="0" w:color="auto"/>
                    <w:bottom w:val="none" w:sz="0" w:space="0" w:color="auto"/>
                    <w:right w:val="none" w:sz="0" w:space="0" w:color="auto"/>
                  </w:divBdr>
                  <w:divsChild>
                    <w:div w:id="72726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031232">
      <w:bodyDiv w:val="1"/>
      <w:marLeft w:val="0"/>
      <w:marRight w:val="0"/>
      <w:marTop w:val="0"/>
      <w:marBottom w:val="0"/>
      <w:divBdr>
        <w:top w:val="none" w:sz="0" w:space="0" w:color="auto"/>
        <w:left w:val="none" w:sz="0" w:space="0" w:color="auto"/>
        <w:bottom w:val="none" w:sz="0" w:space="0" w:color="auto"/>
        <w:right w:val="none" w:sz="0" w:space="0" w:color="auto"/>
      </w:divBdr>
      <w:divsChild>
        <w:div w:id="492063121">
          <w:marLeft w:val="0"/>
          <w:marRight w:val="0"/>
          <w:marTop w:val="0"/>
          <w:marBottom w:val="0"/>
          <w:divBdr>
            <w:top w:val="none" w:sz="0" w:space="0" w:color="auto"/>
            <w:left w:val="none" w:sz="0" w:space="0" w:color="auto"/>
            <w:bottom w:val="none" w:sz="0" w:space="0" w:color="auto"/>
            <w:right w:val="none" w:sz="0" w:space="0" w:color="auto"/>
          </w:divBdr>
          <w:divsChild>
            <w:div w:id="1071195289">
              <w:marLeft w:val="0"/>
              <w:marRight w:val="0"/>
              <w:marTop w:val="0"/>
              <w:marBottom w:val="0"/>
              <w:divBdr>
                <w:top w:val="none" w:sz="0" w:space="0" w:color="auto"/>
                <w:left w:val="none" w:sz="0" w:space="0" w:color="auto"/>
                <w:bottom w:val="none" w:sz="0" w:space="0" w:color="auto"/>
                <w:right w:val="none" w:sz="0" w:space="0" w:color="auto"/>
              </w:divBdr>
              <w:divsChild>
                <w:div w:id="1457867176">
                  <w:marLeft w:val="0"/>
                  <w:marRight w:val="0"/>
                  <w:marTop w:val="0"/>
                  <w:marBottom w:val="0"/>
                  <w:divBdr>
                    <w:top w:val="none" w:sz="0" w:space="0" w:color="auto"/>
                    <w:left w:val="none" w:sz="0" w:space="0" w:color="auto"/>
                    <w:bottom w:val="none" w:sz="0" w:space="0" w:color="auto"/>
                    <w:right w:val="none" w:sz="0" w:space="0" w:color="auto"/>
                  </w:divBdr>
                  <w:divsChild>
                    <w:div w:id="136335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806350">
      <w:bodyDiv w:val="1"/>
      <w:marLeft w:val="0"/>
      <w:marRight w:val="0"/>
      <w:marTop w:val="0"/>
      <w:marBottom w:val="0"/>
      <w:divBdr>
        <w:top w:val="none" w:sz="0" w:space="0" w:color="auto"/>
        <w:left w:val="none" w:sz="0" w:space="0" w:color="auto"/>
        <w:bottom w:val="none" w:sz="0" w:space="0" w:color="auto"/>
        <w:right w:val="none" w:sz="0" w:space="0" w:color="auto"/>
      </w:divBdr>
      <w:divsChild>
        <w:div w:id="300039995">
          <w:marLeft w:val="0"/>
          <w:marRight w:val="0"/>
          <w:marTop w:val="0"/>
          <w:marBottom w:val="0"/>
          <w:divBdr>
            <w:top w:val="none" w:sz="0" w:space="0" w:color="auto"/>
            <w:left w:val="none" w:sz="0" w:space="0" w:color="auto"/>
            <w:bottom w:val="none" w:sz="0" w:space="0" w:color="auto"/>
            <w:right w:val="none" w:sz="0" w:space="0" w:color="auto"/>
          </w:divBdr>
          <w:divsChild>
            <w:div w:id="82385932">
              <w:marLeft w:val="0"/>
              <w:marRight w:val="0"/>
              <w:marTop w:val="0"/>
              <w:marBottom w:val="0"/>
              <w:divBdr>
                <w:top w:val="none" w:sz="0" w:space="0" w:color="auto"/>
                <w:left w:val="none" w:sz="0" w:space="0" w:color="auto"/>
                <w:bottom w:val="none" w:sz="0" w:space="0" w:color="auto"/>
                <w:right w:val="none" w:sz="0" w:space="0" w:color="auto"/>
              </w:divBdr>
              <w:divsChild>
                <w:div w:id="1183671523">
                  <w:marLeft w:val="0"/>
                  <w:marRight w:val="0"/>
                  <w:marTop w:val="0"/>
                  <w:marBottom w:val="0"/>
                  <w:divBdr>
                    <w:top w:val="none" w:sz="0" w:space="0" w:color="auto"/>
                    <w:left w:val="none" w:sz="0" w:space="0" w:color="auto"/>
                    <w:bottom w:val="none" w:sz="0" w:space="0" w:color="auto"/>
                    <w:right w:val="none" w:sz="0" w:space="0" w:color="auto"/>
                  </w:divBdr>
                  <w:divsChild>
                    <w:div w:id="1757096828">
                      <w:marLeft w:val="0"/>
                      <w:marRight w:val="0"/>
                      <w:marTop w:val="0"/>
                      <w:marBottom w:val="0"/>
                      <w:divBdr>
                        <w:top w:val="none" w:sz="0" w:space="0" w:color="auto"/>
                        <w:left w:val="none" w:sz="0" w:space="0" w:color="auto"/>
                        <w:bottom w:val="none" w:sz="0" w:space="0" w:color="auto"/>
                        <w:right w:val="none" w:sz="0" w:space="0" w:color="auto"/>
                      </w:divBdr>
                      <w:divsChild>
                        <w:div w:id="1590505308">
                          <w:marLeft w:val="0"/>
                          <w:marRight w:val="0"/>
                          <w:marTop w:val="0"/>
                          <w:marBottom w:val="0"/>
                          <w:divBdr>
                            <w:top w:val="none" w:sz="0" w:space="0" w:color="auto"/>
                            <w:left w:val="none" w:sz="0" w:space="0" w:color="auto"/>
                            <w:bottom w:val="none" w:sz="0" w:space="0" w:color="auto"/>
                            <w:right w:val="none" w:sz="0" w:space="0" w:color="auto"/>
                          </w:divBdr>
                          <w:divsChild>
                            <w:div w:id="506679547">
                              <w:marLeft w:val="0"/>
                              <w:marRight w:val="0"/>
                              <w:marTop w:val="0"/>
                              <w:marBottom w:val="0"/>
                              <w:divBdr>
                                <w:top w:val="none" w:sz="0" w:space="0" w:color="auto"/>
                                <w:left w:val="none" w:sz="0" w:space="0" w:color="auto"/>
                                <w:bottom w:val="none" w:sz="0" w:space="0" w:color="auto"/>
                                <w:right w:val="none" w:sz="0" w:space="0" w:color="auto"/>
                              </w:divBdr>
                              <w:divsChild>
                                <w:div w:id="1139802950">
                                  <w:marLeft w:val="0"/>
                                  <w:marRight w:val="0"/>
                                  <w:marTop w:val="0"/>
                                  <w:marBottom w:val="0"/>
                                  <w:divBdr>
                                    <w:top w:val="none" w:sz="0" w:space="0" w:color="auto"/>
                                    <w:left w:val="none" w:sz="0" w:space="0" w:color="auto"/>
                                    <w:bottom w:val="none" w:sz="0" w:space="0" w:color="auto"/>
                                    <w:right w:val="none" w:sz="0" w:space="0" w:color="auto"/>
                                  </w:divBdr>
                                  <w:divsChild>
                                    <w:div w:id="128241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929943">
      <w:bodyDiv w:val="1"/>
      <w:marLeft w:val="0"/>
      <w:marRight w:val="0"/>
      <w:marTop w:val="0"/>
      <w:marBottom w:val="0"/>
      <w:divBdr>
        <w:top w:val="none" w:sz="0" w:space="0" w:color="auto"/>
        <w:left w:val="none" w:sz="0" w:space="0" w:color="auto"/>
        <w:bottom w:val="none" w:sz="0" w:space="0" w:color="auto"/>
        <w:right w:val="none" w:sz="0" w:space="0" w:color="auto"/>
      </w:divBdr>
      <w:divsChild>
        <w:div w:id="1635329075">
          <w:marLeft w:val="0"/>
          <w:marRight w:val="0"/>
          <w:marTop w:val="0"/>
          <w:marBottom w:val="0"/>
          <w:divBdr>
            <w:top w:val="none" w:sz="0" w:space="0" w:color="auto"/>
            <w:left w:val="none" w:sz="0" w:space="0" w:color="auto"/>
            <w:bottom w:val="none" w:sz="0" w:space="0" w:color="auto"/>
            <w:right w:val="none" w:sz="0" w:space="0" w:color="auto"/>
          </w:divBdr>
          <w:divsChild>
            <w:div w:id="1209882339">
              <w:marLeft w:val="0"/>
              <w:marRight w:val="0"/>
              <w:marTop w:val="0"/>
              <w:marBottom w:val="0"/>
              <w:divBdr>
                <w:top w:val="none" w:sz="0" w:space="0" w:color="auto"/>
                <w:left w:val="none" w:sz="0" w:space="0" w:color="auto"/>
                <w:bottom w:val="none" w:sz="0" w:space="0" w:color="auto"/>
                <w:right w:val="none" w:sz="0" w:space="0" w:color="auto"/>
              </w:divBdr>
              <w:divsChild>
                <w:div w:id="1019699542">
                  <w:marLeft w:val="0"/>
                  <w:marRight w:val="0"/>
                  <w:marTop w:val="0"/>
                  <w:marBottom w:val="0"/>
                  <w:divBdr>
                    <w:top w:val="none" w:sz="0" w:space="0" w:color="auto"/>
                    <w:left w:val="none" w:sz="0" w:space="0" w:color="auto"/>
                    <w:bottom w:val="none" w:sz="0" w:space="0" w:color="auto"/>
                    <w:right w:val="none" w:sz="0" w:space="0" w:color="auto"/>
                  </w:divBdr>
                  <w:divsChild>
                    <w:div w:id="959188611">
                      <w:marLeft w:val="0"/>
                      <w:marRight w:val="0"/>
                      <w:marTop w:val="0"/>
                      <w:marBottom w:val="0"/>
                      <w:divBdr>
                        <w:top w:val="none" w:sz="0" w:space="0" w:color="auto"/>
                        <w:left w:val="none" w:sz="0" w:space="0" w:color="auto"/>
                        <w:bottom w:val="none" w:sz="0" w:space="0" w:color="auto"/>
                        <w:right w:val="none" w:sz="0" w:space="0" w:color="auto"/>
                      </w:divBdr>
                      <w:divsChild>
                        <w:div w:id="1207837920">
                          <w:marLeft w:val="0"/>
                          <w:marRight w:val="0"/>
                          <w:marTop w:val="0"/>
                          <w:marBottom w:val="0"/>
                          <w:divBdr>
                            <w:top w:val="none" w:sz="0" w:space="0" w:color="auto"/>
                            <w:left w:val="none" w:sz="0" w:space="0" w:color="auto"/>
                            <w:bottom w:val="none" w:sz="0" w:space="0" w:color="auto"/>
                            <w:right w:val="none" w:sz="0" w:space="0" w:color="auto"/>
                          </w:divBdr>
                          <w:divsChild>
                            <w:div w:id="170032689">
                              <w:marLeft w:val="0"/>
                              <w:marRight w:val="0"/>
                              <w:marTop w:val="0"/>
                              <w:marBottom w:val="0"/>
                              <w:divBdr>
                                <w:top w:val="none" w:sz="0" w:space="0" w:color="auto"/>
                                <w:left w:val="none" w:sz="0" w:space="0" w:color="auto"/>
                                <w:bottom w:val="none" w:sz="0" w:space="0" w:color="auto"/>
                                <w:right w:val="none" w:sz="0" w:space="0" w:color="auto"/>
                              </w:divBdr>
                              <w:divsChild>
                                <w:div w:id="1955213195">
                                  <w:marLeft w:val="0"/>
                                  <w:marRight w:val="0"/>
                                  <w:marTop w:val="0"/>
                                  <w:marBottom w:val="0"/>
                                  <w:divBdr>
                                    <w:top w:val="none" w:sz="0" w:space="0" w:color="auto"/>
                                    <w:left w:val="none" w:sz="0" w:space="0" w:color="auto"/>
                                    <w:bottom w:val="none" w:sz="0" w:space="0" w:color="auto"/>
                                    <w:right w:val="none" w:sz="0" w:space="0" w:color="auto"/>
                                  </w:divBdr>
                                  <w:divsChild>
                                    <w:div w:id="119676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3145727">
      <w:bodyDiv w:val="1"/>
      <w:marLeft w:val="0"/>
      <w:marRight w:val="0"/>
      <w:marTop w:val="0"/>
      <w:marBottom w:val="0"/>
      <w:divBdr>
        <w:top w:val="none" w:sz="0" w:space="0" w:color="auto"/>
        <w:left w:val="none" w:sz="0" w:space="0" w:color="auto"/>
        <w:bottom w:val="none" w:sz="0" w:space="0" w:color="auto"/>
        <w:right w:val="none" w:sz="0" w:space="0" w:color="auto"/>
      </w:divBdr>
      <w:divsChild>
        <w:div w:id="884020701">
          <w:marLeft w:val="0"/>
          <w:marRight w:val="0"/>
          <w:marTop w:val="0"/>
          <w:marBottom w:val="0"/>
          <w:divBdr>
            <w:top w:val="none" w:sz="0" w:space="0" w:color="auto"/>
            <w:left w:val="none" w:sz="0" w:space="0" w:color="auto"/>
            <w:bottom w:val="none" w:sz="0" w:space="0" w:color="auto"/>
            <w:right w:val="none" w:sz="0" w:space="0" w:color="auto"/>
          </w:divBdr>
          <w:divsChild>
            <w:div w:id="246421413">
              <w:marLeft w:val="0"/>
              <w:marRight w:val="0"/>
              <w:marTop w:val="0"/>
              <w:marBottom w:val="0"/>
              <w:divBdr>
                <w:top w:val="none" w:sz="0" w:space="0" w:color="auto"/>
                <w:left w:val="none" w:sz="0" w:space="0" w:color="auto"/>
                <w:bottom w:val="none" w:sz="0" w:space="0" w:color="auto"/>
                <w:right w:val="none" w:sz="0" w:space="0" w:color="auto"/>
              </w:divBdr>
              <w:divsChild>
                <w:div w:id="333462763">
                  <w:marLeft w:val="0"/>
                  <w:marRight w:val="0"/>
                  <w:marTop w:val="0"/>
                  <w:marBottom w:val="0"/>
                  <w:divBdr>
                    <w:top w:val="none" w:sz="0" w:space="0" w:color="auto"/>
                    <w:left w:val="none" w:sz="0" w:space="0" w:color="auto"/>
                    <w:bottom w:val="none" w:sz="0" w:space="0" w:color="auto"/>
                    <w:right w:val="none" w:sz="0" w:space="0" w:color="auto"/>
                  </w:divBdr>
                  <w:divsChild>
                    <w:div w:id="804733677">
                      <w:marLeft w:val="0"/>
                      <w:marRight w:val="0"/>
                      <w:marTop w:val="0"/>
                      <w:marBottom w:val="0"/>
                      <w:divBdr>
                        <w:top w:val="none" w:sz="0" w:space="0" w:color="auto"/>
                        <w:left w:val="none" w:sz="0" w:space="0" w:color="auto"/>
                        <w:bottom w:val="none" w:sz="0" w:space="0" w:color="auto"/>
                        <w:right w:val="none" w:sz="0" w:space="0" w:color="auto"/>
                      </w:divBdr>
                      <w:divsChild>
                        <w:div w:id="719717778">
                          <w:marLeft w:val="0"/>
                          <w:marRight w:val="0"/>
                          <w:marTop w:val="0"/>
                          <w:marBottom w:val="0"/>
                          <w:divBdr>
                            <w:top w:val="none" w:sz="0" w:space="0" w:color="auto"/>
                            <w:left w:val="none" w:sz="0" w:space="0" w:color="auto"/>
                            <w:bottom w:val="none" w:sz="0" w:space="0" w:color="auto"/>
                            <w:right w:val="none" w:sz="0" w:space="0" w:color="auto"/>
                          </w:divBdr>
                          <w:divsChild>
                            <w:div w:id="1595362577">
                              <w:marLeft w:val="0"/>
                              <w:marRight w:val="0"/>
                              <w:marTop w:val="0"/>
                              <w:marBottom w:val="0"/>
                              <w:divBdr>
                                <w:top w:val="none" w:sz="0" w:space="0" w:color="auto"/>
                                <w:left w:val="none" w:sz="0" w:space="0" w:color="auto"/>
                                <w:bottom w:val="none" w:sz="0" w:space="0" w:color="auto"/>
                                <w:right w:val="none" w:sz="0" w:space="0" w:color="auto"/>
                              </w:divBdr>
                              <w:divsChild>
                                <w:div w:id="1067724996">
                                  <w:marLeft w:val="0"/>
                                  <w:marRight w:val="0"/>
                                  <w:marTop w:val="0"/>
                                  <w:marBottom w:val="0"/>
                                  <w:divBdr>
                                    <w:top w:val="none" w:sz="0" w:space="0" w:color="auto"/>
                                    <w:left w:val="none" w:sz="0" w:space="0" w:color="auto"/>
                                    <w:bottom w:val="none" w:sz="0" w:space="0" w:color="auto"/>
                                    <w:right w:val="none" w:sz="0" w:space="0" w:color="auto"/>
                                  </w:divBdr>
                                  <w:divsChild>
                                    <w:div w:id="110765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0930564">
      <w:bodyDiv w:val="1"/>
      <w:marLeft w:val="0"/>
      <w:marRight w:val="0"/>
      <w:marTop w:val="0"/>
      <w:marBottom w:val="0"/>
      <w:divBdr>
        <w:top w:val="none" w:sz="0" w:space="0" w:color="auto"/>
        <w:left w:val="none" w:sz="0" w:space="0" w:color="auto"/>
        <w:bottom w:val="none" w:sz="0" w:space="0" w:color="auto"/>
        <w:right w:val="none" w:sz="0" w:space="0" w:color="auto"/>
      </w:divBdr>
      <w:divsChild>
        <w:div w:id="1285892471">
          <w:marLeft w:val="0"/>
          <w:marRight w:val="0"/>
          <w:marTop w:val="0"/>
          <w:marBottom w:val="0"/>
          <w:divBdr>
            <w:top w:val="none" w:sz="0" w:space="0" w:color="auto"/>
            <w:left w:val="none" w:sz="0" w:space="0" w:color="auto"/>
            <w:bottom w:val="none" w:sz="0" w:space="0" w:color="auto"/>
            <w:right w:val="none" w:sz="0" w:space="0" w:color="auto"/>
          </w:divBdr>
          <w:divsChild>
            <w:div w:id="162016154">
              <w:marLeft w:val="0"/>
              <w:marRight w:val="0"/>
              <w:marTop w:val="0"/>
              <w:marBottom w:val="0"/>
              <w:divBdr>
                <w:top w:val="none" w:sz="0" w:space="0" w:color="auto"/>
                <w:left w:val="none" w:sz="0" w:space="0" w:color="auto"/>
                <w:bottom w:val="none" w:sz="0" w:space="0" w:color="auto"/>
                <w:right w:val="none" w:sz="0" w:space="0" w:color="auto"/>
              </w:divBdr>
              <w:divsChild>
                <w:div w:id="1155685126">
                  <w:marLeft w:val="0"/>
                  <w:marRight w:val="0"/>
                  <w:marTop w:val="0"/>
                  <w:marBottom w:val="0"/>
                  <w:divBdr>
                    <w:top w:val="none" w:sz="0" w:space="0" w:color="auto"/>
                    <w:left w:val="none" w:sz="0" w:space="0" w:color="auto"/>
                    <w:bottom w:val="none" w:sz="0" w:space="0" w:color="auto"/>
                    <w:right w:val="none" w:sz="0" w:space="0" w:color="auto"/>
                  </w:divBdr>
                  <w:divsChild>
                    <w:div w:id="111968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089008">
      <w:bodyDiv w:val="1"/>
      <w:marLeft w:val="0"/>
      <w:marRight w:val="0"/>
      <w:marTop w:val="0"/>
      <w:marBottom w:val="0"/>
      <w:divBdr>
        <w:top w:val="none" w:sz="0" w:space="0" w:color="auto"/>
        <w:left w:val="none" w:sz="0" w:space="0" w:color="auto"/>
        <w:bottom w:val="none" w:sz="0" w:space="0" w:color="auto"/>
        <w:right w:val="none" w:sz="0" w:space="0" w:color="auto"/>
      </w:divBdr>
      <w:divsChild>
        <w:div w:id="1246964170">
          <w:marLeft w:val="0"/>
          <w:marRight w:val="0"/>
          <w:marTop w:val="0"/>
          <w:marBottom w:val="0"/>
          <w:divBdr>
            <w:top w:val="none" w:sz="0" w:space="0" w:color="auto"/>
            <w:left w:val="none" w:sz="0" w:space="0" w:color="auto"/>
            <w:bottom w:val="none" w:sz="0" w:space="0" w:color="auto"/>
            <w:right w:val="none" w:sz="0" w:space="0" w:color="auto"/>
          </w:divBdr>
          <w:divsChild>
            <w:div w:id="1325553802">
              <w:marLeft w:val="0"/>
              <w:marRight w:val="0"/>
              <w:marTop w:val="0"/>
              <w:marBottom w:val="0"/>
              <w:divBdr>
                <w:top w:val="none" w:sz="0" w:space="0" w:color="auto"/>
                <w:left w:val="none" w:sz="0" w:space="0" w:color="auto"/>
                <w:bottom w:val="none" w:sz="0" w:space="0" w:color="auto"/>
                <w:right w:val="none" w:sz="0" w:space="0" w:color="auto"/>
              </w:divBdr>
              <w:divsChild>
                <w:div w:id="1085538813">
                  <w:marLeft w:val="0"/>
                  <w:marRight w:val="0"/>
                  <w:marTop w:val="0"/>
                  <w:marBottom w:val="0"/>
                  <w:divBdr>
                    <w:top w:val="none" w:sz="0" w:space="0" w:color="auto"/>
                    <w:left w:val="none" w:sz="0" w:space="0" w:color="auto"/>
                    <w:bottom w:val="none" w:sz="0" w:space="0" w:color="auto"/>
                    <w:right w:val="none" w:sz="0" w:space="0" w:color="auto"/>
                  </w:divBdr>
                  <w:divsChild>
                    <w:div w:id="1943763921">
                      <w:marLeft w:val="0"/>
                      <w:marRight w:val="0"/>
                      <w:marTop w:val="0"/>
                      <w:marBottom w:val="0"/>
                      <w:divBdr>
                        <w:top w:val="none" w:sz="0" w:space="0" w:color="auto"/>
                        <w:left w:val="none" w:sz="0" w:space="0" w:color="auto"/>
                        <w:bottom w:val="none" w:sz="0" w:space="0" w:color="auto"/>
                        <w:right w:val="none" w:sz="0" w:space="0" w:color="auto"/>
                      </w:divBdr>
                    </w:div>
                  </w:divsChild>
                </w:div>
                <w:div w:id="1297832976">
                  <w:marLeft w:val="0"/>
                  <w:marRight w:val="0"/>
                  <w:marTop w:val="0"/>
                  <w:marBottom w:val="0"/>
                  <w:divBdr>
                    <w:top w:val="none" w:sz="0" w:space="0" w:color="auto"/>
                    <w:left w:val="none" w:sz="0" w:space="0" w:color="auto"/>
                    <w:bottom w:val="none" w:sz="0" w:space="0" w:color="auto"/>
                    <w:right w:val="none" w:sz="0" w:space="0" w:color="auto"/>
                  </w:divBdr>
                  <w:divsChild>
                    <w:div w:id="1549564942">
                      <w:marLeft w:val="0"/>
                      <w:marRight w:val="0"/>
                      <w:marTop w:val="0"/>
                      <w:marBottom w:val="0"/>
                      <w:divBdr>
                        <w:top w:val="none" w:sz="0" w:space="0" w:color="auto"/>
                        <w:left w:val="none" w:sz="0" w:space="0" w:color="auto"/>
                        <w:bottom w:val="none" w:sz="0" w:space="0" w:color="auto"/>
                        <w:right w:val="none" w:sz="0" w:space="0" w:color="auto"/>
                      </w:divBdr>
                      <w:divsChild>
                        <w:div w:id="286081291">
                          <w:marLeft w:val="0"/>
                          <w:marRight w:val="0"/>
                          <w:marTop w:val="0"/>
                          <w:marBottom w:val="0"/>
                          <w:divBdr>
                            <w:top w:val="none" w:sz="0" w:space="0" w:color="auto"/>
                            <w:left w:val="none" w:sz="0" w:space="0" w:color="auto"/>
                            <w:bottom w:val="none" w:sz="0" w:space="0" w:color="auto"/>
                            <w:right w:val="none" w:sz="0" w:space="0" w:color="auto"/>
                          </w:divBdr>
                          <w:divsChild>
                            <w:div w:id="212022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2196562">
      <w:bodyDiv w:val="1"/>
      <w:marLeft w:val="0"/>
      <w:marRight w:val="0"/>
      <w:marTop w:val="0"/>
      <w:marBottom w:val="0"/>
      <w:divBdr>
        <w:top w:val="none" w:sz="0" w:space="0" w:color="auto"/>
        <w:left w:val="none" w:sz="0" w:space="0" w:color="auto"/>
        <w:bottom w:val="none" w:sz="0" w:space="0" w:color="auto"/>
        <w:right w:val="none" w:sz="0" w:space="0" w:color="auto"/>
      </w:divBdr>
    </w:div>
    <w:div w:id="1454250018">
      <w:bodyDiv w:val="1"/>
      <w:marLeft w:val="0"/>
      <w:marRight w:val="0"/>
      <w:marTop w:val="0"/>
      <w:marBottom w:val="0"/>
      <w:divBdr>
        <w:top w:val="none" w:sz="0" w:space="0" w:color="auto"/>
        <w:left w:val="none" w:sz="0" w:space="0" w:color="auto"/>
        <w:bottom w:val="none" w:sz="0" w:space="0" w:color="auto"/>
        <w:right w:val="none" w:sz="0" w:space="0" w:color="auto"/>
      </w:divBdr>
      <w:divsChild>
        <w:div w:id="675377696">
          <w:marLeft w:val="0"/>
          <w:marRight w:val="0"/>
          <w:marTop w:val="0"/>
          <w:marBottom w:val="0"/>
          <w:divBdr>
            <w:top w:val="none" w:sz="0" w:space="0" w:color="auto"/>
            <w:left w:val="none" w:sz="0" w:space="0" w:color="auto"/>
            <w:bottom w:val="none" w:sz="0" w:space="0" w:color="auto"/>
            <w:right w:val="none" w:sz="0" w:space="0" w:color="auto"/>
          </w:divBdr>
          <w:divsChild>
            <w:div w:id="539510203">
              <w:marLeft w:val="0"/>
              <w:marRight w:val="0"/>
              <w:marTop w:val="0"/>
              <w:marBottom w:val="0"/>
              <w:divBdr>
                <w:top w:val="none" w:sz="0" w:space="0" w:color="auto"/>
                <w:left w:val="none" w:sz="0" w:space="0" w:color="auto"/>
                <w:bottom w:val="none" w:sz="0" w:space="0" w:color="auto"/>
                <w:right w:val="none" w:sz="0" w:space="0" w:color="auto"/>
              </w:divBdr>
              <w:divsChild>
                <w:div w:id="1262690424">
                  <w:marLeft w:val="0"/>
                  <w:marRight w:val="0"/>
                  <w:marTop w:val="0"/>
                  <w:marBottom w:val="0"/>
                  <w:divBdr>
                    <w:top w:val="none" w:sz="0" w:space="0" w:color="auto"/>
                    <w:left w:val="none" w:sz="0" w:space="0" w:color="auto"/>
                    <w:bottom w:val="none" w:sz="0" w:space="0" w:color="auto"/>
                    <w:right w:val="none" w:sz="0" w:space="0" w:color="auto"/>
                  </w:divBdr>
                  <w:divsChild>
                    <w:div w:id="48262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647139">
      <w:bodyDiv w:val="1"/>
      <w:marLeft w:val="0"/>
      <w:marRight w:val="0"/>
      <w:marTop w:val="0"/>
      <w:marBottom w:val="0"/>
      <w:divBdr>
        <w:top w:val="none" w:sz="0" w:space="0" w:color="auto"/>
        <w:left w:val="none" w:sz="0" w:space="0" w:color="auto"/>
        <w:bottom w:val="none" w:sz="0" w:space="0" w:color="auto"/>
        <w:right w:val="none" w:sz="0" w:space="0" w:color="auto"/>
      </w:divBdr>
      <w:divsChild>
        <w:div w:id="1541168594">
          <w:marLeft w:val="0"/>
          <w:marRight w:val="0"/>
          <w:marTop w:val="0"/>
          <w:marBottom w:val="0"/>
          <w:divBdr>
            <w:top w:val="none" w:sz="0" w:space="0" w:color="auto"/>
            <w:left w:val="none" w:sz="0" w:space="0" w:color="auto"/>
            <w:bottom w:val="none" w:sz="0" w:space="0" w:color="auto"/>
            <w:right w:val="none" w:sz="0" w:space="0" w:color="auto"/>
          </w:divBdr>
          <w:divsChild>
            <w:div w:id="2099328953">
              <w:marLeft w:val="0"/>
              <w:marRight w:val="0"/>
              <w:marTop w:val="0"/>
              <w:marBottom w:val="0"/>
              <w:divBdr>
                <w:top w:val="none" w:sz="0" w:space="0" w:color="auto"/>
                <w:left w:val="none" w:sz="0" w:space="0" w:color="auto"/>
                <w:bottom w:val="none" w:sz="0" w:space="0" w:color="auto"/>
                <w:right w:val="none" w:sz="0" w:space="0" w:color="auto"/>
              </w:divBdr>
              <w:divsChild>
                <w:div w:id="2075741616">
                  <w:marLeft w:val="0"/>
                  <w:marRight w:val="0"/>
                  <w:marTop w:val="0"/>
                  <w:marBottom w:val="0"/>
                  <w:divBdr>
                    <w:top w:val="none" w:sz="0" w:space="0" w:color="auto"/>
                    <w:left w:val="none" w:sz="0" w:space="0" w:color="auto"/>
                    <w:bottom w:val="none" w:sz="0" w:space="0" w:color="auto"/>
                    <w:right w:val="none" w:sz="0" w:space="0" w:color="auto"/>
                  </w:divBdr>
                  <w:divsChild>
                    <w:div w:id="150747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417670">
      <w:bodyDiv w:val="1"/>
      <w:marLeft w:val="0"/>
      <w:marRight w:val="0"/>
      <w:marTop w:val="0"/>
      <w:marBottom w:val="0"/>
      <w:divBdr>
        <w:top w:val="none" w:sz="0" w:space="0" w:color="auto"/>
        <w:left w:val="none" w:sz="0" w:space="0" w:color="auto"/>
        <w:bottom w:val="none" w:sz="0" w:space="0" w:color="auto"/>
        <w:right w:val="none" w:sz="0" w:space="0" w:color="auto"/>
      </w:divBdr>
      <w:divsChild>
        <w:div w:id="1582135760">
          <w:marLeft w:val="0"/>
          <w:marRight w:val="0"/>
          <w:marTop w:val="0"/>
          <w:marBottom w:val="0"/>
          <w:divBdr>
            <w:top w:val="none" w:sz="0" w:space="0" w:color="auto"/>
            <w:left w:val="none" w:sz="0" w:space="0" w:color="auto"/>
            <w:bottom w:val="none" w:sz="0" w:space="0" w:color="auto"/>
            <w:right w:val="none" w:sz="0" w:space="0" w:color="auto"/>
          </w:divBdr>
          <w:divsChild>
            <w:div w:id="862478912">
              <w:marLeft w:val="0"/>
              <w:marRight w:val="0"/>
              <w:marTop w:val="0"/>
              <w:marBottom w:val="0"/>
              <w:divBdr>
                <w:top w:val="none" w:sz="0" w:space="0" w:color="auto"/>
                <w:left w:val="none" w:sz="0" w:space="0" w:color="auto"/>
                <w:bottom w:val="none" w:sz="0" w:space="0" w:color="auto"/>
                <w:right w:val="none" w:sz="0" w:space="0" w:color="auto"/>
              </w:divBdr>
              <w:divsChild>
                <w:div w:id="1459298875">
                  <w:marLeft w:val="0"/>
                  <w:marRight w:val="0"/>
                  <w:marTop w:val="0"/>
                  <w:marBottom w:val="0"/>
                  <w:divBdr>
                    <w:top w:val="none" w:sz="0" w:space="0" w:color="auto"/>
                    <w:left w:val="none" w:sz="0" w:space="0" w:color="auto"/>
                    <w:bottom w:val="none" w:sz="0" w:space="0" w:color="auto"/>
                    <w:right w:val="none" w:sz="0" w:space="0" w:color="auto"/>
                  </w:divBdr>
                  <w:divsChild>
                    <w:div w:id="69430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615188">
      <w:bodyDiv w:val="1"/>
      <w:marLeft w:val="0"/>
      <w:marRight w:val="0"/>
      <w:marTop w:val="0"/>
      <w:marBottom w:val="0"/>
      <w:divBdr>
        <w:top w:val="none" w:sz="0" w:space="0" w:color="auto"/>
        <w:left w:val="none" w:sz="0" w:space="0" w:color="auto"/>
        <w:bottom w:val="none" w:sz="0" w:space="0" w:color="auto"/>
        <w:right w:val="none" w:sz="0" w:space="0" w:color="auto"/>
      </w:divBdr>
    </w:div>
    <w:div w:id="1506169669">
      <w:bodyDiv w:val="1"/>
      <w:marLeft w:val="0"/>
      <w:marRight w:val="0"/>
      <w:marTop w:val="0"/>
      <w:marBottom w:val="0"/>
      <w:divBdr>
        <w:top w:val="none" w:sz="0" w:space="0" w:color="auto"/>
        <w:left w:val="none" w:sz="0" w:space="0" w:color="auto"/>
        <w:bottom w:val="none" w:sz="0" w:space="0" w:color="auto"/>
        <w:right w:val="none" w:sz="0" w:space="0" w:color="auto"/>
      </w:divBdr>
      <w:divsChild>
        <w:div w:id="1947617798">
          <w:marLeft w:val="0"/>
          <w:marRight w:val="0"/>
          <w:marTop w:val="0"/>
          <w:marBottom w:val="0"/>
          <w:divBdr>
            <w:top w:val="none" w:sz="0" w:space="0" w:color="auto"/>
            <w:left w:val="none" w:sz="0" w:space="0" w:color="auto"/>
            <w:bottom w:val="none" w:sz="0" w:space="0" w:color="auto"/>
            <w:right w:val="none" w:sz="0" w:space="0" w:color="auto"/>
          </w:divBdr>
          <w:divsChild>
            <w:div w:id="47194788">
              <w:marLeft w:val="0"/>
              <w:marRight w:val="0"/>
              <w:marTop w:val="0"/>
              <w:marBottom w:val="0"/>
              <w:divBdr>
                <w:top w:val="none" w:sz="0" w:space="0" w:color="auto"/>
                <w:left w:val="none" w:sz="0" w:space="0" w:color="auto"/>
                <w:bottom w:val="none" w:sz="0" w:space="0" w:color="auto"/>
                <w:right w:val="none" w:sz="0" w:space="0" w:color="auto"/>
              </w:divBdr>
              <w:divsChild>
                <w:div w:id="1028872261">
                  <w:marLeft w:val="0"/>
                  <w:marRight w:val="0"/>
                  <w:marTop w:val="0"/>
                  <w:marBottom w:val="0"/>
                  <w:divBdr>
                    <w:top w:val="none" w:sz="0" w:space="0" w:color="auto"/>
                    <w:left w:val="none" w:sz="0" w:space="0" w:color="auto"/>
                    <w:bottom w:val="none" w:sz="0" w:space="0" w:color="auto"/>
                    <w:right w:val="none" w:sz="0" w:space="0" w:color="auto"/>
                  </w:divBdr>
                  <w:divsChild>
                    <w:div w:id="84890224">
                      <w:marLeft w:val="0"/>
                      <w:marRight w:val="0"/>
                      <w:marTop w:val="0"/>
                      <w:marBottom w:val="0"/>
                      <w:divBdr>
                        <w:top w:val="none" w:sz="0" w:space="0" w:color="auto"/>
                        <w:left w:val="none" w:sz="0" w:space="0" w:color="auto"/>
                        <w:bottom w:val="none" w:sz="0" w:space="0" w:color="auto"/>
                        <w:right w:val="none" w:sz="0" w:space="0" w:color="auto"/>
                      </w:divBdr>
                      <w:divsChild>
                        <w:div w:id="915553047">
                          <w:marLeft w:val="0"/>
                          <w:marRight w:val="0"/>
                          <w:marTop w:val="0"/>
                          <w:marBottom w:val="0"/>
                          <w:divBdr>
                            <w:top w:val="none" w:sz="0" w:space="0" w:color="auto"/>
                            <w:left w:val="none" w:sz="0" w:space="0" w:color="auto"/>
                            <w:bottom w:val="none" w:sz="0" w:space="0" w:color="auto"/>
                            <w:right w:val="none" w:sz="0" w:space="0" w:color="auto"/>
                          </w:divBdr>
                          <w:divsChild>
                            <w:div w:id="2074310996">
                              <w:marLeft w:val="0"/>
                              <w:marRight w:val="0"/>
                              <w:marTop w:val="0"/>
                              <w:marBottom w:val="0"/>
                              <w:divBdr>
                                <w:top w:val="none" w:sz="0" w:space="0" w:color="auto"/>
                                <w:left w:val="none" w:sz="0" w:space="0" w:color="auto"/>
                                <w:bottom w:val="none" w:sz="0" w:space="0" w:color="auto"/>
                                <w:right w:val="none" w:sz="0" w:space="0" w:color="auto"/>
                              </w:divBdr>
                              <w:divsChild>
                                <w:div w:id="1629898370">
                                  <w:marLeft w:val="0"/>
                                  <w:marRight w:val="0"/>
                                  <w:marTop w:val="0"/>
                                  <w:marBottom w:val="0"/>
                                  <w:divBdr>
                                    <w:top w:val="none" w:sz="0" w:space="0" w:color="auto"/>
                                    <w:left w:val="none" w:sz="0" w:space="0" w:color="auto"/>
                                    <w:bottom w:val="none" w:sz="0" w:space="0" w:color="auto"/>
                                    <w:right w:val="none" w:sz="0" w:space="0" w:color="auto"/>
                                  </w:divBdr>
                                  <w:divsChild>
                                    <w:div w:id="91712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3303387">
      <w:bodyDiv w:val="1"/>
      <w:marLeft w:val="0"/>
      <w:marRight w:val="0"/>
      <w:marTop w:val="0"/>
      <w:marBottom w:val="0"/>
      <w:divBdr>
        <w:top w:val="none" w:sz="0" w:space="0" w:color="auto"/>
        <w:left w:val="none" w:sz="0" w:space="0" w:color="auto"/>
        <w:bottom w:val="none" w:sz="0" w:space="0" w:color="auto"/>
        <w:right w:val="none" w:sz="0" w:space="0" w:color="auto"/>
      </w:divBdr>
    </w:div>
    <w:div w:id="1549342916">
      <w:bodyDiv w:val="1"/>
      <w:marLeft w:val="0"/>
      <w:marRight w:val="0"/>
      <w:marTop w:val="0"/>
      <w:marBottom w:val="0"/>
      <w:divBdr>
        <w:top w:val="none" w:sz="0" w:space="0" w:color="auto"/>
        <w:left w:val="none" w:sz="0" w:space="0" w:color="auto"/>
        <w:bottom w:val="none" w:sz="0" w:space="0" w:color="auto"/>
        <w:right w:val="none" w:sz="0" w:space="0" w:color="auto"/>
      </w:divBdr>
      <w:divsChild>
        <w:div w:id="474955863">
          <w:marLeft w:val="0"/>
          <w:marRight w:val="0"/>
          <w:marTop w:val="0"/>
          <w:marBottom w:val="0"/>
          <w:divBdr>
            <w:top w:val="none" w:sz="0" w:space="0" w:color="auto"/>
            <w:left w:val="none" w:sz="0" w:space="0" w:color="auto"/>
            <w:bottom w:val="none" w:sz="0" w:space="0" w:color="auto"/>
            <w:right w:val="none" w:sz="0" w:space="0" w:color="auto"/>
          </w:divBdr>
          <w:divsChild>
            <w:div w:id="569849957">
              <w:marLeft w:val="0"/>
              <w:marRight w:val="0"/>
              <w:marTop w:val="0"/>
              <w:marBottom w:val="0"/>
              <w:divBdr>
                <w:top w:val="none" w:sz="0" w:space="0" w:color="auto"/>
                <w:left w:val="none" w:sz="0" w:space="0" w:color="auto"/>
                <w:bottom w:val="none" w:sz="0" w:space="0" w:color="auto"/>
                <w:right w:val="none" w:sz="0" w:space="0" w:color="auto"/>
              </w:divBdr>
              <w:divsChild>
                <w:div w:id="283464414">
                  <w:marLeft w:val="0"/>
                  <w:marRight w:val="0"/>
                  <w:marTop w:val="0"/>
                  <w:marBottom w:val="0"/>
                  <w:divBdr>
                    <w:top w:val="none" w:sz="0" w:space="0" w:color="auto"/>
                    <w:left w:val="none" w:sz="0" w:space="0" w:color="auto"/>
                    <w:bottom w:val="none" w:sz="0" w:space="0" w:color="auto"/>
                    <w:right w:val="none" w:sz="0" w:space="0" w:color="auto"/>
                  </w:divBdr>
                  <w:divsChild>
                    <w:div w:id="116793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611939">
      <w:bodyDiv w:val="1"/>
      <w:marLeft w:val="0"/>
      <w:marRight w:val="0"/>
      <w:marTop w:val="0"/>
      <w:marBottom w:val="0"/>
      <w:divBdr>
        <w:top w:val="none" w:sz="0" w:space="0" w:color="auto"/>
        <w:left w:val="none" w:sz="0" w:space="0" w:color="auto"/>
        <w:bottom w:val="none" w:sz="0" w:space="0" w:color="auto"/>
        <w:right w:val="none" w:sz="0" w:space="0" w:color="auto"/>
      </w:divBdr>
      <w:divsChild>
        <w:div w:id="1675106955">
          <w:marLeft w:val="0"/>
          <w:marRight w:val="0"/>
          <w:marTop w:val="0"/>
          <w:marBottom w:val="0"/>
          <w:divBdr>
            <w:top w:val="none" w:sz="0" w:space="0" w:color="auto"/>
            <w:left w:val="none" w:sz="0" w:space="0" w:color="auto"/>
            <w:bottom w:val="none" w:sz="0" w:space="0" w:color="auto"/>
            <w:right w:val="none" w:sz="0" w:space="0" w:color="auto"/>
          </w:divBdr>
          <w:divsChild>
            <w:div w:id="717776809">
              <w:marLeft w:val="0"/>
              <w:marRight w:val="0"/>
              <w:marTop w:val="0"/>
              <w:marBottom w:val="0"/>
              <w:divBdr>
                <w:top w:val="none" w:sz="0" w:space="0" w:color="auto"/>
                <w:left w:val="none" w:sz="0" w:space="0" w:color="auto"/>
                <w:bottom w:val="none" w:sz="0" w:space="0" w:color="auto"/>
                <w:right w:val="none" w:sz="0" w:space="0" w:color="auto"/>
              </w:divBdr>
              <w:divsChild>
                <w:div w:id="378750365">
                  <w:marLeft w:val="0"/>
                  <w:marRight w:val="0"/>
                  <w:marTop w:val="0"/>
                  <w:marBottom w:val="0"/>
                  <w:divBdr>
                    <w:top w:val="none" w:sz="0" w:space="0" w:color="auto"/>
                    <w:left w:val="none" w:sz="0" w:space="0" w:color="auto"/>
                    <w:bottom w:val="none" w:sz="0" w:space="0" w:color="auto"/>
                    <w:right w:val="none" w:sz="0" w:space="0" w:color="auto"/>
                  </w:divBdr>
                  <w:divsChild>
                    <w:div w:id="67241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043846">
      <w:bodyDiv w:val="1"/>
      <w:marLeft w:val="0"/>
      <w:marRight w:val="0"/>
      <w:marTop w:val="0"/>
      <w:marBottom w:val="0"/>
      <w:divBdr>
        <w:top w:val="none" w:sz="0" w:space="0" w:color="auto"/>
        <w:left w:val="none" w:sz="0" w:space="0" w:color="auto"/>
        <w:bottom w:val="none" w:sz="0" w:space="0" w:color="auto"/>
        <w:right w:val="none" w:sz="0" w:space="0" w:color="auto"/>
      </w:divBdr>
      <w:divsChild>
        <w:div w:id="1002390218">
          <w:marLeft w:val="0"/>
          <w:marRight w:val="0"/>
          <w:marTop w:val="0"/>
          <w:marBottom w:val="0"/>
          <w:divBdr>
            <w:top w:val="none" w:sz="0" w:space="0" w:color="auto"/>
            <w:left w:val="none" w:sz="0" w:space="0" w:color="auto"/>
            <w:bottom w:val="none" w:sz="0" w:space="0" w:color="auto"/>
            <w:right w:val="none" w:sz="0" w:space="0" w:color="auto"/>
          </w:divBdr>
          <w:divsChild>
            <w:div w:id="674382217">
              <w:marLeft w:val="0"/>
              <w:marRight w:val="0"/>
              <w:marTop w:val="0"/>
              <w:marBottom w:val="0"/>
              <w:divBdr>
                <w:top w:val="none" w:sz="0" w:space="0" w:color="auto"/>
                <w:left w:val="none" w:sz="0" w:space="0" w:color="auto"/>
                <w:bottom w:val="none" w:sz="0" w:space="0" w:color="auto"/>
                <w:right w:val="none" w:sz="0" w:space="0" w:color="auto"/>
              </w:divBdr>
              <w:divsChild>
                <w:div w:id="334764625">
                  <w:marLeft w:val="0"/>
                  <w:marRight w:val="0"/>
                  <w:marTop w:val="0"/>
                  <w:marBottom w:val="0"/>
                  <w:divBdr>
                    <w:top w:val="none" w:sz="0" w:space="0" w:color="auto"/>
                    <w:left w:val="none" w:sz="0" w:space="0" w:color="auto"/>
                    <w:bottom w:val="none" w:sz="0" w:space="0" w:color="auto"/>
                    <w:right w:val="none" w:sz="0" w:space="0" w:color="auto"/>
                  </w:divBdr>
                  <w:divsChild>
                    <w:div w:id="49364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771731">
      <w:bodyDiv w:val="1"/>
      <w:marLeft w:val="0"/>
      <w:marRight w:val="0"/>
      <w:marTop w:val="0"/>
      <w:marBottom w:val="0"/>
      <w:divBdr>
        <w:top w:val="none" w:sz="0" w:space="0" w:color="auto"/>
        <w:left w:val="none" w:sz="0" w:space="0" w:color="auto"/>
        <w:bottom w:val="none" w:sz="0" w:space="0" w:color="auto"/>
        <w:right w:val="none" w:sz="0" w:space="0" w:color="auto"/>
      </w:divBdr>
      <w:divsChild>
        <w:div w:id="1085108121">
          <w:marLeft w:val="0"/>
          <w:marRight w:val="0"/>
          <w:marTop w:val="0"/>
          <w:marBottom w:val="0"/>
          <w:divBdr>
            <w:top w:val="none" w:sz="0" w:space="0" w:color="auto"/>
            <w:left w:val="none" w:sz="0" w:space="0" w:color="auto"/>
            <w:bottom w:val="none" w:sz="0" w:space="0" w:color="auto"/>
            <w:right w:val="none" w:sz="0" w:space="0" w:color="auto"/>
          </w:divBdr>
          <w:divsChild>
            <w:div w:id="1694114847">
              <w:marLeft w:val="0"/>
              <w:marRight w:val="0"/>
              <w:marTop w:val="0"/>
              <w:marBottom w:val="0"/>
              <w:divBdr>
                <w:top w:val="none" w:sz="0" w:space="0" w:color="auto"/>
                <w:left w:val="none" w:sz="0" w:space="0" w:color="auto"/>
                <w:bottom w:val="none" w:sz="0" w:space="0" w:color="auto"/>
                <w:right w:val="none" w:sz="0" w:space="0" w:color="auto"/>
              </w:divBdr>
              <w:divsChild>
                <w:div w:id="503319869">
                  <w:marLeft w:val="0"/>
                  <w:marRight w:val="0"/>
                  <w:marTop w:val="0"/>
                  <w:marBottom w:val="0"/>
                  <w:divBdr>
                    <w:top w:val="none" w:sz="0" w:space="0" w:color="auto"/>
                    <w:left w:val="none" w:sz="0" w:space="0" w:color="auto"/>
                    <w:bottom w:val="none" w:sz="0" w:space="0" w:color="auto"/>
                    <w:right w:val="none" w:sz="0" w:space="0" w:color="auto"/>
                  </w:divBdr>
                  <w:divsChild>
                    <w:div w:id="113667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058424">
      <w:bodyDiv w:val="1"/>
      <w:marLeft w:val="0"/>
      <w:marRight w:val="0"/>
      <w:marTop w:val="0"/>
      <w:marBottom w:val="0"/>
      <w:divBdr>
        <w:top w:val="none" w:sz="0" w:space="0" w:color="auto"/>
        <w:left w:val="none" w:sz="0" w:space="0" w:color="auto"/>
        <w:bottom w:val="none" w:sz="0" w:space="0" w:color="auto"/>
        <w:right w:val="none" w:sz="0" w:space="0" w:color="auto"/>
      </w:divBdr>
      <w:divsChild>
        <w:div w:id="596597322">
          <w:marLeft w:val="0"/>
          <w:marRight w:val="0"/>
          <w:marTop w:val="0"/>
          <w:marBottom w:val="0"/>
          <w:divBdr>
            <w:top w:val="none" w:sz="0" w:space="0" w:color="auto"/>
            <w:left w:val="none" w:sz="0" w:space="0" w:color="auto"/>
            <w:bottom w:val="none" w:sz="0" w:space="0" w:color="auto"/>
            <w:right w:val="none" w:sz="0" w:space="0" w:color="auto"/>
          </w:divBdr>
          <w:divsChild>
            <w:div w:id="102649946">
              <w:marLeft w:val="0"/>
              <w:marRight w:val="0"/>
              <w:marTop w:val="0"/>
              <w:marBottom w:val="0"/>
              <w:divBdr>
                <w:top w:val="none" w:sz="0" w:space="0" w:color="auto"/>
                <w:left w:val="none" w:sz="0" w:space="0" w:color="auto"/>
                <w:bottom w:val="none" w:sz="0" w:space="0" w:color="auto"/>
                <w:right w:val="none" w:sz="0" w:space="0" w:color="auto"/>
              </w:divBdr>
              <w:divsChild>
                <w:div w:id="1617908999">
                  <w:marLeft w:val="0"/>
                  <w:marRight w:val="0"/>
                  <w:marTop w:val="0"/>
                  <w:marBottom w:val="0"/>
                  <w:divBdr>
                    <w:top w:val="none" w:sz="0" w:space="0" w:color="auto"/>
                    <w:left w:val="none" w:sz="0" w:space="0" w:color="auto"/>
                    <w:bottom w:val="none" w:sz="0" w:space="0" w:color="auto"/>
                    <w:right w:val="none" w:sz="0" w:space="0" w:color="auto"/>
                  </w:divBdr>
                  <w:divsChild>
                    <w:div w:id="403799995">
                      <w:marLeft w:val="0"/>
                      <w:marRight w:val="0"/>
                      <w:marTop w:val="0"/>
                      <w:marBottom w:val="0"/>
                      <w:divBdr>
                        <w:top w:val="none" w:sz="0" w:space="0" w:color="auto"/>
                        <w:left w:val="none" w:sz="0" w:space="0" w:color="auto"/>
                        <w:bottom w:val="none" w:sz="0" w:space="0" w:color="auto"/>
                        <w:right w:val="none" w:sz="0" w:space="0" w:color="auto"/>
                      </w:divBdr>
                      <w:divsChild>
                        <w:div w:id="1423453081">
                          <w:marLeft w:val="0"/>
                          <w:marRight w:val="0"/>
                          <w:marTop w:val="0"/>
                          <w:marBottom w:val="0"/>
                          <w:divBdr>
                            <w:top w:val="none" w:sz="0" w:space="0" w:color="auto"/>
                            <w:left w:val="none" w:sz="0" w:space="0" w:color="auto"/>
                            <w:bottom w:val="none" w:sz="0" w:space="0" w:color="auto"/>
                            <w:right w:val="none" w:sz="0" w:space="0" w:color="auto"/>
                          </w:divBdr>
                          <w:divsChild>
                            <w:div w:id="409740770">
                              <w:marLeft w:val="0"/>
                              <w:marRight w:val="0"/>
                              <w:marTop w:val="0"/>
                              <w:marBottom w:val="0"/>
                              <w:divBdr>
                                <w:top w:val="none" w:sz="0" w:space="0" w:color="auto"/>
                                <w:left w:val="none" w:sz="0" w:space="0" w:color="auto"/>
                                <w:bottom w:val="none" w:sz="0" w:space="0" w:color="auto"/>
                                <w:right w:val="none" w:sz="0" w:space="0" w:color="auto"/>
                              </w:divBdr>
                              <w:divsChild>
                                <w:div w:id="1108433430">
                                  <w:marLeft w:val="0"/>
                                  <w:marRight w:val="0"/>
                                  <w:marTop w:val="0"/>
                                  <w:marBottom w:val="0"/>
                                  <w:divBdr>
                                    <w:top w:val="none" w:sz="0" w:space="0" w:color="auto"/>
                                    <w:left w:val="none" w:sz="0" w:space="0" w:color="auto"/>
                                    <w:bottom w:val="none" w:sz="0" w:space="0" w:color="auto"/>
                                    <w:right w:val="none" w:sz="0" w:space="0" w:color="auto"/>
                                  </w:divBdr>
                                  <w:divsChild>
                                    <w:div w:id="126846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2159030">
      <w:bodyDiv w:val="1"/>
      <w:marLeft w:val="0"/>
      <w:marRight w:val="0"/>
      <w:marTop w:val="0"/>
      <w:marBottom w:val="0"/>
      <w:divBdr>
        <w:top w:val="none" w:sz="0" w:space="0" w:color="auto"/>
        <w:left w:val="none" w:sz="0" w:space="0" w:color="auto"/>
        <w:bottom w:val="none" w:sz="0" w:space="0" w:color="auto"/>
        <w:right w:val="none" w:sz="0" w:space="0" w:color="auto"/>
      </w:divBdr>
      <w:divsChild>
        <w:div w:id="107118496">
          <w:marLeft w:val="0"/>
          <w:marRight w:val="0"/>
          <w:marTop w:val="0"/>
          <w:marBottom w:val="0"/>
          <w:divBdr>
            <w:top w:val="none" w:sz="0" w:space="0" w:color="auto"/>
            <w:left w:val="none" w:sz="0" w:space="0" w:color="auto"/>
            <w:bottom w:val="none" w:sz="0" w:space="0" w:color="auto"/>
            <w:right w:val="none" w:sz="0" w:space="0" w:color="auto"/>
          </w:divBdr>
          <w:divsChild>
            <w:div w:id="200175147">
              <w:marLeft w:val="0"/>
              <w:marRight w:val="0"/>
              <w:marTop w:val="0"/>
              <w:marBottom w:val="0"/>
              <w:divBdr>
                <w:top w:val="none" w:sz="0" w:space="0" w:color="auto"/>
                <w:left w:val="none" w:sz="0" w:space="0" w:color="auto"/>
                <w:bottom w:val="none" w:sz="0" w:space="0" w:color="auto"/>
                <w:right w:val="none" w:sz="0" w:space="0" w:color="auto"/>
              </w:divBdr>
              <w:divsChild>
                <w:div w:id="718747282">
                  <w:marLeft w:val="0"/>
                  <w:marRight w:val="0"/>
                  <w:marTop w:val="0"/>
                  <w:marBottom w:val="0"/>
                  <w:divBdr>
                    <w:top w:val="none" w:sz="0" w:space="0" w:color="auto"/>
                    <w:left w:val="none" w:sz="0" w:space="0" w:color="auto"/>
                    <w:bottom w:val="none" w:sz="0" w:space="0" w:color="auto"/>
                    <w:right w:val="none" w:sz="0" w:space="0" w:color="auto"/>
                  </w:divBdr>
                  <w:divsChild>
                    <w:div w:id="1432890429">
                      <w:marLeft w:val="0"/>
                      <w:marRight w:val="0"/>
                      <w:marTop w:val="0"/>
                      <w:marBottom w:val="0"/>
                      <w:divBdr>
                        <w:top w:val="none" w:sz="0" w:space="0" w:color="auto"/>
                        <w:left w:val="none" w:sz="0" w:space="0" w:color="auto"/>
                        <w:bottom w:val="none" w:sz="0" w:space="0" w:color="auto"/>
                        <w:right w:val="none" w:sz="0" w:space="0" w:color="auto"/>
                      </w:divBdr>
                      <w:divsChild>
                        <w:div w:id="172496713">
                          <w:marLeft w:val="0"/>
                          <w:marRight w:val="0"/>
                          <w:marTop w:val="0"/>
                          <w:marBottom w:val="0"/>
                          <w:divBdr>
                            <w:top w:val="none" w:sz="0" w:space="0" w:color="auto"/>
                            <w:left w:val="none" w:sz="0" w:space="0" w:color="auto"/>
                            <w:bottom w:val="none" w:sz="0" w:space="0" w:color="auto"/>
                            <w:right w:val="none" w:sz="0" w:space="0" w:color="auto"/>
                          </w:divBdr>
                          <w:divsChild>
                            <w:div w:id="622005165">
                              <w:marLeft w:val="0"/>
                              <w:marRight w:val="0"/>
                              <w:marTop w:val="0"/>
                              <w:marBottom w:val="0"/>
                              <w:divBdr>
                                <w:top w:val="none" w:sz="0" w:space="0" w:color="auto"/>
                                <w:left w:val="none" w:sz="0" w:space="0" w:color="auto"/>
                                <w:bottom w:val="none" w:sz="0" w:space="0" w:color="auto"/>
                                <w:right w:val="none" w:sz="0" w:space="0" w:color="auto"/>
                              </w:divBdr>
                              <w:divsChild>
                                <w:div w:id="782698127">
                                  <w:marLeft w:val="0"/>
                                  <w:marRight w:val="0"/>
                                  <w:marTop w:val="0"/>
                                  <w:marBottom w:val="0"/>
                                  <w:divBdr>
                                    <w:top w:val="none" w:sz="0" w:space="0" w:color="auto"/>
                                    <w:left w:val="none" w:sz="0" w:space="0" w:color="auto"/>
                                    <w:bottom w:val="none" w:sz="0" w:space="0" w:color="auto"/>
                                    <w:right w:val="none" w:sz="0" w:space="0" w:color="auto"/>
                                  </w:divBdr>
                                  <w:divsChild>
                                    <w:div w:id="111702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5409145">
      <w:bodyDiv w:val="1"/>
      <w:marLeft w:val="0"/>
      <w:marRight w:val="0"/>
      <w:marTop w:val="0"/>
      <w:marBottom w:val="0"/>
      <w:divBdr>
        <w:top w:val="none" w:sz="0" w:space="0" w:color="auto"/>
        <w:left w:val="none" w:sz="0" w:space="0" w:color="auto"/>
        <w:bottom w:val="none" w:sz="0" w:space="0" w:color="auto"/>
        <w:right w:val="none" w:sz="0" w:space="0" w:color="auto"/>
      </w:divBdr>
      <w:divsChild>
        <w:div w:id="1234730492">
          <w:marLeft w:val="0"/>
          <w:marRight w:val="0"/>
          <w:marTop w:val="0"/>
          <w:marBottom w:val="0"/>
          <w:divBdr>
            <w:top w:val="none" w:sz="0" w:space="0" w:color="auto"/>
            <w:left w:val="none" w:sz="0" w:space="0" w:color="auto"/>
            <w:bottom w:val="none" w:sz="0" w:space="0" w:color="auto"/>
            <w:right w:val="none" w:sz="0" w:space="0" w:color="auto"/>
          </w:divBdr>
          <w:divsChild>
            <w:div w:id="957184414">
              <w:marLeft w:val="0"/>
              <w:marRight w:val="0"/>
              <w:marTop w:val="0"/>
              <w:marBottom w:val="0"/>
              <w:divBdr>
                <w:top w:val="none" w:sz="0" w:space="0" w:color="auto"/>
                <w:left w:val="none" w:sz="0" w:space="0" w:color="auto"/>
                <w:bottom w:val="none" w:sz="0" w:space="0" w:color="auto"/>
                <w:right w:val="none" w:sz="0" w:space="0" w:color="auto"/>
              </w:divBdr>
              <w:divsChild>
                <w:div w:id="292562715">
                  <w:marLeft w:val="0"/>
                  <w:marRight w:val="0"/>
                  <w:marTop w:val="0"/>
                  <w:marBottom w:val="0"/>
                  <w:divBdr>
                    <w:top w:val="none" w:sz="0" w:space="0" w:color="auto"/>
                    <w:left w:val="none" w:sz="0" w:space="0" w:color="auto"/>
                    <w:bottom w:val="none" w:sz="0" w:space="0" w:color="auto"/>
                    <w:right w:val="none" w:sz="0" w:space="0" w:color="auto"/>
                  </w:divBdr>
                  <w:divsChild>
                    <w:div w:id="30108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911283">
      <w:bodyDiv w:val="1"/>
      <w:marLeft w:val="0"/>
      <w:marRight w:val="0"/>
      <w:marTop w:val="0"/>
      <w:marBottom w:val="0"/>
      <w:divBdr>
        <w:top w:val="none" w:sz="0" w:space="0" w:color="auto"/>
        <w:left w:val="none" w:sz="0" w:space="0" w:color="auto"/>
        <w:bottom w:val="none" w:sz="0" w:space="0" w:color="auto"/>
        <w:right w:val="none" w:sz="0" w:space="0" w:color="auto"/>
      </w:divBdr>
      <w:divsChild>
        <w:div w:id="1830906153">
          <w:marLeft w:val="0"/>
          <w:marRight w:val="0"/>
          <w:marTop w:val="0"/>
          <w:marBottom w:val="0"/>
          <w:divBdr>
            <w:top w:val="none" w:sz="0" w:space="0" w:color="auto"/>
            <w:left w:val="none" w:sz="0" w:space="0" w:color="auto"/>
            <w:bottom w:val="none" w:sz="0" w:space="0" w:color="auto"/>
            <w:right w:val="none" w:sz="0" w:space="0" w:color="auto"/>
          </w:divBdr>
          <w:divsChild>
            <w:div w:id="1814518062">
              <w:marLeft w:val="0"/>
              <w:marRight w:val="0"/>
              <w:marTop w:val="0"/>
              <w:marBottom w:val="0"/>
              <w:divBdr>
                <w:top w:val="none" w:sz="0" w:space="0" w:color="auto"/>
                <w:left w:val="none" w:sz="0" w:space="0" w:color="auto"/>
                <w:bottom w:val="none" w:sz="0" w:space="0" w:color="auto"/>
                <w:right w:val="none" w:sz="0" w:space="0" w:color="auto"/>
              </w:divBdr>
              <w:divsChild>
                <w:div w:id="925575460">
                  <w:marLeft w:val="0"/>
                  <w:marRight w:val="0"/>
                  <w:marTop w:val="0"/>
                  <w:marBottom w:val="0"/>
                  <w:divBdr>
                    <w:top w:val="none" w:sz="0" w:space="0" w:color="auto"/>
                    <w:left w:val="none" w:sz="0" w:space="0" w:color="auto"/>
                    <w:bottom w:val="none" w:sz="0" w:space="0" w:color="auto"/>
                    <w:right w:val="none" w:sz="0" w:space="0" w:color="auto"/>
                  </w:divBdr>
                  <w:divsChild>
                    <w:div w:id="1202934584">
                      <w:marLeft w:val="0"/>
                      <w:marRight w:val="0"/>
                      <w:marTop w:val="0"/>
                      <w:marBottom w:val="0"/>
                      <w:divBdr>
                        <w:top w:val="none" w:sz="0" w:space="0" w:color="auto"/>
                        <w:left w:val="none" w:sz="0" w:space="0" w:color="auto"/>
                        <w:bottom w:val="none" w:sz="0" w:space="0" w:color="auto"/>
                        <w:right w:val="none" w:sz="0" w:space="0" w:color="auto"/>
                      </w:divBdr>
                      <w:divsChild>
                        <w:div w:id="741951905">
                          <w:marLeft w:val="0"/>
                          <w:marRight w:val="0"/>
                          <w:marTop w:val="0"/>
                          <w:marBottom w:val="0"/>
                          <w:divBdr>
                            <w:top w:val="none" w:sz="0" w:space="0" w:color="auto"/>
                            <w:left w:val="none" w:sz="0" w:space="0" w:color="auto"/>
                            <w:bottom w:val="none" w:sz="0" w:space="0" w:color="auto"/>
                            <w:right w:val="none" w:sz="0" w:space="0" w:color="auto"/>
                          </w:divBdr>
                          <w:divsChild>
                            <w:div w:id="1794444470">
                              <w:marLeft w:val="0"/>
                              <w:marRight w:val="0"/>
                              <w:marTop w:val="0"/>
                              <w:marBottom w:val="0"/>
                              <w:divBdr>
                                <w:top w:val="none" w:sz="0" w:space="0" w:color="auto"/>
                                <w:left w:val="none" w:sz="0" w:space="0" w:color="auto"/>
                                <w:bottom w:val="none" w:sz="0" w:space="0" w:color="auto"/>
                                <w:right w:val="none" w:sz="0" w:space="0" w:color="auto"/>
                              </w:divBdr>
                              <w:divsChild>
                                <w:div w:id="1435205110">
                                  <w:marLeft w:val="0"/>
                                  <w:marRight w:val="0"/>
                                  <w:marTop w:val="0"/>
                                  <w:marBottom w:val="0"/>
                                  <w:divBdr>
                                    <w:top w:val="none" w:sz="0" w:space="0" w:color="auto"/>
                                    <w:left w:val="none" w:sz="0" w:space="0" w:color="auto"/>
                                    <w:bottom w:val="none" w:sz="0" w:space="0" w:color="auto"/>
                                    <w:right w:val="none" w:sz="0" w:space="0" w:color="auto"/>
                                  </w:divBdr>
                                  <w:divsChild>
                                    <w:div w:id="199491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8003499">
      <w:bodyDiv w:val="1"/>
      <w:marLeft w:val="0"/>
      <w:marRight w:val="0"/>
      <w:marTop w:val="0"/>
      <w:marBottom w:val="0"/>
      <w:divBdr>
        <w:top w:val="none" w:sz="0" w:space="0" w:color="auto"/>
        <w:left w:val="none" w:sz="0" w:space="0" w:color="auto"/>
        <w:bottom w:val="none" w:sz="0" w:space="0" w:color="auto"/>
        <w:right w:val="none" w:sz="0" w:space="0" w:color="auto"/>
      </w:divBdr>
    </w:div>
    <w:div w:id="1600872019">
      <w:bodyDiv w:val="1"/>
      <w:marLeft w:val="0"/>
      <w:marRight w:val="0"/>
      <w:marTop w:val="0"/>
      <w:marBottom w:val="0"/>
      <w:divBdr>
        <w:top w:val="none" w:sz="0" w:space="0" w:color="auto"/>
        <w:left w:val="none" w:sz="0" w:space="0" w:color="auto"/>
        <w:bottom w:val="none" w:sz="0" w:space="0" w:color="auto"/>
        <w:right w:val="none" w:sz="0" w:space="0" w:color="auto"/>
      </w:divBdr>
      <w:divsChild>
        <w:div w:id="481582903">
          <w:marLeft w:val="0"/>
          <w:marRight w:val="0"/>
          <w:marTop w:val="0"/>
          <w:marBottom w:val="0"/>
          <w:divBdr>
            <w:top w:val="none" w:sz="0" w:space="0" w:color="auto"/>
            <w:left w:val="none" w:sz="0" w:space="0" w:color="auto"/>
            <w:bottom w:val="none" w:sz="0" w:space="0" w:color="auto"/>
            <w:right w:val="none" w:sz="0" w:space="0" w:color="auto"/>
          </w:divBdr>
          <w:divsChild>
            <w:div w:id="583492973">
              <w:marLeft w:val="0"/>
              <w:marRight w:val="0"/>
              <w:marTop w:val="0"/>
              <w:marBottom w:val="0"/>
              <w:divBdr>
                <w:top w:val="none" w:sz="0" w:space="0" w:color="auto"/>
                <w:left w:val="none" w:sz="0" w:space="0" w:color="auto"/>
                <w:bottom w:val="none" w:sz="0" w:space="0" w:color="auto"/>
                <w:right w:val="none" w:sz="0" w:space="0" w:color="auto"/>
              </w:divBdr>
              <w:divsChild>
                <w:div w:id="13697028">
                  <w:marLeft w:val="0"/>
                  <w:marRight w:val="0"/>
                  <w:marTop w:val="0"/>
                  <w:marBottom w:val="0"/>
                  <w:divBdr>
                    <w:top w:val="none" w:sz="0" w:space="0" w:color="auto"/>
                    <w:left w:val="none" w:sz="0" w:space="0" w:color="auto"/>
                    <w:bottom w:val="none" w:sz="0" w:space="0" w:color="auto"/>
                    <w:right w:val="none" w:sz="0" w:space="0" w:color="auto"/>
                  </w:divBdr>
                  <w:divsChild>
                    <w:div w:id="1613441917">
                      <w:marLeft w:val="0"/>
                      <w:marRight w:val="0"/>
                      <w:marTop w:val="0"/>
                      <w:marBottom w:val="0"/>
                      <w:divBdr>
                        <w:top w:val="none" w:sz="0" w:space="0" w:color="auto"/>
                        <w:left w:val="none" w:sz="0" w:space="0" w:color="auto"/>
                        <w:bottom w:val="none" w:sz="0" w:space="0" w:color="auto"/>
                        <w:right w:val="none" w:sz="0" w:space="0" w:color="auto"/>
                      </w:divBdr>
                    </w:div>
                  </w:divsChild>
                </w:div>
                <w:div w:id="1778210080">
                  <w:marLeft w:val="0"/>
                  <w:marRight w:val="0"/>
                  <w:marTop w:val="0"/>
                  <w:marBottom w:val="0"/>
                  <w:divBdr>
                    <w:top w:val="none" w:sz="0" w:space="0" w:color="auto"/>
                    <w:left w:val="none" w:sz="0" w:space="0" w:color="auto"/>
                    <w:bottom w:val="none" w:sz="0" w:space="0" w:color="auto"/>
                    <w:right w:val="none" w:sz="0" w:space="0" w:color="auto"/>
                  </w:divBdr>
                  <w:divsChild>
                    <w:div w:id="1647785453">
                      <w:marLeft w:val="0"/>
                      <w:marRight w:val="0"/>
                      <w:marTop w:val="0"/>
                      <w:marBottom w:val="0"/>
                      <w:divBdr>
                        <w:top w:val="none" w:sz="0" w:space="0" w:color="auto"/>
                        <w:left w:val="none" w:sz="0" w:space="0" w:color="auto"/>
                        <w:bottom w:val="none" w:sz="0" w:space="0" w:color="auto"/>
                        <w:right w:val="none" w:sz="0" w:space="0" w:color="auto"/>
                      </w:divBdr>
                      <w:divsChild>
                        <w:div w:id="933048342">
                          <w:marLeft w:val="0"/>
                          <w:marRight w:val="0"/>
                          <w:marTop w:val="0"/>
                          <w:marBottom w:val="0"/>
                          <w:divBdr>
                            <w:top w:val="none" w:sz="0" w:space="0" w:color="auto"/>
                            <w:left w:val="none" w:sz="0" w:space="0" w:color="auto"/>
                            <w:bottom w:val="none" w:sz="0" w:space="0" w:color="auto"/>
                            <w:right w:val="none" w:sz="0" w:space="0" w:color="auto"/>
                          </w:divBdr>
                          <w:divsChild>
                            <w:div w:id="42252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551531">
      <w:bodyDiv w:val="1"/>
      <w:marLeft w:val="0"/>
      <w:marRight w:val="0"/>
      <w:marTop w:val="0"/>
      <w:marBottom w:val="0"/>
      <w:divBdr>
        <w:top w:val="none" w:sz="0" w:space="0" w:color="auto"/>
        <w:left w:val="none" w:sz="0" w:space="0" w:color="auto"/>
        <w:bottom w:val="none" w:sz="0" w:space="0" w:color="auto"/>
        <w:right w:val="none" w:sz="0" w:space="0" w:color="auto"/>
      </w:divBdr>
      <w:divsChild>
        <w:div w:id="653873864">
          <w:marLeft w:val="0"/>
          <w:marRight w:val="0"/>
          <w:marTop w:val="0"/>
          <w:marBottom w:val="0"/>
          <w:divBdr>
            <w:top w:val="none" w:sz="0" w:space="0" w:color="auto"/>
            <w:left w:val="none" w:sz="0" w:space="0" w:color="auto"/>
            <w:bottom w:val="none" w:sz="0" w:space="0" w:color="auto"/>
            <w:right w:val="none" w:sz="0" w:space="0" w:color="auto"/>
          </w:divBdr>
          <w:divsChild>
            <w:div w:id="823274677">
              <w:marLeft w:val="0"/>
              <w:marRight w:val="0"/>
              <w:marTop w:val="0"/>
              <w:marBottom w:val="0"/>
              <w:divBdr>
                <w:top w:val="none" w:sz="0" w:space="0" w:color="auto"/>
                <w:left w:val="none" w:sz="0" w:space="0" w:color="auto"/>
                <w:bottom w:val="none" w:sz="0" w:space="0" w:color="auto"/>
                <w:right w:val="none" w:sz="0" w:space="0" w:color="auto"/>
              </w:divBdr>
              <w:divsChild>
                <w:div w:id="232545845">
                  <w:marLeft w:val="0"/>
                  <w:marRight w:val="0"/>
                  <w:marTop w:val="0"/>
                  <w:marBottom w:val="0"/>
                  <w:divBdr>
                    <w:top w:val="none" w:sz="0" w:space="0" w:color="auto"/>
                    <w:left w:val="none" w:sz="0" w:space="0" w:color="auto"/>
                    <w:bottom w:val="none" w:sz="0" w:space="0" w:color="auto"/>
                    <w:right w:val="none" w:sz="0" w:space="0" w:color="auto"/>
                  </w:divBdr>
                  <w:divsChild>
                    <w:div w:id="157732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874525">
      <w:bodyDiv w:val="1"/>
      <w:marLeft w:val="0"/>
      <w:marRight w:val="0"/>
      <w:marTop w:val="0"/>
      <w:marBottom w:val="0"/>
      <w:divBdr>
        <w:top w:val="none" w:sz="0" w:space="0" w:color="auto"/>
        <w:left w:val="none" w:sz="0" w:space="0" w:color="auto"/>
        <w:bottom w:val="none" w:sz="0" w:space="0" w:color="auto"/>
        <w:right w:val="none" w:sz="0" w:space="0" w:color="auto"/>
      </w:divBdr>
      <w:divsChild>
        <w:div w:id="471950135">
          <w:marLeft w:val="0"/>
          <w:marRight w:val="0"/>
          <w:marTop w:val="0"/>
          <w:marBottom w:val="0"/>
          <w:divBdr>
            <w:top w:val="none" w:sz="0" w:space="0" w:color="auto"/>
            <w:left w:val="none" w:sz="0" w:space="0" w:color="auto"/>
            <w:bottom w:val="none" w:sz="0" w:space="0" w:color="auto"/>
            <w:right w:val="none" w:sz="0" w:space="0" w:color="auto"/>
          </w:divBdr>
          <w:divsChild>
            <w:div w:id="1819303720">
              <w:marLeft w:val="0"/>
              <w:marRight w:val="0"/>
              <w:marTop w:val="0"/>
              <w:marBottom w:val="0"/>
              <w:divBdr>
                <w:top w:val="none" w:sz="0" w:space="0" w:color="auto"/>
                <w:left w:val="none" w:sz="0" w:space="0" w:color="auto"/>
                <w:bottom w:val="none" w:sz="0" w:space="0" w:color="auto"/>
                <w:right w:val="none" w:sz="0" w:space="0" w:color="auto"/>
              </w:divBdr>
              <w:divsChild>
                <w:div w:id="335766651">
                  <w:marLeft w:val="0"/>
                  <w:marRight w:val="0"/>
                  <w:marTop w:val="0"/>
                  <w:marBottom w:val="0"/>
                  <w:divBdr>
                    <w:top w:val="none" w:sz="0" w:space="0" w:color="auto"/>
                    <w:left w:val="none" w:sz="0" w:space="0" w:color="auto"/>
                    <w:bottom w:val="none" w:sz="0" w:space="0" w:color="auto"/>
                    <w:right w:val="none" w:sz="0" w:space="0" w:color="auto"/>
                  </w:divBdr>
                  <w:divsChild>
                    <w:div w:id="1674529080">
                      <w:marLeft w:val="0"/>
                      <w:marRight w:val="0"/>
                      <w:marTop w:val="0"/>
                      <w:marBottom w:val="0"/>
                      <w:divBdr>
                        <w:top w:val="none" w:sz="0" w:space="0" w:color="auto"/>
                        <w:left w:val="none" w:sz="0" w:space="0" w:color="auto"/>
                        <w:bottom w:val="none" w:sz="0" w:space="0" w:color="auto"/>
                        <w:right w:val="none" w:sz="0" w:space="0" w:color="auto"/>
                      </w:divBdr>
                      <w:divsChild>
                        <w:div w:id="986861252">
                          <w:marLeft w:val="0"/>
                          <w:marRight w:val="0"/>
                          <w:marTop w:val="0"/>
                          <w:marBottom w:val="0"/>
                          <w:divBdr>
                            <w:top w:val="none" w:sz="0" w:space="0" w:color="auto"/>
                            <w:left w:val="none" w:sz="0" w:space="0" w:color="auto"/>
                            <w:bottom w:val="none" w:sz="0" w:space="0" w:color="auto"/>
                            <w:right w:val="none" w:sz="0" w:space="0" w:color="auto"/>
                          </w:divBdr>
                          <w:divsChild>
                            <w:div w:id="2017686928">
                              <w:marLeft w:val="0"/>
                              <w:marRight w:val="0"/>
                              <w:marTop w:val="0"/>
                              <w:marBottom w:val="0"/>
                              <w:divBdr>
                                <w:top w:val="none" w:sz="0" w:space="0" w:color="auto"/>
                                <w:left w:val="none" w:sz="0" w:space="0" w:color="auto"/>
                                <w:bottom w:val="none" w:sz="0" w:space="0" w:color="auto"/>
                                <w:right w:val="none" w:sz="0" w:space="0" w:color="auto"/>
                              </w:divBdr>
                              <w:divsChild>
                                <w:div w:id="271938868">
                                  <w:marLeft w:val="0"/>
                                  <w:marRight w:val="0"/>
                                  <w:marTop w:val="0"/>
                                  <w:marBottom w:val="0"/>
                                  <w:divBdr>
                                    <w:top w:val="none" w:sz="0" w:space="0" w:color="auto"/>
                                    <w:left w:val="none" w:sz="0" w:space="0" w:color="auto"/>
                                    <w:bottom w:val="none" w:sz="0" w:space="0" w:color="auto"/>
                                    <w:right w:val="none" w:sz="0" w:space="0" w:color="auto"/>
                                  </w:divBdr>
                                  <w:divsChild>
                                    <w:div w:id="56572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3003728">
      <w:bodyDiv w:val="1"/>
      <w:marLeft w:val="0"/>
      <w:marRight w:val="0"/>
      <w:marTop w:val="0"/>
      <w:marBottom w:val="0"/>
      <w:divBdr>
        <w:top w:val="none" w:sz="0" w:space="0" w:color="auto"/>
        <w:left w:val="none" w:sz="0" w:space="0" w:color="auto"/>
        <w:bottom w:val="none" w:sz="0" w:space="0" w:color="auto"/>
        <w:right w:val="none" w:sz="0" w:space="0" w:color="auto"/>
      </w:divBdr>
      <w:divsChild>
        <w:div w:id="657268934">
          <w:marLeft w:val="0"/>
          <w:marRight w:val="0"/>
          <w:marTop w:val="0"/>
          <w:marBottom w:val="0"/>
          <w:divBdr>
            <w:top w:val="none" w:sz="0" w:space="0" w:color="auto"/>
            <w:left w:val="none" w:sz="0" w:space="0" w:color="auto"/>
            <w:bottom w:val="none" w:sz="0" w:space="0" w:color="auto"/>
            <w:right w:val="none" w:sz="0" w:space="0" w:color="auto"/>
          </w:divBdr>
          <w:divsChild>
            <w:div w:id="1391464013">
              <w:marLeft w:val="0"/>
              <w:marRight w:val="0"/>
              <w:marTop w:val="0"/>
              <w:marBottom w:val="0"/>
              <w:divBdr>
                <w:top w:val="none" w:sz="0" w:space="0" w:color="auto"/>
                <w:left w:val="none" w:sz="0" w:space="0" w:color="auto"/>
                <w:bottom w:val="none" w:sz="0" w:space="0" w:color="auto"/>
                <w:right w:val="none" w:sz="0" w:space="0" w:color="auto"/>
              </w:divBdr>
              <w:divsChild>
                <w:div w:id="813761258">
                  <w:marLeft w:val="0"/>
                  <w:marRight w:val="0"/>
                  <w:marTop w:val="0"/>
                  <w:marBottom w:val="0"/>
                  <w:divBdr>
                    <w:top w:val="none" w:sz="0" w:space="0" w:color="auto"/>
                    <w:left w:val="none" w:sz="0" w:space="0" w:color="auto"/>
                    <w:bottom w:val="none" w:sz="0" w:space="0" w:color="auto"/>
                    <w:right w:val="none" w:sz="0" w:space="0" w:color="auto"/>
                  </w:divBdr>
                  <w:divsChild>
                    <w:div w:id="57235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680931">
      <w:bodyDiv w:val="1"/>
      <w:marLeft w:val="0"/>
      <w:marRight w:val="0"/>
      <w:marTop w:val="0"/>
      <w:marBottom w:val="0"/>
      <w:divBdr>
        <w:top w:val="none" w:sz="0" w:space="0" w:color="auto"/>
        <w:left w:val="none" w:sz="0" w:space="0" w:color="auto"/>
        <w:bottom w:val="none" w:sz="0" w:space="0" w:color="auto"/>
        <w:right w:val="none" w:sz="0" w:space="0" w:color="auto"/>
      </w:divBdr>
      <w:divsChild>
        <w:div w:id="772551966">
          <w:marLeft w:val="0"/>
          <w:marRight w:val="0"/>
          <w:marTop w:val="0"/>
          <w:marBottom w:val="0"/>
          <w:divBdr>
            <w:top w:val="none" w:sz="0" w:space="0" w:color="auto"/>
            <w:left w:val="none" w:sz="0" w:space="0" w:color="auto"/>
            <w:bottom w:val="none" w:sz="0" w:space="0" w:color="auto"/>
            <w:right w:val="none" w:sz="0" w:space="0" w:color="auto"/>
          </w:divBdr>
          <w:divsChild>
            <w:div w:id="1068040326">
              <w:marLeft w:val="0"/>
              <w:marRight w:val="0"/>
              <w:marTop w:val="0"/>
              <w:marBottom w:val="0"/>
              <w:divBdr>
                <w:top w:val="none" w:sz="0" w:space="0" w:color="auto"/>
                <w:left w:val="none" w:sz="0" w:space="0" w:color="auto"/>
                <w:bottom w:val="none" w:sz="0" w:space="0" w:color="auto"/>
                <w:right w:val="none" w:sz="0" w:space="0" w:color="auto"/>
              </w:divBdr>
              <w:divsChild>
                <w:div w:id="358703509">
                  <w:marLeft w:val="0"/>
                  <w:marRight w:val="0"/>
                  <w:marTop w:val="0"/>
                  <w:marBottom w:val="0"/>
                  <w:divBdr>
                    <w:top w:val="none" w:sz="0" w:space="0" w:color="auto"/>
                    <w:left w:val="none" w:sz="0" w:space="0" w:color="auto"/>
                    <w:bottom w:val="none" w:sz="0" w:space="0" w:color="auto"/>
                    <w:right w:val="none" w:sz="0" w:space="0" w:color="auto"/>
                  </w:divBdr>
                  <w:divsChild>
                    <w:div w:id="95552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600442">
      <w:bodyDiv w:val="1"/>
      <w:marLeft w:val="0"/>
      <w:marRight w:val="0"/>
      <w:marTop w:val="0"/>
      <w:marBottom w:val="0"/>
      <w:divBdr>
        <w:top w:val="none" w:sz="0" w:space="0" w:color="auto"/>
        <w:left w:val="none" w:sz="0" w:space="0" w:color="auto"/>
        <w:bottom w:val="none" w:sz="0" w:space="0" w:color="auto"/>
        <w:right w:val="none" w:sz="0" w:space="0" w:color="auto"/>
      </w:divBdr>
    </w:div>
    <w:div w:id="1670331933">
      <w:bodyDiv w:val="1"/>
      <w:marLeft w:val="0"/>
      <w:marRight w:val="0"/>
      <w:marTop w:val="0"/>
      <w:marBottom w:val="0"/>
      <w:divBdr>
        <w:top w:val="none" w:sz="0" w:space="0" w:color="auto"/>
        <w:left w:val="none" w:sz="0" w:space="0" w:color="auto"/>
        <w:bottom w:val="none" w:sz="0" w:space="0" w:color="auto"/>
        <w:right w:val="none" w:sz="0" w:space="0" w:color="auto"/>
      </w:divBdr>
    </w:div>
    <w:div w:id="1670912101">
      <w:bodyDiv w:val="1"/>
      <w:marLeft w:val="0"/>
      <w:marRight w:val="0"/>
      <w:marTop w:val="0"/>
      <w:marBottom w:val="0"/>
      <w:divBdr>
        <w:top w:val="none" w:sz="0" w:space="0" w:color="auto"/>
        <w:left w:val="none" w:sz="0" w:space="0" w:color="auto"/>
        <w:bottom w:val="none" w:sz="0" w:space="0" w:color="auto"/>
        <w:right w:val="none" w:sz="0" w:space="0" w:color="auto"/>
      </w:divBdr>
      <w:divsChild>
        <w:div w:id="691876950">
          <w:marLeft w:val="0"/>
          <w:marRight w:val="0"/>
          <w:marTop w:val="0"/>
          <w:marBottom w:val="0"/>
          <w:divBdr>
            <w:top w:val="none" w:sz="0" w:space="0" w:color="auto"/>
            <w:left w:val="none" w:sz="0" w:space="0" w:color="auto"/>
            <w:bottom w:val="none" w:sz="0" w:space="0" w:color="auto"/>
            <w:right w:val="none" w:sz="0" w:space="0" w:color="auto"/>
          </w:divBdr>
          <w:divsChild>
            <w:div w:id="1244148640">
              <w:marLeft w:val="0"/>
              <w:marRight w:val="0"/>
              <w:marTop w:val="0"/>
              <w:marBottom w:val="0"/>
              <w:divBdr>
                <w:top w:val="none" w:sz="0" w:space="0" w:color="auto"/>
                <w:left w:val="none" w:sz="0" w:space="0" w:color="auto"/>
                <w:bottom w:val="none" w:sz="0" w:space="0" w:color="auto"/>
                <w:right w:val="none" w:sz="0" w:space="0" w:color="auto"/>
              </w:divBdr>
              <w:divsChild>
                <w:div w:id="377976979">
                  <w:marLeft w:val="0"/>
                  <w:marRight w:val="0"/>
                  <w:marTop w:val="0"/>
                  <w:marBottom w:val="0"/>
                  <w:divBdr>
                    <w:top w:val="none" w:sz="0" w:space="0" w:color="auto"/>
                    <w:left w:val="none" w:sz="0" w:space="0" w:color="auto"/>
                    <w:bottom w:val="none" w:sz="0" w:space="0" w:color="auto"/>
                    <w:right w:val="none" w:sz="0" w:space="0" w:color="auto"/>
                  </w:divBdr>
                  <w:divsChild>
                    <w:div w:id="192842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561295">
      <w:bodyDiv w:val="1"/>
      <w:marLeft w:val="0"/>
      <w:marRight w:val="0"/>
      <w:marTop w:val="0"/>
      <w:marBottom w:val="0"/>
      <w:divBdr>
        <w:top w:val="none" w:sz="0" w:space="0" w:color="auto"/>
        <w:left w:val="none" w:sz="0" w:space="0" w:color="auto"/>
        <w:bottom w:val="none" w:sz="0" w:space="0" w:color="auto"/>
        <w:right w:val="none" w:sz="0" w:space="0" w:color="auto"/>
      </w:divBdr>
      <w:divsChild>
        <w:div w:id="82188566">
          <w:marLeft w:val="0"/>
          <w:marRight w:val="0"/>
          <w:marTop w:val="0"/>
          <w:marBottom w:val="0"/>
          <w:divBdr>
            <w:top w:val="none" w:sz="0" w:space="0" w:color="auto"/>
            <w:left w:val="none" w:sz="0" w:space="0" w:color="auto"/>
            <w:bottom w:val="none" w:sz="0" w:space="0" w:color="auto"/>
            <w:right w:val="none" w:sz="0" w:space="0" w:color="auto"/>
          </w:divBdr>
          <w:divsChild>
            <w:div w:id="1727950999">
              <w:marLeft w:val="0"/>
              <w:marRight w:val="0"/>
              <w:marTop w:val="0"/>
              <w:marBottom w:val="0"/>
              <w:divBdr>
                <w:top w:val="none" w:sz="0" w:space="0" w:color="auto"/>
                <w:left w:val="none" w:sz="0" w:space="0" w:color="auto"/>
                <w:bottom w:val="none" w:sz="0" w:space="0" w:color="auto"/>
                <w:right w:val="none" w:sz="0" w:space="0" w:color="auto"/>
              </w:divBdr>
              <w:divsChild>
                <w:div w:id="238565186">
                  <w:marLeft w:val="0"/>
                  <w:marRight w:val="0"/>
                  <w:marTop w:val="0"/>
                  <w:marBottom w:val="0"/>
                  <w:divBdr>
                    <w:top w:val="none" w:sz="0" w:space="0" w:color="auto"/>
                    <w:left w:val="none" w:sz="0" w:space="0" w:color="auto"/>
                    <w:bottom w:val="none" w:sz="0" w:space="0" w:color="auto"/>
                    <w:right w:val="none" w:sz="0" w:space="0" w:color="auto"/>
                  </w:divBdr>
                  <w:divsChild>
                    <w:div w:id="192711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530005">
      <w:bodyDiv w:val="1"/>
      <w:marLeft w:val="0"/>
      <w:marRight w:val="0"/>
      <w:marTop w:val="0"/>
      <w:marBottom w:val="0"/>
      <w:divBdr>
        <w:top w:val="none" w:sz="0" w:space="0" w:color="auto"/>
        <w:left w:val="none" w:sz="0" w:space="0" w:color="auto"/>
        <w:bottom w:val="none" w:sz="0" w:space="0" w:color="auto"/>
        <w:right w:val="none" w:sz="0" w:space="0" w:color="auto"/>
      </w:divBdr>
    </w:div>
    <w:div w:id="1679385926">
      <w:bodyDiv w:val="1"/>
      <w:marLeft w:val="0"/>
      <w:marRight w:val="0"/>
      <w:marTop w:val="0"/>
      <w:marBottom w:val="0"/>
      <w:divBdr>
        <w:top w:val="none" w:sz="0" w:space="0" w:color="auto"/>
        <w:left w:val="none" w:sz="0" w:space="0" w:color="auto"/>
        <w:bottom w:val="none" w:sz="0" w:space="0" w:color="auto"/>
        <w:right w:val="none" w:sz="0" w:space="0" w:color="auto"/>
      </w:divBdr>
      <w:divsChild>
        <w:div w:id="665018">
          <w:marLeft w:val="0"/>
          <w:marRight w:val="0"/>
          <w:marTop w:val="0"/>
          <w:marBottom w:val="0"/>
          <w:divBdr>
            <w:top w:val="none" w:sz="0" w:space="0" w:color="auto"/>
            <w:left w:val="none" w:sz="0" w:space="0" w:color="auto"/>
            <w:bottom w:val="none" w:sz="0" w:space="0" w:color="auto"/>
            <w:right w:val="none" w:sz="0" w:space="0" w:color="auto"/>
          </w:divBdr>
          <w:divsChild>
            <w:div w:id="1158032797">
              <w:marLeft w:val="0"/>
              <w:marRight w:val="0"/>
              <w:marTop w:val="0"/>
              <w:marBottom w:val="0"/>
              <w:divBdr>
                <w:top w:val="none" w:sz="0" w:space="0" w:color="auto"/>
                <w:left w:val="none" w:sz="0" w:space="0" w:color="auto"/>
                <w:bottom w:val="none" w:sz="0" w:space="0" w:color="auto"/>
                <w:right w:val="none" w:sz="0" w:space="0" w:color="auto"/>
              </w:divBdr>
              <w:divsChild>
                <w:div w:id="1844976443">
                  <w:marLeft w:val="0"/>
                  <w:marRight w:val="0"/>
                  <w:marTop w:val="0"/>
                  <w:marBottom w:val="0"/>
                  <w:divBdr>
                    <w:top w:val="none" w:sz="0" w:space="0" w:color="auto"/>
                    <w:left w:val="none" w:sz="0" w:space="0" w:color="auto"/>
                    <w:bottom w:val="none" w:sz="0" w:space="0" w:color="auto"/>
                    <w:right w:val="none" w:sz="0" w:space="0" w:color="auto"/>
                  </w:divBdr>
                  <w:divsChild>
                    <w:div w:id="5153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589006">
      <w:bodyDiv w:val="1"/>
      <w:marLeft w:val="0"/>
      <w:marRight w:val="0"/>
      <w:marTop w:val="0"/>
      <w:marBottom w:val="0"/>
      <w:divBdr>
        <w:top w:val="none" w:sz="0" w:space="0" w:color="auto"/>
        <w:left w:val="none" w:sz="0" w:space="0" w:color="auto"/>
        <w:bottom w:val="none" w:sz="0" w:space="0" w:color="auto"/>
        <w:right w:val="none" w:sz="0" w:space="0" w:color="auto"/>
      </w:divBdr>
      <w:divsChild>
        <w:div w:id="1632711713">
          <w:marLeft w:val="0"/>
          <w:marRight w:val="0"/>
          <w:marTop w:val="0"/>
          <w:marBottom w:val="0"/>
          <w:divBdr>
            <w:top w:val="none" w:sz="0" w:space="0" w:color="auto"/>
            <w:left w:val="none" w:sz="0" w:space="0" w:color="auto"/>
            <w:bottom w:val="none" w:sz="0" w:space="0" w:color="auto"/>
            <w:right w:val="none" w:sz="0" w:space="0" w:color="auto"/>
          </w:divBdr>
          <w:divsChild>
            <w:div w:id="1627849894">
              <w:marLeft w:val="0"/>
              <w:marRight w:val="0"/>
              <w:marTop w:val="0"/>
              <w:marBottom w:val="0"/>
              <w:divBdr>
                <w:top w:val="none" w:sz="0" w:space="0" w:color="auto"/>
                <w:left w:val="none" w:sz="0" w:space="0" w:color="auto"/>
                <w:bottom w:val="none" w:sz="0" w:space="0" w:color="auto"/>
                <w:right w:val="none" w:sz="0" w:space="0" w:color="auto"/>
              </w:divBdr>
              <w:divsChild>
                <w:div w:id="1558978248">
                  <w:marLeft w:val="0"/>
                  <w:marRight w:val="0"/>
                  <w:marTop w:val="0"/>
                  <w:marBottom w:val="0"/>
                  <w:divBdr>
                    <w:top w:val="none" w:sz="0" w:space="0" w:color="auto"/>
                    <w:left w:val="none" w:sz="0" w:space="0" w:color="auto"/>
                    <w:bottom w:val="none" w:sz="0" w:space="0" w:color="auto"/>
                    <w:right w:val="none" w:sz="0" w:space="0" w:color="auto"/>
                  </w:divBdr>
                  <w:divsChild>
                    <w:div w:id="69809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206450">
      <w:bodyDiv w:val="1"/>
      <w:marLeft w:val="0"/>
      <w:marRight w:val="0"/>
      <w:marTop w:val="0"/>
      <w:marBottom w:val="0"/>
      <w:divBdr>
        <w:top w:val="none" w:sz="0" w:space="0" w:color="auto"/>
        <w:left w:val="none" w:sz="0" w:space="0" w:color="auto"/>
        <w:bottom w:val="none" w:sz="0" w:space="0" w:color="auto"/>
        <w:right w:val="none" w:sz="0" w:space="0" w:color="auto"/>
      </w:divBdr>
      <w:divsChild>
        <w:div w:id="1683898528">
          <w:marLeft w:val="0"/>
          <w:marRight w:val="0"/>
          <w:marTop w:val="0"/>
          <w:marBottom w:val="0"/>
          <w:divBdr>
            <w:top w:val="none" w:sz="0" w:space="0" w:color="auto"/>
            <w:left w:val="none" w:sz="0" w:space="0" w:color="auto"/>
            <w:bottom w:val="none" w:sz="0" w:space="0" w:color="auto"/>
            <w:right w:val="none" w:sz="0" w:space="0" w:color="auto"/>
          </w:divBdr>
          <w:divsChild>
            <w:div w:id="822114345">
              <w:marLeft w:val="0"/>
              <w:marRight w:val="0"/>
              <w:marTop w:val="0"/>
              <w:marBottom w:val="0"/>
              <w:divBdr>
                <w:top w:val="none" w:sz="0" w:space="0" w:color="auto"/>
                <w:left w:val="none" w:sz="0" w:space="0" w:color="auto"/>
                <w:bottom w:val="none" w:sz="0" w:space="0" w:color="auto"/>
                <w:right w:val="none" w:sz="0" w:space="0" w:color="auto"/>
              </w:divBdr>
              <w:divsChild>
                <w:div w:id="401297281">
                  <w:marLeft w:val="0"/>
                  <w:marRight w:val="0"/>
                  <w:marTop w:val="0"/>
                  <w:marBottom w:val="0"/>
                  <w:divBdr>
                    <w:top w:val="none" w:sz="0" w:space="0" w:color="auto"/>
                    <w:left w:val="none" w:sz="0" w:space="0" w:color="auto"/>
                    <w:bottom w:val="none" w:sz="0" w:space="0" w:color="auto"/>
                    <w:right w:val="none" w:sz="0" w:space="0" w:color="auto"/>
                  </w:divBdr>
                  <w:divsChild>
                    <w:div w:id="139520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696263">
      <w:bodyDiv w:val="1"/>
      <w:marLeft w:val="0"/>
      <w:marRight w:val="0"/>
      <w:marTop w:val="0"/>
      <w:marBottom w:val="0"/>
      <w:divBdr>
        <w:top w:val="none" w:sz="0" w:space="0" w:color="auto"/>
        <w:left w:val="none" w:sz="0" w:space="0" w:color="auto"/>
        <w:bottom w:val="none" w:sz="0" w:space="0" w:color="auto"/>
        <w:right w:val="none" w:sz="0" w:space="0" w:color="auto"/>
      </w:divBdr>
      <w:divsChild>
        <w:div w:id="1415669576">
          <w:marLeft w:val="0"/>
          <w:marRight w:val="0"/>
          <w:marTop w:val="0"/>
          <w:marBottom w:val="0"/>
          <w:divBdr>
            <w:top w:val="none" w:sz="0" w:space="0" w:color="auto"/>
            <w:left w:val="none" w:sz="0" w:space="0" w:color="auto"/>
            <w:bottom w:val="none" w:sz="0" w:space="0" w:color="auto"/>
            <w:right w:val="none" w:sz="0" w:space="0" w:color="auto"/>
          </w:divBdr>
          <w:divsChild>
            <w:div w:id="732582022">
              <w:marLeft w:val="0"/>
              <w:marRight w:val="0"/>
              <w:marTop w:val="0"/>
              <w:marBottom w:val="0"/>
              <w:divBdr>
                <w:top w:val="none" w:sz="0" w:space="0" w:color="auto"/>
                <w:left w:val="none" w:sz="0" w:space="0" w:color="auto"/>
                <w:bottom w:val="none" w:sz="0" w:space="0" w:color="auto"/>
                <w:right w:val="none" w:sz="0" w:space="0" w:color="auto"/>
              </w:divBdr>
              <w:divsChild>
                <w:div w:id="87163412">
                  <w:marLeft w:val="0"/>
                  <w:marRight w:val="0"/>
                  <w:marTop w:val="0"/>
                  <w:marBottom w:val="0"/>
                  <w:divBdr>
                    <w:top w:val="none" w:sz="0" w:space="0" w:color="auto"/>
                    <w:left w:val="none" w:sz="0" w:space="0" w:color="auto"/>
                    <w:bottom w:val="none" w:sz="0" w:space="0" w:color="auto"/>
                    <w:right w:val="none" w:sz="0" w:space="0" w:color="auto"/>
                  </w:divBdr>
                  <w:divsChild>
                    <w:div w:id="1854949421">
                      <w:marLeft w:val="0"/>
                      <w:marRight w:val="0"/>
                      <w:marTop w:val="0"/>
                      <w:marBottom w:val="0"/>
                      <w:divBdr>
                        <w:top w:val="none" w:sz="0" w:space="0" w:color="auto"/>
                        <w:left w:val="none" w:sz="0" w:space="0" w:color="auto"/>
                        <w:bottom w:val="none" w:sz="0" w:space="0" w:color="auto"/>
                        <w:right w:val="none" w:sz="0" w:space="0" w:color="auto"/>
                      </w:divBdr>
                      <w:divsChild>
                        <w:div w:id="1714499573">
                          <w:marLeft w:val="0"/>
                          <w:marRight w:val="0"/>
                          <w:marTop w:val="0"/>
                          <w:marBottom w:val="0"/>
                          <w:divBdr>
                            <w:top w:val="none" w:sz="0" w:space="0" w:color="auto"/>
                            <w:left w:val="none" w:sz="0" w:space="0" w:color="auto"/>
                            <w:bottom w:val="none" w:sz="0" w:space="0" w:color="auto"/>
                            <w:right w:val="none" w:sz="0" w:space="0" w:color="auto"/>
                          </w:divBdr>
                          <w:divsChild>
                            <w:div w:id="46577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078323">
                  <w:marLeft w:val="0"/>
                  <w:marRight w:val="0"/>
                  <w:marTop w:val="0"/>
                  <w:marBottom w:val="0"/>
                  <w:divBdr>
                    <w:top w:val="none" w:sz="0" w:space="0" w:color="auto"/>
                    <w:left w:val="none" w:sz="0" w:space="0" w:color="auto"/>
                    <w:bottom w:val="none" w:sz="0" w:space="0" w:color="auto"/>
                    <w:right w:val="none" w:sz="0" w:space="0" w:color="auto"/>
                  </w:divBdr>
                  <w:divsChild>
                    <w:div w:id="117114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666511">
      <w:bodyDiv w:val="1"/>
      <w:marLeft w:val="0"/>
      <w:marRight w:val="0"/>
      <w:marTop w:val="0"/>
      <w:marBottom w:val="0"/>
      <w:divBdr>
        <w:top w:val="none" w:sz="0" w:space="0" w:color="auto"/>
        <w:left w:val="none" w:sz="0" w:space="0" w:color="auto"/>
        <w:bottom w:val="none" w:sz="0" w:space="0" w:color="auto"/>
        <w:right w:val="none" w:sz="0" w:space="0" w:color="auto"/>
      </w:divBdr>
      <w:divsChild>
        <w:div w:id="884491688">
          <w:marLeft w:val="0"/>
          <w:marRight w:val="0"/>
          <w:marTop w:val="0"/>
          <w:marBottom w:val="0"/>
          <w:divBdr>
            <w:top w:val="none" w:sz="0" w:space="0" w:color="auto"/>
            <w:left w:val="none" w:sz="0" w:space="0" w:color="auto"/>
            <w:bottom w:val="none" w:sz="0" w:space="0" w:color="auto"/>
            <w:right w:val="none" w:sz="0" w:space="0" w:color="auto"/>
          </w:divBdr>
          <w:divsChild>
            <w:div w:id="118962068">
              <w:marLeft w:val="0"/>
              <w:marRight w:val="0"/>
              <w:marTop w:val="0"/>
              <w:marBottom w:val="0"/>
              <w:divBdr>
                <w:top w:val="none" w:sz="0" w:space="0" w:color="auto"/>
                <w:left w:val="none" w:sz="0" w:space="0" w:color="auto"/>
                <w:bottom w:val="none" w:sz="0" w:space="0" w:color="auto"/>
                <w:right w:val="none" w:sz="0" w:space="0" w:color="auto"/>
              </w:divBdr>
              <w:divsChild>
                <w:div w:id="142049242">
                  <w:marLeft w:val="0"/>
                  <w:marRight w:val="0"/>
                  <w:marTop w:val="0"/>
                  <w:marBottom w:val="0"/>
                  <w:divBdr>
                    <w:top w:val="none" w:sz="0" w:space="0" w:color="auto"/>
                    <w:left w:val="none" w:sz="0" w:space="0" w:color="auto"/>
                    <w:bottom w:val="none" w:sz="0" w:space="0" w:color="auto"/>
                    <w:right w:val="none" w:sz="0" w:space="0" w:color="auto"/>
                  </w:divBdr>
                  <w:divsChild>
                    <w:div w:id="26681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569247">
      <w:bodyDiv w:val="1"/>
      <w:marLeft w:val="0"/>
      <w:marRight w:val="0"/>
      <w:marTop w:val="0"/>
      <w:marBottom w:val="0"/>
      <w:divBdr>
        <w:top w:val="none" w:sz="0" w:space="0" w:color="auto"/>
        <w:left w:val="none" w:sz="0" w:space="0" w:color="auto"/>
        <w:bottom w:val="none" w:sz="0" w:space="0" w:color="auto"/>
        <w:right w:val="none" w:sz="0" w:space="0" w:color="auto"/>
      </w:divBdr>
      <w:divsChild>
        <w:div w:id="1893955301">
          <w:marLeft w:val="0"/>
          <w:marRight w:val="0"/>
          <w:marTop w:val="0"/>
          <w:marBottom w:val="0"/>
          <w:divBdr>
            <w:top w:val="none" w:sz="0" w:space="0" w:color="auto"/>
            <w:left w:val="none" w:sz="0" w:space="0" w:color="auto"/>
            <w:bottom w:val="none" w:sz="0" w:space="0" w:color="auto"/>
            <w:right w:val="none" w:sz="0" w:space="0" w:color="auto"/>
          </w:divBdr>
          <w:divsChild>
            <w:div w:id="1383211180">
              <w:marLeft w:val="0"/>
              <w:marRight w:val="0"/>
              <w:marTop w:val="0"/>
              <w:marBottom w:val="0"/>
              <w:divBdr>
                <w:top w:val="none" w:sz="0" w:space="0" w:color="auto"/>
                <w:left w:val="none" w:sz="0" w:space="0" w:color="auto"/>
                <w:bottom w:val="none" w:sz="0" w:space="0" w:color="auto"/>
                <w:right w:val="none" w:sz="0" w:space="0" w:color="auto"/>
              </w:divBdr>
              <w:divsChild>
                <w:div w:id="1118068011">
                  <w:marLeft w:val="0"/>
                  <w:marRight w:val="0"/>
                  <w:marTop w:val="0"/>
                  <w:marBottom w:val="0"/>
                  <w:divBdr>
                    <w:top w:val="none" w:sz="0" w:space="0" w:color="auto"/>
                    <w:left w:val="none" w:sz="0" w:space="0" w:color="auto"/>
                    <w:bottom w:val="none" w:sz="0" w:space="0" w:color="auto"/>
                    <w:right w:val="none" w:sz="0" w:space="0" w:color="auto"/>
                  </w:divBdr>
                  <w:divsChild>
                    <w:div w:id="1975796108">
                      <w:marLeft w:val="0"/>
                      <w:marRight w:val="0"/>
                      <w:marTop w:val="0"/>
                      <w:marBottom w:val="0"/>
                      <w:divBdr>
                        <w:top w:val="none" w:sz="0" w:space="0" w:color="auto"/>
                        <w:left w:val="none" w:sz="0" w:space="0" w:color="auto"/>
                        <w:bottom w:val="none" w:sz="0" w:space="0" w:color="auto"/>
                        <w:right w:val="none" w:sz="0" w:space="0" w:color="auto"/>
                      </w:divBdr>
                      <w:divsChild>
                        <w:div w:id="1963683274">
                          <w:marLeft w:val="0"/>
                          <w:marRight w:val="0"/>
                          <w:marTop w:val="0"/>
                          <w:marBottom w:val="0"/>
                          <w:divBdr>
                            <w:top w:val="none" w:sz="0" w:space="0" w:color="auto"/>
                            <w:left w:val="none" w:sz="0" w:space="0" w:color="auto"/>
                            <w:bottom w:val="none" w:sz="0" w:space="0" w:color="auto"/>
                            <w:right w:val="none" w:sz="0" w:space="0" w:color="auto"/>
                          </w:divBdr>
                          <w:divsChild>
                            <w:div w:id="185485193">
                              <w:marLeft w:val="0"/>
                              <w:marRight w:val="0"/>
                              <w:marTop w:val="0"/>
                              <w:marBottom w:val="0"/>
                              <w:divBdr>
                                <w:top w:val="none" w:sz="0" w:space="0" w:color="auto"/>
                                <w:left w:val="none" w:sz="0" w:space="0" w:color="auto"/>
                                <w:bottom w:val="none" w:sz="0" w:space="0" w:color="auto"/>
                                <w:right w:val="none" w:sz="0" w:space="0" w:color="auto"/>
                              </w:divBdr>
                              <w:divsChild>
                                <w:div w:id="1497183002">
                                  <w:marLeft w:val="0"/>
                                  <w:marRight w:val="0"/>
                                  <w:marTop w:val="0"/>
                                  <w:marBottom w:val="0"/>
                                  <w:divBdr>
                                    <w:top w:val="none" w:sz="0" w:space="0" w:color="auto"/>
                                    <w:left w:val="none" w:sz="0" w:space="0" w:color="auto"/>
                                    <w:bottom w:val="none" w:sz="0" w:space="0" w:color="auto"/>
                                    <w:right w:val="none" w:sz="0" w:space="0" w:color="auto"/>
                                  </w:divBdr>
                                  <w:divsChild>
                                    <w:div w:id="8179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8045660">
      <w:bodyDiv w:val="1"/>
      <w:marLeft w:val="0"/>
      <w:marRight w:val="0"/>
      <w:marTop w:val="0"/>
      <w:marBottom w:val="0"/>
      <w:divBdr>
        <w:top w:val="none" w:sz="0" w:space="0" w:color="auto"/>
        <w:left w:val="none" w:sz="0" w:space="0" w:color="auto"/>
        <w:bottom w:val="none" w:sz="0" w:space="0" w:color="auto"/>
        <w:right w:val="none" w:sz="0" w:space="0" w:color="auto"/>
      </w:divBdr>
      <w:divsChild>
        <w:div w:id="1809662373">
          <w:marLeft w:val="0"/>
          <w:marRight w:val="0"/>
          <w:marTop w:val="0"/>
          <w:marBottom w:val="0"/>
          <w:divBdr>
            <w:top w:val="none" w:sz="0" w:space="0" w:color="auto"/>
            <w:left w:val="none" w:sz="0" w:space="0" w:color="auto"/>
            <w:bottom w:val="none" w:sz="0" w:space="0" w:color="auto"/>
            <w:right w:val="none" w:sz="0" w:space="0" w:color="auto"/>
          </w:divBdr>
          <w:divsChild>
            <w:div w:id="1288313143">
              <w:marLeft w:val="0"/>
              <w:marRight w:val="0"/>
              <w:marTop w:val="0"/>
              <w:marBottom w:val="0"/>
              <w:divBdr>
                <w:top w:val="none" w:sz="0" w:space="0" w:color="auto"/>
                <w:left w:val="none" w:sz="0" w:space="0" w:color="auto"/>
                <w:bottom w:val="none" w:sz="0" w:space="0" w:color="auto"/>
                <w:right w:val="none" w:sz="0" w:space="0" w:color="auto"/>
              </w:divBdr>
              <w:divsChild>
                <w:div w:id="261686181">
                  <w:marLeft w:val="0"/>
                  <w:marRight w:val="0"/>
                  <w:marTop w:val="0"/>
                  <w:marBottom w:val="0"/>
                  <w:divBdr>
                    <w:top w:val="none" w:sz="0" w:space="0" w:color="auto"/>
                    <w:left w:val="none" w:sz="0" w:space="0" w:color="auto"/>
                    <w:bottom w:val="none" w:sz="0" w:space="0" w:color="auto"/>
                    <w:right w:val="none" w:sz="0" w:space="0" w:color="auto"/>
                  </w:divBdr>
                  <w:divsChild>
                    <w:div w:id="1746804612">
                      <w:marLeft w:val="0"/>
                      <w:marRight w:val="0"/>
                      <w:marTop w:val="0"/>
                      <w:marBottom w:val="0"/>
                      <w:divBdr>
                        <w:top w:val="none" w:sz="0" w:space="0" w:color="auto"/>
                        <w:left w:val="none" w:sz="0" w:space="0" w:color="auto"/>
                        <w:bottom w:val="none" w:sz="0" w:space="0" w:color="auto"/>
                        <w:right w:val="none" w:sz="0" w:space="0" w:color="auto"/>
                      </w:divBdr>
                    </w:div>
                  </w:divsChild>
                </w:div>
                <w:div w:id="1783184868">
                  <w:marLeft w:val="0"/>
                  <w:marRight w:val="0"/>
                  <w:marTop w:val="0"/>
                  <w:marBottom w:val="0"/>
                  <w:divBdr>
                    <w:top w:val="none" w:sz="0" w:space="0" w:color="auto"/>
                    <w:left w:val="none" w:sz="0" w:space="0" w:color="auto"/>
                    <w:bottom w:val="none" w:sz="0" w:space="0" w:color="auto"/>
                    <w:right w:val="none" w:sz="0" w:space="0" w:color="auto"/>
                  </w:divBdr>
                  <w:divsChild>
                    <w:div w:id="1708749101">
                      <w:marLeft w:val="0"/>
                      <w:marRight w:val="0"/>
                      <w:marTop w:val="0"/>
                      <w:marBottom w:val="0"/>
                      <w:divBdr>
                        <w:top w:val="none" w:sz="0" w:space="0" w:color="auto"/>
                        <w:left w:val="none" w:sz="0" w:space="0" w:color="auto"/>
                        <w:bottom w:val="none" w:sz="0" w:space="0" w:color="auto"/>
                        <w:right w:val="none" w:sz="0" w:space="0" w:color="auto"/>
                      </w:divBdr>
                      <w:divsChild>
                        <w:div w:id="2095126292">
                          <w:marLeft w:val="0"/>
                          <w:marRight w:val="0"/>
                          <w:marTop w:val="0"/>
                          <w:marBottom w:val="0"/>
                          <w:divBdr>
                            <w:top w:val="none" w:sz="0" w:space="0" w:color="auto"/>
                            <w:left w:val="none" w:sz="0" w:space="0" w:color="auto"/>
                            <w:bottom w:val="none" w:sz="0" w:space="0" w:color="auto"/>
                            <w:right w:val="none" w:sz="0" w:space="0" w:color="auto"/>
                          </w:divBdr>
                          <w:divsChild>
                            <w:div w:id="175323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6177338">
      <w:bodyDiv w:val="1"/>
      <w:marLeft w:val="0"/>
      <w:marRight w:val="0"/>
      <w:marTop w:val="0"/>
      <w:marBottom w:val="0"/>
      <w:divBdr>
        <w:top w:val="none" w:sz="0" w:space="0" w:color="auto"/>
        <w:left w:val="none" w:sz="0" w:space="0" w:color="auto"/>
        <w:bottom w:val="none" w:sz="0" w:space="0" w:color="auto"/>
        <w:right w:val="none" w:sz="0" w:space="0" w:color="auto"/>
      </w:divBdr>
      <w:divsChild>
        <w:div w:id="1577472282">
          <w:marLeft w:val="0"/>
          <w:marRight w:val="0"/>
          <w:marTop w:val="0"/>
          <w:marBottom w:val="0"/>
          <w:divBdr>
            <w:top w:val="none" w:sz="0" w:space="0" w:color="auto"/>
            <w:left w:val="none" w:sz="0" w:space="0" w:color="auto"/>
            <w:bottom w:val="none" w:sz="0" w:space="0" w:color="auto"/>
            <w:right w:val="none" w:sz="0" w:space="0" w:color="auto"/>
          </w:divBdr>
          <w:divsChild>
            <w:div w:id="1183930930">
              <w:marLeft w:val="0"/>
              <w:marRight w:val="0"/>
              <w:marTop w:val="0"/>
              <w:marBottom w:val="0"/>
              <w:divBdr>
                <w:top w:val="none" w:sz="0" w:space="0" w:color="auto"/>
                <w:left w:val="none" w:sz="0" w:space="0" w:color="auto"/>
                <w:bottom w:val="none" w:sz="0" w:space="0" w:color="auto"/>
                <w:right w:val="none" w:sz="0" w:space="0" w:color="auto"/>
              </w:divBdr>
              <w:divsChild>
                <w:div w:id="296838476">
                  <w:marLeft w:val="0"/>
                  <w:marRight w:val="0"/>
                  <w:marTop w:val="0"/>
                  <w:marBottom w:val="0"/>
                  <w:divBdr>
                    <w:top w:val="none" w:sz="0" w:space="0" w:color="auto"/>
                    <w:left w:val="none" w:sz="0" w:space="0" w:color="auto"/>
                    <w:bottom w:val="none" w:sz="0" w:space="0" w:color="auto"/>
                    <w:right w:val="none" w:sz="0" w:space="0" w:color="auto"/>
                  </w:divBdr>
                  <w:divsChild>
                    <w:div w:id="160268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735531">
      <w:bodyDiv w:val="1"/>
      <w:marLeft w:val="0"/>
      <w:marRight w:val="0"/>
      <w:marTop w:val="0"/>
      <w:marBottom w:val="0"/>
      <w:divBdr>
        <w:top w:val="none" w:sz="0" w:space="0" w:color="auto"/>
        <w:left w:val="none" w:sz="0" w:space="0" w:color="auto"/>
        <w:bottom w:val="none" w:sz="0" w:space="0" w:color="auto"/>
        <w:right w:val="none" w:sz="0" w:space="0" w:color="auto"/>
      </w:divBdr>
      <w:divsChild>
        <w:div w:id="35356340">
          <w:marLeft w:val="0"/>
          <w:marRight w:val="0"/>
          <w:marTop w:val="0"/>
          <w:marBottom w:val="0"/>
          <w:divBdr>
            <w:top w:val="none" w:sz="0" w:space="0" w:color="auto"/>
            <w:left w:val="none" w:sz="0" w:space="0" w:color="auto"/>
            <w:bottom w:val="none" w:sz="0" w:space="0" w:color="auto"/>
            <w:right w:val="none" w:sz="0" w:space="0" w:color="auto"/>
          </w:divBdr>
          <w:divsChild>
            <w:div w:id="276330424">
              <w:marLeft w:val="0"/>
              <w:marRight w:val="0"/>
              <w:marTop w:val="0"/>
              <w:marBottom w:val="0"/>
              <w:divBdr>
                <w:top w:val="none" w:sz="0" w:space="0" w:color="auto"/>
                <w:left w:val="none" w:sz="0" w:space="0" w:color="auto"/>
                <w:bottom w:val="none" w:sz="0" w:space="0" w:color="auto"/>
                <w:right w:val="none" w:sz="0" w:space="0" w:color="auto"/>
              </w:divBdr>
              <w:divsChild>
                <w:div w:id="1746681674">
                  <w:marLeft w:val="0"/>
                  <w:marRight w:val="0"/>
                  <w:marTop w:val="0"/>
                  <w:marBottom w:val="0"/>
                  <w:divBdr>
                    <w:top w:val="none" w:sz="0" w:space="0" w:color="auto"/>
                    <w:left w:val="none" w:sz="0" w:space="0" w:color="auto"/>
                    <w:bottom w:val="none" w:sz="0" w:space="0" w:color="auto"/>
                    <w:right w:val="none" w:sz="0" w:space="0" w:color="auto"/>
                  </w:divBdr>
                  <w:divsChild>
                    <w:div w:id="1685790751">
                      <w:marLeft w:val="0"/>
                      <w:marRight w:val="0"/>
                      <w:marTop w:val="0"/>
                      <w:marBottom w:val="0"/>
                      <w:divBdr>
                        <w:top w:val="none" w:sz="0" w:space="0" w:color="auto"/>
                        <w:left w:val="none" w:sz="0" w:space="0" w:color="auto"/>
                        <w:bottom w:val="none" w:sz="0" w:space="0" w:color="auto"/>
                        <w:right w:val="none" w:sz="0" w:space="0" w:color="auto"/>
                      </w:divBdr>
                      <w:divsChild>
                        <w:div w:id="537204170">
                          <w:marLeft w:val="0"/>
                          <w:marRight w:val="0"/>
                          <w:marTop w:val="0"/>
                          <w:marBottom w:val="0"/>
                          <w:divBdr>
                            <w:top w:val="none" w:sz="0" w:space="0" w:color="auto"/>
                            <w:left w:val="none" w:sz="0" w:space="0" w:color="auto"/>
                            <w:bottom w:val="none" w:sz="0" w:space="0" w:color="auto"/>
                            <w:right w:val="none" w:sz="0" w:space="0" w:color="auto"/>
                          </w:divBdr>
                          <w:divsChild>
                            <w:div w:id="1394162963">
                              <w:marLeft w:val="0"/>
                              <w:marRight w:val="0"/>
                              <w:marTop w:val="0"/>
                              <w:marBottom w:val="0"/>
                              <w:divBdr>
                                <w:top w:val="none" w:sz="0" w:space="0" w:color="auto"/>
                                <w:left w:val="none" w:sz="0" w:space="0" w:color="auto"/>
                                <w:bottom w:val="none" w:sz="0" w:space="0" w:color="auto"/>
                                <w:right w:val="none" w:sz="0" w:space="0" w:color="auto"/>
                              </w:divBdr>
                              <w:divsChild>
                                <w:div w:id="262878100">
                                  <w:marLeft w:val="0"/>
                                  <w:marRight w:val="0"/>
                                  <w:marTop w:val="0"/>
                                  <w:marBottom w:val="0"/>
                                  <w:divBdr>
                                    <w:top w:val="none" w:sz="0" w:space="0" w:color="auto"/>
                                    <w:left w:val="none" w:sz="0" w:space="0" w:color="auto"/>
                                    <w:bottom w:val="none" w:sz="0" w:space="0" w:color="auto"/>
                                    <w:right w:val="none" w:sz="0" w:space="0" w:color="auto"/>
                                  </w:divBdr>
                                  <w:divsChild>
                                    <w:div w:id="211636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3594165">
      <w:bodyDiv w:val="1"/>
      <w:marLeft w:val="0"/>
      <w:marRight w:val="0"/>
      <w:marTop w:val="0"/>
      <w:marBottom w:val="0"/>
      <w:divBdr>
        <w:top w:val="none" w:sz="0" w:space="0" w:color="auto"/>
        <w:left w:val="none" w:sz="0" w:space="0" w:color="auto"/>
        <w:bottom w:val="none" w:sz="0" w:space="0" w:color="auto"/>
        <w:right w:val="none" w:sz="0" w:space="0" w:color="auto"/>
      </w:divBdr>
      <w:divsChild>
        <w:div w:id="115414814">
          <w:marLeft w:val="0"/>
          <w:marRight w:val="0"/>
          <w:marTop w:val="0"/>
          <w:marBottom w:val="0"/>
          <w:divBdr>
            <w:top w:val="none" w:sz="0" w:space="0" w:color="auto"/>
            <w:left w:val="none" w:sz="0" w:space="0" w:color="auto"/>
            <w:bottom w:val="none" w:sz="0" w:space="0" w:color="auto"/>
            <w:right w:val="none" w:sz="0" w:space="0" w:color="auto"/>
          </w:divBdr>
          <w:divsChild>
            <w:div w:id="714233922">
              <w:marLeft w:val="0"/>
              <w:marRight w:val="0"/>
              <w:marTop w:val="0"/>
              <w:marBottom w:val="0"/>
              <w:divBdr>
                <w:top w:val="none" w:sz="0" w:space="0" w:color="auto"/>
                <w:left w:val="none" w:sz="0" w:space="0" w:color="auto"/>
                <w:bottom w:val="none" w:sz="0" w:space="0" w:color="auto"/>
                <w:right w:val="none" w:sz="0" w:space="0" w:color="auto"/>
              </w:divBdr>
              <w:divsChild>
                <w:div w:id="1960065750">
                  <w:marLeft w:val="0"/>
                  <w:marRight w:val="0"/>
                  <w:marTop w:val="0"/>
                  <w:marBottom w:val="0"/>
                  <w:divBdr>
                    <w:top w:val="none" w:sz="0" w:space="0" w:color="auto"/>
                    <w:left w:val="none" w:sz="0" w:space="0" w:color="auto"/>
                    <w:bottom w:val="none" w:sz="0" w:space="0" w:color="auto"/>
                    <w:right w:val="none" w:sz="0" w:space="0" w:color="auto"/>
                  </w:divBdr>
                  <w:divsChild>
                    <w:div w:id="962855432">
                      <w:marLeft w:val="0"/>
                      <w:marRight w:val="0"/>
                      <w:marTop w:val="0"/>
                      <w:marBottom w:val="0"/>
                      <w:divBdr>
                        <w:top w:val="none" w:sz="0" w:space="0" w:color="auto"/>
                        <w:left w:val="none" w:sz="0" w:space="0" w:color="auto"/>
                        <w:bottom w:val="none" w:sz="0" w:space="0" w:color="auto"/>
                        <w:right w:val="none" w:sz="0" w:space="0" w:color="auto"/>
                      </w:divBdr>
                      <w:divsChild>
                        <w:div w:id="1088887091">
                          <w:marLeft w:val="0"/>
                          <w:marRight w:val="0"/>
                          <w:marTop w:val="0"/>
                          <w:marBottom w:val="0"/>
                          <w:divBdr>
                            <w:top w:val="none" w:sz="0" w:space="0" w:color="auto"/>
                            <w:left w:val="none" w:sz="0" w:space="0" w:color="auto"/>
                            <w:bottom w:val="none" w:sz="0" w:space="0" w:color="auto"/>
                            <w:right w:val="none" w:sz="0" w:space="0" w:color="auto"/>
                          </w:divBdr>
                          <w:divsChild>
                            <w:div w:id="510682387">
                              <w:marLeft w:val="0"/>
                              <w:marRight w:val="0"/>
                              <w:marTop w:val="0"/>
                              <w:marBottom w:val="0"/>
                              <w:divBdr>
                                <w:top w:val="none" w:sz="0" w:space="0" w:color="auto"/>
                                <w:left w:val="none" w:sz="0" w:space="0" w:color="auto"/>
                                <w:bottom w:val="none" w:sz="0" w:space="0" w:color="auto"/>
                                <w:right w:val="none" w:sz="0" w:space="0" w:color="auto"/>
                              </w:divBdr>
                              <w:divsChild>
                                <w:div w:id="367684923">
                                  <w:marLeft w:val="0"/>
                                  <w:marRight w:val="0"/>
                                  <w:marTop w:val="0"/>
                                  <w:marBottom w:val="0"/>
                                  <w:divBdr>
                                    <w:top w:val="none" w:sz="0" w:space="0" w:color="auto"/>
                                    <w:left w:val="none" w:sz="0" w:space="0" w:color="auto"/>
                                    <w:bottom w:val="none" w:sz="0" w:space="0" w:color="auto"/>
                                    <w:right w:val="none" w:sz="0" w:space="0" w:color="auto"/>
                                  </w:divBdr>
                                  <w:divsChild>
                                    <w:div w:id="35535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3571764">
      <w:bodyDiv w:val="1"/>
      <w:marLeft w:val="0"/>
      <w:marRight w:val="0"/>
      <w:marTop w:val="0"/>
      <w:marBottom w:val="0"/>
      <w:divBdr>
        <w:top w:val="none" w:sz="0" w:space="0" w:color="auto"/>
        <w:left w:val="none" w:sz="0" w:space="0" w:color="auto"/>
        <w:bottom w:val="none" w:sz="0" w:space="0" w:color="auto"/>
        <w:right w:val="none" w:sz="0" w:space="0" w:color="auto"/>
      </w:divBdr>
      <w:divsChild>
        <w:div w:id="295961076">
          <w:marLeft w:val="0"/>
          <w:marRight w:val="0"/>
          <w:marTop w:val="0"/>
          <w:marBottom w:val="0"/>
          <w:divBdr>
            <w:top w:val="none" w:sz="0" w:space="0" w:color="auto"/>
            <w:left w:val="none" w:sz="0" w:space="0" w:color="auto"/>
            <w:bottom w:val="none" w:sz="0" w:space="0" w:color="auto"/>
            <w:right w:val="none" w:sz="0" w:space="0" w:color="auto"/>
          </w:divBdr>
          <w:divsChild>
            <w:div w:id="1262756326">
              <w:marLeft w:val="0"/>
              <w:marRight w:val="0"/>
              <w:marTop w:val="0"/>
              <w:marBottom w:val="0"/>
              <w:divBdr>
                <w:top w:val="none" w:sz="0" w:space="0" w:color="auto"/>
                <w:left w:val="none" w:sz="0" w:space="0" w:color="auto"/>
                <w:bottom w:val="none" w:sz="0" w:space="0" w:color="auto"/>
                <w:right w:val="none" w:sz="0" w:space="0" w:color="auto"/>
              </w:divBdr>
              <w:divsChild>
                <w:div w:id="1472862645">
                  <w:marLeft w:val="0"/>
                  <w:marRight w:val="0"/>
                  <w:marTop w:val="0"/>
                  <w:marBottom w:val="0"/>
                  <w:divBdr>
                    <w:top w:val="none" w:sz="0" w:space="0" w:color="auto"/>
                    <w:left w:val="none" w:sz="0" w:space="0" w:color="auto"/>
                    <w:bottom w:val="none" w:sz="0" w:space="0" w:color="auto"/>
                    <w:right w:val="none" w:sz="0" w:space="0" w:color="auto"/>
                  </w:divBdr>
                  <w:divsChild>
                    <w:div w:id="46716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469318">
      <w:bodyDiv w:val="1"/>
      <w:marLeft w:val="0"/>
      <w:marRight w:val="0"/>
      <w:marTop w:val="0"/>
      <w:marBottom w:val="0"/>
      <w:divBdr>
        <w:top w:val="none" w:sz="0" w:space="0" w:color="auto"/>
        <w:left w:val="none" w:sz="0" w:space="0" w:color="auto"/>
        <w:bottom w:val="none" w:sz="0" w:space="0" w:color="auto"/>
        <w:right w:val="none" w:sz="0" w:space="0" w:color="auto"/>
      </w:divBdr>
      <w:divsChild>
        <w:div w:id="1884713611">
          <w:marLeft w:val="0"/>
          <w:marRight w:val="0"/>
          <w:marTop w:val="0"/>
          <w:marBottom w:val="0"/>
          <w:divBdr>
            <w:top w:val="none" w:sz="0" w:space="0" w:color="auto"/>
            <w:left w:val="none" w:sz="0" w:space="0" w:color="auto"/>
            <w:bottom w:val="none" w:sz="0" w:space="0" w:color="auto"/>
            <w:right w:val="none" w:sz="0" w:space="0" w:color="auto"/>
          </w:divBdr>
          <w:divsChild>
            <w:div w:id="435291846">
              <w:marLeft w:val="0"/>
              <w:marRight w:val="0"/>
              <w:marTop w:val="0"/>
              <w:marBottom w:val="0"/>
              <w:divBdr>
                <w:top w:val="none" w:sz="0" w:space="0" w:color="auto"/>
                <w:left w:val="none" w:sz="0" w:space="0" w:color="auto"/>
                <w:bottom w:val="none" w:sz="0" w:space="0" w:color="auto"/>
                <w:right w:val="none" w:sz="0" w:space="0" w:color="auto"/>
              </w:divBdr>
              <w:divsChild>
                <w:div w:id="1817188538">
                  <w:marLeft w:val="0"/>
                  <w:marRight w:val="0"/>
                  <w:marTop w:val="0"/>
                  <w:marBottom w:val="0"/>
                  <w:divBdr>
                    <w:top w:val="none" w:sz="0" w:space="0" w:color="auto"/>
                    <w:left w:val="none" w:sz="0" w:space="0" w:color="auto"/>
                    <w:bottom w:val="none" w:sz="0" w:space="0" w:color="auto"/>
                    <w:right w:val="none" w:sz="0" w:space="0" w:color="auto"/>
                  </w:divBdr>
                  <w:divsChild>
                    <w:div w:id="114105242">
                      <w:marLeft w:val="0"/>
                      <w:marRight w:val="0"/>
                      <w:marTop w:val="0"/>
                      <w:marBottom w:val="0"/>
                      <w:divBdr>
                        <w:top w:val="none" w:sz="0" w:space="0" w:color="auto"/>
                        <w:left w:val="none" w:sz="0" w:space="0" w:color="auto"/>
                        <w:bottom w:val="none" w:sz="0" w:space="0" w:color="auto"/>
                        <w:right w:val="none" w:sz="0" w:space="0" w:color="auto"/>
                      </w:divBdr>
                      <w:divsChild>
                        <w:div w:id="1841191629">
                          <w:marLeft w:val="0"/>
                          <w:marRight w:val="0"/>
                          <w:marTop w:val="0"/>
                          <w:marBottom w:val="0"/>
                          <w:divBdr>
                            <w:top w:val="none" w:sz="0" w:space="0" w:color="auto"/>
                            <w:left w:val="none" w:sz="0" w:space="0" w:color="auto"/>
                            <w:bottom w:val="none" w:sz="0" w:space="0" w:color="auto"/>
                            <w:right w:val="none" w:sz="0" w:space="0" w:color="auto"/>
                          </w:divBdr>
                          <w:divsChild>
                            <w:div w:id="587470389">
                              <w:marLeft w:val="0"/>
                              <w:marRight w:val="0"/>
                              <w:marTop w:val="0"/>
                              <w:marBottom w:val="0"/>
                              <w:divBdr>
                                <w:top w:val="none" w:sz="0" w:space="0" w:color="auto"/>
                                <w:left w:val="none" w:sz="0" w:space="0" w:color="auto"/>
                                <w:bottom w:val="none" w:sz="0" w:space="0" w:color="auto"/>
                                <w:right w:val="none" w:sz="0" w:space="0" w:color="auto"/>
                              </w:divBdr>
                              <w:divsChild>
                                <w:div w:id="297035757">
                                  <w:marLeft w:val="0"/>
                                  <w:marRight w:val="0"/>
                                  <w:marTop w:val="0"/>
                                  <w:marBottom w:val="0"/>
                                  <w:divBdr>
                                    <w:top w:val="none" w:sz="0" w:space="0" w:color="auto"/>
                                    <w:left w:val="none" w:sz="0" w:space="0" w:color="auto"/>
                                    <w:bottom w:val="none" w:sz="0" w:space="0" w:color="auto"/>
                                    <w:right w:val="none" w:sz="0" w:space="0" w:color="auto"/>
                                  </w:divBdr>
                                  <w:divsChild>
                                    <w:div w:id="207998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576313">
      <w:bodyDiv w:val="1"/>
      <w:marLeft w:val="0"/>
      <w:marRight w:val="0"/>
      <w:marTop w:val="0"/>
      <w:marBottom w:val="0"/>
      <w:divBdr>
        <w:top w:val="none" w:sz="0" w:space="0" w:color="auto"/>
        <w:left w:val="none" w:sz="0" w:space="0" w:color="auto"/>
        <w:bottom w:val="none" w:sz="0" w:space="0" w:color="auto"/>
        <w:right w:val="none" w:sz="0" w:space="0" w:color="auto"/>
      </w:divBdr>
      <w:divsChild>
        <w:div w:id="1891113495">
          <w:marLeft w:val="0"/>
          <w:marRight w:val="0"/>
          <w:marTop w:val="0"/>
          <w:marBottom w:val="0"/>
          <w:divBdr>
            <w:top w:val="none" w:sz="0" w:space="0" w:color="auto"/>
            <w:left w:val="none" w:sz="0" w:space="0" w:color="auto"/>
            <w:bottom w:val="none" w:sz="0" w:space="0" w:color="auto"/>
            <w:right w:val="none" w:sz="0" w:space="0" w:color="auto"/>
          </w:divBdr>
          <w:divsChild>
            <w:div w:id="940187643">
              <w:marLeft w:val="0"/>
              <w:marRight w:val="0"/>
              <w:marTop w:val="0"/>
              <w:marBottom w:val="0"/>
              <w:divBdr>
                <w:top w:val="none" w:sz="0" w:space="0" w:color="auto"/>
                <w:left w:val="none" w:sz="0" w:space="0" w:color="auto"/>
                <w:bottom w:val="none" w:sz="0" w:space="0" w:color="auto"/>
                <w:right w:val="none" w:sz="0" w:space="0" w:color="auto"/>
              </w:divBdr>
              <w:divsChild>
                <w:div w:id="845944925">
                  <w:marLeft w:val="0"/>
                  <w:marRight w:val="0"/>
                  <w:marTop w:val="0"/>
                  <w:marBottom w:val="0"/>
                  <w:divBdr>
                    <w:top w:val="none" w:sz="0" w:space="0" w:color="auto"/>
                    <w:left w:val="none" w:sz="0" w:space="0" w:color="auto"/>
                    <w:bottom w:val="none" w:sz="0" w:space="0" w:color="auto"/>
                    <w:right w:val="none" w:sz="0" w:space="0" w:color="auto"/>
                  </w:divBdr>
                  <w:divsChild>
                    <w:div w:id="118490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427082">
      <w:bodyDiv w:val="1"/>
      <w:marLeft w:val="0"/>
      <w:marRight w:val="0"/>
      <w:marTop w:val="0"/>
      <w:marBottom w:val="0"/>
      <w:divBdr>
        <w:top w:val="none" w:sz="0" w:space="0" w:color="auto"/>
        <w:left w:val="none" w:sz="0" w:space="0" w:color="auto"/>
        <w:bottom w:val="none" w:sz="0" w:space="0" w:color="auto"/>
        <w:right w:val="none" w:sz="0" w:space="0" w:color="auto"/>
      </w:divBdr>
      <w:divsChild>
        <w:div w:id="211816539">
          <w:marLeft w:val="0"/>
          <w:marRight w:val="0"/>
          <w:marTop w:val="0"/>
          <w:marBottom w:val="0"/>
          <w:divBdr>
            <w:top w:val="none" w:sz="0" w:space="0" w:color="auto"/>
            <w:left w:val="none" w:sz="0" w:space="0" w:color="auto"/>
            <w:bottom w:val="none" w:sz="0" w:space="0" w:color="auto"/>
            <w:right w:val="none" w:sz="0" w:space="0" w:color="auto"/>
          </w:divBdr>
          <w:divsChild>
            <w:div w:id="2134321816">
              <w:marLeft w:val="0"/>
              <w:marRight w:val="0"/>
              <w:marTop w:val="0"/>
              <w:marBottom w:val="0"/>
              <w:divBdr>
                <w:top w:val="none" w:sz="0" w:space="0" w:color="auto"/>
                <w:left w:val="none" w:sz="0" w:space="0" w:color="auto"/>
                <w:bottom w:val="none" w:sz="0" w:space="0" w:color="auto"/>
                <w:right w:val="none" w:sz="0" w:space="0" w:color="auto"/>
              </w:divBdr>
              <w:divsChild>
                <w:div w:id="1998876373">
                  <w:marLeft w:val="0"/>
                  <w:marRight w:val="0"/>
                  <w:marTop w:val="0"/>
                  <w:marBottom w:val="0"/>
                  <w:divBdr>
                    <w:top w:val="none" w:sz="0" w:space="0" w:color="auto"/>
                    <w:left w:val="none" w:sz="0" w:space="0" w:color="auto"/>
                    <w:bottom w:val="none" w:sz="0" w:space="0" w:color="auto"/>
                    <w:right w:val="none" w:sz="0" w:space="0" w:color="auto"/>
                  </w:divBdr>
                  <w:divsChild>
                    <w:div w:id="95763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958058">
      <w:bodyDiv w:val="1"/>
      <w:marLeft w:val="0"/>
      <w:marRight w:val="0"/>
      <w:marTop w:val="0"/>
      <w:marBottom w:val="0"/>
      <w:divBdr>
        <w:top w:val="none" w:sz="0" w:space="0" w:color="auto"/>
        <w:left w:val="none" w:sz="0" w:space="0" w:color="auto"/>
        <w:bottom w:val="none" w:sz="0" w:space="0" w:color="auto"/>
        <w:right w:val="none" w:sz="0" w:space="0" w:color="auto"/>
      </w:divBdr>
      <w:divsChild>
        <w:div w:id="907497801">
          <w:marLeft w:val="0"/>
          <w:marRight w:val="0"/>
          <w:marTop w:val="0"/>
          <w:marBottom w:val="0"/>
          <w:divBdr>
            <w:top w:val="none" w:sz="0" w:space="0" w:color="auto"/>
            <w:left w:val="none" w:sz="0" w:space="0" w:color="auto"/>
            <w:bottom w:val="none" w:sz="0" w:space="0" w:color="auto"/>
            <w:right w:val="none" w:sz="0" w:space="0" w:color="auto"/>
          </w:divBdr>
          <w:divsChild>
            <w:div w:id="638650396">
              <w:marLeft w:val="0"/>
              <w:marRight w:val="0"/>
              <w:marTop w:val="0"/>
              <w:marBottom w:val="0"/>
              <w:divBdr>
                <w:top w:val="none" w:sz="0" w:space="0" w:color="auto"/>
                <w:left w:val="none" w:sz="0" w:space="0" w:color="auto"/>
                <w:bottom w:val="none" w:sz="0" w:space="0" w:color="auto"/>
                <w:right w:val="none" w:sz="0" w:space="0" w:color="auto"/>
              </w:divBdr>
              <w:divsChild>
                <w:div w:id="798451423">
                  <w:marLeft w:val="0"/>
                  <w:marRight w:val="0"/>
                  <w:marTop w:val="0"/>
                  <w:marBottom w:val="0"/>
                  <w:divBdr>
                    <w:top w:val="none" w:sz="0" w:space="0" w:color="auto"/>
                    <w:left w:val="none" w:sz="0" w:space="0" w:color="auto"/>
                    <w:bottom w:val="none" w:sz="0" w:space="0" w:color="auto"/>
                    <w:right w:val="none" w:sz="0" w:space="0" w:color="auto"/>
                  </w:divBdr>
                  <w:divsChild>
                    <w:div w:id="1720207807">
                      <w:marLeft w:val="0"/>
                      <w:marRight w:val="0"/>
                      <w:marTop w:val="0"/>
                      <w:marBottom w:val="0"/>
                      <w:divBdr>
                        <w:top w:val="none" w:sz="0" w:space="0" w:color="auto"/>
                        <w:left w:val="none" w:sz="0" w:space="0" w:color="auto"/>
                        <w:bottom w:val="none" w:sz="0" w:space="0" w:color="auto"/>
                        <w:right w:val="none" w:sz="0" w:space="0" w:color="auto"/>
                      </w:divBdr>
                      <w:divsChild>
                        <w:div w:id="1729181706">
                          <w:marLeft w:val="0"/>
                          <w:marRight w:val="0"/>
                          <w:marTop w:val="0"/>
                          <w:marBottom w:val="0"/>
                          <w:divBdr>
                            <w:top w:val="none" w:sz="0" w:space="0" w:color="auto"/>
                            <w:left w:val="none" w:sz="0" w:space="0" w:color="auto"/>
                            <w:bottom w:val="none" w:sz="0" w:space="0" w:color="auto"/>
                            <w:right w:val="none" w:sz="0" w:space="0" w:color="auto"/>
                          </w:divBdr>
                          <w:divsChild>
                            <w:div w:id="55581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181703">
                  <w:marLeft w:val="0"/>
                  <w:marRight w:val="0"/>
                  <w:marTop w:val="0"/>
                  <w:marBottom w:val="0"/>
                  <w:divBdr>
                    <w:top w:val="none" w:sz="0" w:space="0" w:color="auto"/>
                    <w:left w:val="none" w:sz="0" w:space="0" w:color="auto"/>
                    <w:bottom w:val="none" w:sz="0" w:space="0" w:color="auto"/>
                    <w:right w:val="none" w:sz="0" w:space="0" w:color="auto"/>
                  </w:divBdr>
                  <w:divsChild>
                    <w:div w:id="27074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723136">
      <w:bodyDiv w:val="1"/>
      <w:marLeft w:val="0"/>
      <w:marRight w:val="0"/>
      <w:marTop w:val="0"/>
      <w:marBottom w:val="0"/>
      <w:divBdr>
        <w:top w:val="none" w:sz="0" w:space="0" w:color="auto"/>
        <w:left w:val="none" w:sz="0" w:space="0" w:color="auto"/>
        <w:bottom w:val="none" w:sz="0" w:space="0" w:color="auto"/>
        <w:right w:val="none" w:sz="0" w:space="0" w:color="auto"/>
      </w:divBdr>
      <w:divsChild>
        <w:div w:id="914047030">
          <w:marLeft w:val="0"/>
          <w:marRight w:val="0"/>
          <w:marTop w:val="0"/>
          <w:marBottom w:val="0"/>
          <w:divBdr>
            <w:top w:val="none" w:sz="0" w:space="0" w:color="auto"/>
            <w:left w:val="none" w:sz="0" w:space="0" w:color="auto"/>
            <w:bottom w:val="none" w:sz="0" w:space="0" w:color="auto"/>
            <w:right w:val="none" w:sz="0" w:space="0" w:color="auto"/>
          </w:divBdr>
          <w:divsChild>
            <w:div w:id="1063412828">
              <w:marLeft w:val="0"/>
              <w:marRight w:val="0"/>
              <w:marTop w:val="0"/>
              <w:marBottom w:val="0"/>
              <w:divBdr>
                <w:top w:val="none" w:sz="0" w:space="0" w:color="auto"/>
                <w:left w:val="none" w:sz="0" w:space="0" w:color="auto"/>
                <w:bottom w:val="none" w:sz="0" w:space="0" w:color="auto"/>
                <w:right w:val="none" w:sz="0" w:space="0" w:color="auto"/>
              </w:divBdr>
              <w:divsChild>
                <w:div w:id="464398827">
                  <w:marLeft w:val="0"/>
                  <w:marRight w:val="0"/>
                  <w:marTop w:val="0"/>
                  <w:marBottom w:val="0"/>
                  <w:divBdr>
                    <w:top w:val="none" w:sz="0" w:space="0" w:color="auto"/>
                    <w:left w:val="none" w:sz="0" w:space="0" w:color="auto"/>
                    <w:bottom w:val="none" w:sz="0" w:space="0" w:color="auto"/>
                    <w:right w:val="none" w:sz="0" w:space="0" w:color="auto"/>
                  </w:divBdr>
                  <w:divsChild>
                    <w:div w:id="151233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874508">
      <w:bodyDiv w:val="1"/>
      <w:marLeft w:val="0"/>
      <w:marRight w:val="0"/>
      <w:marTop w:val="0"/>
      <w:marBottom w:val="0"/>
      <w:divBdr>
        <w:top w:val="none" w:sz="0" w:space="0" w:color="auto"/>
        <w:left w:val="none" w:sz="0" w:space="0" w:color="auto"/>
        <w:bottom w:val="none" w:sz="0" w:space="0" w:color="auto"/>
        <w:right w:val="none" w:sz="0" w:space="0" w:color="auto"/>
      </w:divBdr>
    </w:div>
    <w:div w:id="1887139806">
      <w:bodyDiv w:val="1"/>
      <w:marLeft w:val="0"/>
      <w:marRight w:val="0"/>
      <w:marTop w:val="0"/>
      <w:marBottom w:val="0"/>
      <w:divBdr>
        <w:top w:val="none" w:sz="0" w:space="0" w:color="auto"/>
        <w:left w:val="none" w:sz="0" w:space="0" w:color="auto"/>
        <w:bottom w:val="none" w:sz="0" w:space="0" w:color="auto"/>
        <w:right w:val="none" w:sz="0" w:space="0" w:color="auto"/>
      </w:divBdr>
      <w:divsChild>
        <w:div w:id="935792998">
          <w:marLeft w:val="0"/>
          <w:marRight w:val="0"/>
          <w:marTop w:val="0"/>
          <w:marBottom w:val="0"/>
          <w:divBdr>
            <w:top w:val="none" w:sz="0" w:space="0" w:color="auto"/>
            <w:left w:val="none" w:sz="0" w:space="0" w:color="auto"/>
            <w:bottom w:val="none" w:sz="0" w:space="0" w:color="auto"/>
            <w:right w:val="none" w:sz="0" w:space="0" w:color="auto"/>
          </w:divBdr>
          <w:divsChild>
            <w:div w:id="1138910867">
              <w:marLeft w:val="0"/>
              <w:marRight w:val="0"/>
              <w:marTop w:val="0"/>
              <w:marBottom w:val="0"/>
              <w:divBdr>
                <w:top w:val="none" w:sz="0" w:space="0" w:color="auto"/>
                <w:left w:val="none" w:sz="0" w:space="0" w:color="auto"/>
                <w:bottom w:val="none" w:sz="0" w:space="0" w:color="auto"/>
                <w:right w:val="none" w:sz="0" w:space="0" w:color="auto"/>
              </w:divBdr>
              <w:divsChild>
                <w:div w:id="328411711">
                  <w:marLeft w:val="0"/>
                  <w:marRight w:val="0"/>
                  <w:marTop w:val="0"/>
                  <w:marBottom w:val="0"/>
                  <w:divBdr>
                    <w:top w:val="none" w:sz="0" w:space="0" w:color="auto"/>
                    <w:left w:val="none" w:sz="0" w:space="0" w:color="auto"/>
                    <w:bottom w:val="none" w:sz="0" w:space="0" w:color="auto"/>
                    <w:right w:val="none" w:sz="0" w:space="0" w:color="auto"/>
                  </w:divBdr>
                  <w:divsChild>
                    <w:div w:id="30431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308862">
      <w:bodyDiv w:val="1"/>
      <w:marLeft w:val="0"/>
      <w:marRight w:val="0"/>
      <w:marTop w:val="0"/>
      <w:marBottom w:val="0"/>
      <w:divBdr>
        <w:top w:val="none" w:sz="0" w:space="0" w:color="auto"/>
        <w:left w:val="none" w:sz="0" w:space="0" w:color="auto"/>
        <w:bottom w:val="none" w:sz="0" w:space="0" w:color="auto"/>
        <w:right w:val="none" w:sz="0" w:space="0" w:color="auto"/>
      </w:divBdr>
      <w:divsChild>
        <w:div w:id="1691567495">
          <w:marLeft w:val="0"/>
          <w:marRight w:val="0"/>
          <w:marTop w:val="0"/>
          <w:marBottom w:val="0"/>
          <w:divBdr>
            <w:top w:val="none" w:sz="0" w:space="0" w:color="auto"/>
            <w:left w:val="none" w:sz="0" w:space="0" w:color="auto"/>
            <w:bottom w:val="none" w:sz="0" w:space="0" w:color="auto"/>
            <w:right w:val="none" w:sz="0" w:space="0" w:color="auto"/>
          </w:divBdr>
          <w:divsChild>
            <w:div w:id="496195152">
              <w:marLeft w:val="0"/>
              <w:marRight w:val="0"/>
              <w:marTop w:val="0"/>
              <w:marBottom w:val="0"/>
              <w:divBdr>
                <w:top w:val="none" w:sz="0" w:space="0" w:color="auto"/>
                <w:left w:val="none" w:sz="0" w:space="0" w:color="auto"/>
                <w:bottom w:val="none" w:sz="0" w:space="0" w:color="auto"/>
                <w:right w:val="none" w:sz="0" w:space="0" w:color="auto"/>
              </w:divBdr>
              <w:divsChild>
                <w:div w:id="1468859703">
                  <w:marLeft w:val="0"/>
                  <w:marRight w:val="0"/>
                  <w:marTop w:val="0"/>
                  <w:marBottom w:val="0"/>
                  <w:divBdr>
                    <w:top w:val="none" w:sz="0" w:space="0" w:color="auto"/>
                    <w:left w:val="none" w:sz="0" w:space="0" w:color="auto"/>
                    <w:bottom w:val="none" w:sz="0" w:space="0" w:color="auto"/>
                    <w:right w:val="none" w:sz="0" w:space="0" w:color="auto"/>
                  </w:divBdr>
                  <w:divsChild>
                    <w:div w:id="3312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276783">
      <w:bodyDiv w:val="1"/>
      <w:marLeft w:val="0"/>
      <w:marRight w:val="0"/>
      <w:marTop w:val="0"/>
      <w:marBottom w:val="0"/>
      <w:divBdr>
        <w:top w:val="none" w:sz="0" w:space="0" w:color="auto"/>
        <w:left w:val="none" w:sz="0" w:space="0" w:color="auto"/>
        <w:bottom w:val="none" w:sz="0" w:space="0" w:color="auto"/>
        <w:right w:val="none" w:sz="0" w:space="0" w:color="auto"/>
      </w:divBdr>
      <w:divsChild>
        <w:div w:id="2091539515">
          <w:marLeft w:val="0"/>
          <w:marRight w:val="0"/>
          <w:marTop w:val="0"/>
          <w:marBottom w:val="0"/>
          <w:divBdr>
            <w:top w:val="none" w:sz="0" w:space="0" w:color="auto"/>
            <w:left w:val="none" w:sz="0" w:space="0" w:color="auto"/>
            <w:bottom w:val="none" w:sz="0" w:space="0" w:color="auto"/>
            <w:right w:val="none" w:sz="0" w:space="0" w:color="auto"/>
          </w:divBdr>
          <w:divsChild>
            <w:div w:id="1347974496">
              <w:marLeft w:val="0"/>
              <w:marRight w:val="0"/>
              <w:marTop w:val="0"/>
              <w:marBottom w:val="0"/>
              <w:divBdr>
                <w:top w:val="none" w:sz="0" w:space="0" w:color="auto"/>
                <w:left w:val="none" w:sz="0" w:space="0" w:color="auto"/>
                <w:bottom w:val="none" w:sz="0" w:space="0" w:color="auto"/>
                <w:right w:val="none" w:sz="0" w:space="0" w:color="auto"/>
              </w:divBdr>
              <w:divsChild>
                <w:div w:id="774515487">
                  <w:marLeft w:val="0"/>
                  <w:marRight w:val="0"/>
                  <w:marTop w:val="0"/>
                  <w:marBottom w:val="0"/>
                  <w:divBdr>
                    <w:top w:val="none" w:sz="0" w:space="0" w:color="auto"/>
                    <w:left w:val="none" w:sz="0" w:space="0" w:color="auto"/>
                    <w:bottom w:val="none" w:sz="0" w:space="0" w:color="auto"/>
                    <w:right w:val="none" w:sz="0" w:space="0" w:color="auto"/>
                  </w:divBdr>
                  <w:divsChild>
                    <w:div w:id="121006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993236">
      <w:bodyDiv w:val="1"/>
      <w:marLeft w:val="0"/>
      <w:marRight w:val="0"/>
      <w:marTop w:val="0"/>
      <w:marBottom w:val="0"/>
      <w:divBdr>
        <w:top w:val="none" w:sz="0" w:space="0" w:color="auto"/>
        <w:left w:val="none" w:sz="0" w:space="0" w:color="auto"/>
        <w:bottom w:val="none" w:sz="0" w:space="0" w:color="auto"/>
        <w:right w:val="none" w:sz="0" w:space="0" w:color="auto"/>
      </w:divBdr>
    </w:div>
    <w:div w:id="1954631519">
      <w:bodyDiv w:val="1"/>
      <w:marLeft w:val="0"/>
      <w:marRight w:val="0"/>
      <w:marTop w:val="0"/>
      <w:marBottom w:val="0"/>
      <w:divBdr>
        <w:top w:val="none" w:sz="0" w:space="0" w:color="auto"/>
        <w:left w:val="none" w:sz="0" w:space="0" w:color="auto"/>
        <w:bottom w:val="none" w:sz="0" w:space="0" w:color="auto"/>
        <w:right w:val="none" w:sz="0" w:space="0" w:color="auto"/>
      </w:divBdr>
    </w:div>
    <w:div w:id="1995255769">
      <w:bodyDiv w:val="1"/>
      <w:marLeft w:val="0"/>
      <w:marRight w:val="0"/>
      <w:marTop w:val="0"/>
      <w:marBottom w:val="0"/>
      <w:divBdr>
        <w:top w:val="none" w:sz="0" w:space="0" w:color="auto"/>
        <w:left w:val="none" w:sz="0" w:space="0" w:color="auto"/>
        <w:bottom w:val="none" w:sz="0" w:space="0" w:color="auto"/>
        <w:right w:val="none" w:sz="0" w:space="0" w:color="auto"/>
      </w:divBdr>
      <w:divsChild>
        <w:div w:id="1624575987">
          <w:marLeft w:val="0"/>
          <w:marRight w:val="0"/>
          <w:marTop w:val="0"/>
          <w:marBottom w:val="0"/>
          <w:divBdr>
            <w:top w:val="none" w:sz="0" w:space="0" w:color="auto"/>
            <w:left w:val="none" w:sz="0" w:space="0" w:color="auto"/>
            <w:bottom w:val="none" w:sz="0" w:space="0" w:color="auto"/>
            <w:right w:val="none" w:sz="0" w:space="0" w:color="auto"/>
          </w:divBdr>
          <w:divsChild>
            <w:div w:id="146826453">
              <w:marLeft w:val="0"/>
              <w:marRight w:val="0"/>
              <w:marTop w:val="0"/>
              <w:marBottom w:val="0"/>
              <w:divBdr>
                <w:top w:val="none" w:sz="0" w:space="0" w:color="auto"/>
                <w:left w:val="none" w:sz="0" w:space="0" w:color="auto"/>
                <w:bottom w:val="none" w:sz="0" w:space="0" w:color="auto"/>
                <w:right w:val="none" w:sz="0" w:space="0" w:color="auto"/>
              </w:divBdr>
              <w:divsChild>
                <w:div w:id="488835333">
                  <w:marLeft w:val="0"/>
                  <w:marRight w:val="0"/>
                  <w:marTop w:val="0"/>
                  <w:marBottom w:val="0"/>
                  <w:divBdr>
                    <w:top w:val="none" w:sz="0" w:space="0" w:color="auto"/>
                    <w:left w:val="none" w:sz="0" w:space="0" w:color="auto"/>
                    <w:bottom w:val="none" w:sz="0" w:space="0" w:color="auto"/>
                    <w:right w:val="none" w:sz="0" w:space="0" w:color="auto"/>
                  </w:divBdr>
                  <w:divsChild>
                    <w:div w:id="864056833">
                      <w:marLeft w:val="0"/>
                      <w:marRight w:val="0"/>
                      <w:marTop w:val="0"/>
                      <w:marBottom w:val="0"/>
                      <w:divBdr>
                        <w:top w:val="none" w:sz="0" w:space="0" w:color="auto"/>
                        <w:left w:val="none" w:sz="0" w:space="0" w:color="auto"/>
                        <w:bottom w:val="none" w:sz="0" w:space="0" w:color="auto"/>
                        <w:right w:val="none" w:sz="0" w:space="0" w:color="auto"/>
                      </w:divBdr>
                      <w:divsChild>
                        <w:div w:id="818496358">
                          <w:marLeft w:val="0"/>
                          <w:marRight w:val="0"/>
                          <w:marTop w:val="0"/>
                          <w:marBottom w:val="0"/>
                          <w:divBdr>
                            <w:top w:val="none" w:sz="0" w:space="0" w:color="auto"/>
                            <w:left w:val="none" w:sz="0" w:space="0" w:color="auto"/>
                            <w:bottom w:val="none" w:sz="0" w:space="0" w:color="auto"/>
                            <w:right w:val="none" w:sz="0" w:space="0" w:color="auto"/>
                          </w:divBdr>
                          <w:divsChild>
                            <w:div w:id="1801798111">
                              <w:marLeft w:val="0"/>
                              <w:marRight w:val="0"/>
                              <w:marTop w:val="0"/>
                              <w:marBottom w:val="0"/>
                              <w:divBdr>
                                <w:top w:val="none" w:sz="0" w:space="0" w:color="auto"/>
                                <w:left w:val="none" w:sz="0" w:space="0" w:color="auto"/>
                                <w:bottom w:val="none" w:sz="0" w:space="0" w:color="auto"/>
                                <w:right w:val="none" w:sz="0" w:space="0" w:color="auto"/>
                              </w:divBdr>
                              <w:divsChild>
                                <w:div w:id="1159808434">
                                  <w:marLeft w:val="0"/>
                                  <w:marRight w:val="0"/>
                                  <w:marTop w:val="0"/>
                                  <w:marBottom w:val="0"/>
                                  <w:divBdr>
                                    <w:top w:val="none" w:sz="0" w:space="0" w:color="auto"/>
                                    <w:left w:val="none" w:sz="0" w:space="0" w:color="auto"/>
                                    <w:bottom w:val="none" w:sz="0" w:space="0" w:color="auto"/>
                                    <w:right w:val="none" w:sz="0" w:space="0" w:color="auto"/>
                                  </w:divBdr>
                                  <w:divsChild>
                                    <w:div w:id="181393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7533417">
      <w:bodyDiv w:val="1"/>
      <w:marLeft w:val="0"/>
      <w:marRight w:val="0"/>
      <w:marTop w:val="0"/>
      <w:marBottom w:val="0"/>
      <w:divBdr>
        <w:top w:val="none" w:sz="0" w:space="0" w:color="auto"/>
        <w:left w:val="none" w:sz="0" w:space="0" w:color="auto"/>
        <w:bottom w:val="none" w:sz="0" w:space="0" w:color="auto"/>
        <w:right w:val="none" w:sz="0" w:space="0" w:color="auto"/>
      </w:divBdr>
      <w:divsChild>
        <w:div w:id="300548162">
          <w:marLeft w:val="0"/>
          <w:marRight w:val="0"/>
          <w:marTop w:val="0"/>
          <w:marBottom w:val="0"/>
          <w:divBdr>
            <w:top w:val="none" w:sz="0" w:space="0" w:color="auto"/>
            <w:left w:val="none" w:sz="0" w:space="0" w:color="auto"/>
            <w:bottom w:val="none" w:sz="0" w:space="0" w:color="auto"/>
            <w:right w:val="none" w:sz="0" w:space="0" w:color="auto"/>
          </w:divBdr>
          <w:divsChild>
            <w:div w:id="1949117373">
              <w:marLeft w:val="0"/>
              <w:marRight w:val="0"/>
              <w:marTop w:val="0"/>
              <w:marBottom w:val="0"/>
              <w:divBdr>
                <w:top w:val="none" w:sz="0" w:space="0" w:color="auto"/>
                <w:left w:val="none" w:sz="0" w:space="0" w:color="auto"/>
                <w:bottom w:val="none" w:sz="0" w:space="0" w:color="auto"/>
                <w:right w:val="none" w:sz="0" w:space="0" w:color="auto"/>
              </w:divBdr>
              <w:divsChild>
                <w:div w:id="1035153297">
                  <w:marLeft w:val="0"/>
                  <w:marRight w:val="0"/>
                  <w:marTop w:val="0"/>
                  <w:marBottom w:val="0"/>
                  <w:divBdr>
                    <w:top w:val="none" w:sz="0" w:space="0" w:color="auto"/>
                    <w:left w:val="none" w:sz="0" w:space="0" w:color="auto"/>
                    <w:bottom w:val="none" w:sz="0" w:space="0" w:color="auto"/>
                    <w:right w:val="none" w:sz="0" w:space="0" w:color="auto"/>
                  </w:divBdr>
                  <w:divsChild>
                    <w:div w:id="154155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995061">
      <w:bodyDiv w:val="1"/>
      <w:marLeft w:val="0"/>
      <w:marRight w:val="0"/>
      <w:marTop w:val="0"/>
      <w:marBottom w:val="0"/>
      <w:divBdr>
        <w:top w:val="none" w:sz="0" w:space="0" w:color="auto"/>
        <w:left w:val="none" w:sz="0" w:space="0" w:color="auto"/>
        <w:bottom w:val="none" w:sz="0" w:space="0" w:color="auto"/>
        <w:right w:val="none" w:sz="0" w:space="0" w:color="auto"/>
      </w:divBdr>
    </w:div>
    <w:div w:id="2058624273">
      <w:bodyDiv w:val="1"/>
      <w:marLeft w:val="0"/>
      <w:marRight w:val="0"/>
      <w:marTop w:val="0"/>
      <w:marBottom w:val="0"/>
      <w:divBdr>
        <w:top w:val="none" w:sz="0" w:space="0" w:color="auto"/>
        <w:left w:val="none" w:sz="0" w:space="0" w:color="auto"/>
        <w:bottom w:val="none" w:sz="0" w:space="0" w:color="auto"/>
        <w:right w:val="none" w:sz="0" w:space="0" w:color="auto"/>
      </w:divBdr>
      <w:divsChild>
        <w:div w:id="1309745254">
          <w:marLeft w:val="0"/>
          <w:marRight w:val="0"/>
          <w:marTop w:val="0"/>
          <w:marBottom w:val="0"/>
          <w:divBdr>
            <w:top w:val="none" w:sz="0" w:space="0" w:color="auto"/>
            <w:left w:val="none" w:sz="0" w:space="0" w:color="auto"/>
            <w:bottom w:val="none" w:sz="0" w:space="0" w:color="auto"/>
            <w:right w:val="none" w:sz="0" w:space="0" w:color="auto"/>
          </w:divBdr>
          <w:divsChild>
            <w:div w:id="259684546">
              <w:marLeft w:val="0"/>
              <w:marRight w:val="0"/>
              <w:marTop w:val="0"/>
              <w:marBottom w:val="0"/>
              <w:divBdr>
                <w:top w:val="none" w:sz="0" w:space="0" w:color="auto"/>
                <w:left w:val="none" w:sz="0" w:space="0" w:color="auto"/>
                <w:bottom w:val="none" w:sz="0" w:space="0" w:color="auto"/>
                <w:right w:val="none" w:sz="0" w:space="0" w:color="auto"/>
              </w:divBdr>
              <w:divsChild>
                <w:div w:id="1400834382">
                  <w:marLeft w:val="0"/>
                  <w:marRight w:val="0"/>
                  <w:marTop w:val="0"/>
                  <w:marBottom w:val="0"/>
                  <w:divBdr>
                    <w:top w:val="none" w:sz="0" w:space="0" w:color="auto"/>
                    <w:left w:val="none" w:sz="0" w:space="0" w:color="auto"/>
                    <w:bottom w:val="none" w:sz="0" w:space="0" w:color="auto"/>
                    <w:right w:val="none" w:sz="0" w:space="0" w:color="auto"/>
                  </w:divBdr>
                  <w:divsChild>
                    <w:div w:id="85543006">
                      <w:marLeft w:val="0"/>
                      <w:marRight w:val="0"/>
                      <w:marTop w:val="0"/>
                      <w:marBottom w:val="0"/>
                      <w:divBdr>
                        <w:top w:val="none" w:sz="0" w:space="0" w:color="auto"/>
                        <w:left w:val="none" w:sz="0" w:space="0" w:color="auto"/>
                        <w:bottom w:val="none" w:sz="0" w:space="0" w:color="auto"/>
                        <w:right w:val="none" w:sz="0" w:space="0" w:color="auto"/>
                      </w:divBdr>
                      <w:divsChild>
                        <w:div w:id="1970547395">
                          <w:marLeft w:val="0"/>
                          <w:marRight w:val="0"/>
                          <w:marTop w:val="0"/>
                          <w:marBottom w:val="0"/>
                          <w:divBdr>
                            <w:top w:val="none" w:sz="0" w:space="0" w:color="auto"/>
                            <w:left w:val="none" w:sz="0" w:space="0" w:color="auto"/>
                            <w:bottom w:val="none" w:sz="0" w:space="0" w:color="auto"/>
                            <w:right w:val="none" w:sz="0" w:space="0" w:color="auto"/>
                          </w:divBdr>
                          <w:divsChild>
                            <w:div w:id="1498039954">
                              <w:marLeft w:val="0"/>
                              <w:marRight w:val="0"/>
                              <w:marTop w:val="0"/>
                              <w:marBottom w:val="0"/>
                              <w:divBdr>
                                <w:top w:val="none" w:sz="0" w:space="0" w:color="auto"/>
                                <w:left w:val="none" w:sz="0" w:space="0" w:color="auto"/>
                                <w:bottom w:val="none" w:sz="0" w:space="0" w:color="auto"/>
                                <w:right w:val="none" w:sz="0" w:space="0" w:color="auto"/>
                              </w:divBdr>
                              <w:divsChild>
                                <w:div w:id="201989007">
                                  <w:marLeft w:val="0"/>
                                  <w:marRight w:val="0"/>
                                  <w:marTop w:val="0"/>
                                  <w:marBottom w:val="0"/>
                                  <w:divBdr>
                                    <w:top w:val="none" w:sz="0" w:space="0" w:color="auto"/>
                                    <w:left w:val="none" w:sz="0" w:space="0" w:color="auto"/>
                                    <w:bottom w:val="none" w:sz="0" w:space="0" w:color="auto"/>
                                    <w:right w:val="none" w:sz="0" w:space="0" w:color="auto"/>
                                  </w:divBdr>
                                  <w:divsChild>
                                    <w:div w:id="38845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0106150">
      <w:bodyDiv w:val="1"/>
      <w:marLeft w:val="0"/>
      <w:marRight w:val="0"/>
      <w:marTop w:val="0"/>
      <w:marBottom w:val="0"/>
      <w:divBdr>
        <w:top w:val="none" w:sz="0" w:space="0" w:color="auto"/>
        <w:left w:val="none" w:sz="0" w:space="0" w:color="auto"/>
        <w:bottom w:val="none" w:sz="0" w:space="0" w:color="auto"/>
        <w:right w:val="none" w:sz="0" w:space="0" w:color="auto"/>
      </w:divBdr>
      <w:divsChild>
        <w:div w:id="229703780">
          <w:marLeft w:val="0"/>
          <w:marRight w:val="0"/>
          <w:marTop w:val="0"/>
          <w:marBottom w:val="0"/>
          <w:divBdr>
            <w:top w:val="none" w:sz="0" w:space="0" w:color="auto"/>
            <w:left w:val="none" w:sz="0" w:space="0" w:color="auto"/>
            <w:bottom w:val="none" w:sz="0" w:space="0" w:color="auto"/>
            <w:right w:val="none" w:sz="0" w:space="0" w:color="auto"/>
          </w:divBdr>
          <w:divsChild>
            <w:div w:id="2093894832">
              <w:marLeft w:val="0"/>
              <w:marRight w:val="0"/>
              <w:marTop w:val="0"/>
              <w:marBottom w:val="0"/>
              <w:divBdr>
                <w:top w:val="none" w:sz="0" w:space="0" w:color="auto"/>
                <w:left w:val="none" w:sz="0" w:space="0" w:color="auto"/>
                <w:bottom w:val="none" w:sz="0" w:space="0" w:color="auto"/>
                <w:right w:val="none" w:sz="0" w:space="0" w:color="auto"/>
              </w:divBdr>
              <w:divsChild>
                <w:div w:id="1685667047">
                  <w:marLeft w:val="0"/>
                  <w:marRight w:val="0"/>
                  <w:marTop w:val="0"/>
                  <w:marBottom w:val="0"/>
                  <w:divBdr>
                    <w:top w:val="none" w:sz="0" w:space="0" w:color="auto"/>
                    <w:left w:val="none" w:sz="0" w:space="0" w:color="auto"/>
                    <w:bottom w:val="none" w:sz="0" w:space="0" w:color="auto"/>
                    <w:right w:val="none" w:sz="0" w:space="0" w:color="auto"/>
                  </w:divBdr>
                  <w:divsChild>
                    <w:div w:id="139631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789513">
      <w:bodyDiv w:val="1"/>
      <w:marLeft w:val="0"/>
      <w:marRight w:val="0"/>
      <w:marTop w:val="0"/>
      <w:marBottom w:val="0"/>
      <w:divBdr>
        <w:top w:val="none" w:sz="0" w:space="0" w:color="auto"/>
        <w:left w:val="none" w:sz="0" w:space="0" w:color="auto"/>
        <w:bottom w:val="none" w:sz="0" w:space="0" w:color="auto"/>
        <w:right w:val="none" w:sz="0" w:space="0" w:color="auto"/>
      </w:divBdr>
    </w:div>
    <w:div w:id="2141457023">
      <w:bodyDiv w:val="1"/>
      <w:marLeft w:val="0"/>
      <w:marRight w:val="0"/>
      <w:marTop w:val="0"/>
      <w:marBottom w:val="0"/>
      <w:divBdr>
        <w:top w:val="none" w:sz="0" w:space="0" w:color="auto"/>
        <w:left w:val="none" w:sz="0" w:space="0" w:color="auto"/>
        <w:bottom w:val="none" w:sz="0" w:space="0" w:color="auto"/>
        <w:right w:val="none" w:sz="0" w:space="0" w:color="auto"/>
      </w:divBdr>
      <w:divsChild>
        <w:div w:id="1655645613">
          <w:marLeft w:val="0"/>
          <w:marRight w:val="0"/>
          <w:marTop w:val="0"/>
          <w:marBottom w:val="0"/>
          <w:divBdr>
            <w:top w:val="none" w:sz="0" w:space="0" w:color="auto"/>
            <w:left w:val="none" w:sz="0" w:space="0" w:color="auto"/>
            <w:bottom w:val="none" w:sz="0" w:space="0" w:color="auto"/>
            <w:right w:val="none" w:sz="0" w:space="0" w:color="auto"/>
          </w:divBdr>
          <w:divsChild>
            <w:div w:id="366686758">
              <w:marLeft w:val="0"/>
              <w:marRight w:val="0"/>
              <w:marTop w:val="0"/>
              <w:marBottom w:val="0"/>
              <w:divBdr>
                <w:top w:val="none" w:sz="0" w:space="0" w:color="auto"/>
                <w:left w:val="none" w:sz="0" w:space="0" w:color="auto"/>
                <w:bottom w:val="none" w:sz="0" w:space="0" w:color="auto"/>
                <w:right w:val="none" w:sz="0" w:space="0" w:color="auto"/>
              </w:divBdr>
              <w:divsChild>
                <w:div w:id="549611211">
                  <w:marLeft w:val="0"/>
                  <w:marRight w:val="0"/>
                  <w:marTop w:val="0"/>
                  <w:marBottom w:val="0"/>
                  <w:divBdr>
                    <w:top w:val="none" w:sz="0" w:space="0" w:color="auto"/>
                    <w:left w:val="none" w:sz="0" w:space="0" w:color="auto"/>
                    <w:bottom w:val="none" w:sz="0" w:space="0" w:color="auto"/>
                    <w:right w:val="none" w:sz="0" w:space="0" w:color="auto"/>
                  </w:divBdr>
                  <w:divsChild>
                    <w:div w:id="1978601621">
                      <w:marLeft w:val="0"/>
                      <w:marRight w:val="0"/>
                      <w:marTop w:val="0"/>
                      <w:marBottom w:val="0"/>
                      <w:divBdr>
                        <w:top w:val="none" w:sz="0" w:space="0" w:color="auto"/>
                        <w:left w:val="none" w:sz="0" w:space="0" w:color="auto"/>
                        <w:bottom w:val="none" w:sz="0" w:space="0" w:color="auto"/>
                        <w:right w:val="none" w:sz="0" w:space="0" w:color="auto"/>
                      </w:divBdr>
                      <w:divsChild>
                        <w:div w:id="1193955960">
                          <w:marLeft w:val="0"/>
                          <w:marRight w:val="0"/>
                          <w:marTop w:val="0"/>
                          <w:marBottom w:val="0"/>
                          <w:divBdr>
                            <w:top w:val="none" w:sz="0" w:space="0" w:color="auto"/>
                            <w:left w:val="none" w:sz="0" w:space="0" w:color="auto"/>
                            <w:bottom w:val="none" w:sz="0" w:space="0" w:color="auto"/>
                            <w:right w:val="none" w:sz="0" w:space="0" w:color="auto"/>
                          </w:divBdr>
                          <w:divsChild>
                            <w:div w:id="1054348828">
                              <w:marLeft w:val="0"/>
                              <w:marRight w:val="0"/>
                              <w:marTop w:val="0"/>
                              <w:marBottom w:val="0"/>
                              <w:divBdr>
                                <w:top w:val="none" w:sz="0" w:space="0" w:color="auto"/>
                                <w:left w:val="none" w:sz="0" w:space="0" w:color="auto"/>
                                <w:bottom w:val="none" w:sz="0" w:space="0" w:color="auto"/>
                                <w:right w:val="none" w:sz="0" w:space="0" w:color="auto"/>
                              </w:divBdr>
                              <w:divsChild>
                                <w:div w:id="990599386">
                                  <w:marLeft w:val="0"/>
                                  <w:marRight w:val="0"/>
                                  <w:marTop w:val="0"/>
                                  <w:marBottom w:val="0"/>
                                  <w:divBdr>
                                    <w:top w:val="none" w:sz="0" w:space="0" w:color="auto"/>
                                    <w:left w:val="none" w:sz="0" w:space="0" w:color="auto"/>
                                    <w:bottom w:val="none" w:sz="0" w:space="0" w:color="auto"/>
                                    <w:right w:val="none" w:sz="0" w:space="0" w:color="auto"/>
                                  </w:divBdr>
                                  <w:divsChild>
                                    <w:div w:id="34625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1CBFCBF6165CA845B483868721C5B552" ma:contentTypeVersion="" ma:contentTypeDescription="Crear nuevo documento." ma:contentTypeScope="" ma:versionID="d5c51fb77d66fc31263f7bfad3ece9bd">
  <xsd:schema xmlns:xsd="http://www.w3.org/2001/XMLSchema" xmlns:xs="http://www.w3.org/2001/XMLSchema" xmlns:p="http://schemas.microsoft.com/office/2006/metadata/properties" targetNamespace="http://schemas.microsoft.com/office/2006/metadata/properties" ma:root="true" ma:fieldsID="814239abd367da8c0615b8fdace6ad7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7CC14E-B463-4307-837D-30253B89DC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6AE824F-85AE-4587-BCE4-C54941F6B6D7}">
  <ds:schemaRefs>
    <ds:schemaRef ds:uri="http://schemas.openxmlformats.org/officeDocument/2006/bibliography"/>
  </ds:schemaRefs>
</ds:datastoreItem>
</file>

<file path=customXml/itemProps3.xml><?xml version="1.0" encoding="utf-8"?>
<ds:datastoreItem xmlns:ds="http://schemas.openxmlformats.org/officeDocument/2006/customXml" ds:itemID="{63EF2A66-D63A-49F8-8469-D4C20A44F2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58B1812-7EC1-439D-860E-97BA81ED30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47</Pages>
  <Words>12080</Words>
  <Characters>66442</Characters>
  <Application>Microsoft Office Word</Application>
  <DocSecurity>0</DocSecurity>
  <Lines>553</Lines>
  <Paragraphs>156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Isabel Mota Casillas</dc:creator>
  <cp:keywords/>
  <dc:description/>
  <cp:lastModifiedBy>DARIO MAGNO TAPIA JARAMILLO</cp:lastModifiedBy>
  <cp:revision>37</cp:revision>
  <cp:lastPrinted>2025-11-18T23:33:00Z</cp:lastPrinted>
  <dcterms:created xsi:type="dcterms:W3CDTF">2026-06-25T23:47:00Z</dcterms:created>
  <dcterms:modified xsi:type="dcterms:W3CDTF">2026-07-01T20:19:00Z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0x0101001CBFCBF6165CA845B483868721C5B552</vt:lpwstr>
  </property>
</Properties>
</file>