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82A3" w14:textId="77777777" w:rsidR="00911430" w:rsidRPr="00B74199" w:rsidRDefault="00911430" w:rsidP="00911430">
      <w:pPr>
        <w:ind w:left="4820"/>
        <w:jc w:val="both"/>
        <w:rPr>
          <w:rFonts w:ascii="Arial" w:hAnsi="Arial" w:cs="Arial"/>
          <w:b/>
          <w:sz w:val="26"/>
          <w:szCs w:val="26"/>
        </w:rPr>
      </w:pPr>
      <w:bookmarkStart w:id="0" w:name="_Hlk56518214"/>
      <w:r w:rsidRPr="00B74199">
        <w:rPr>
          <w:rFonts w:ascii="Arial" w:hAnsi="Arial" w:cs="Arial"/>
          <w:b/>
          <w:sz w:val="26"/>
          <w:szCs w:val="26"/>
        </w:rPr>
        <w:t>AMPARO DIRECTO EN REVISIÓN 2875/2025</w:t>
      </w:r>
    </w:p>
    <w:p w14:paraId="48226AF3" w14:textId="364CEB8A" w:rsidR="00911430" w:rsidRPr="00B74199" w:rsidRDefault="00911430" w:rsidP="00911430">
      <w:pPr>
        <w:ind w:left="4820"/>
        <w:jc w:val="both"/>
        <w:rPr>
          <w:rFonts w:ascii="Arial" w:hAnsi="Arial" w:cs="Arial"/>
          <w:b/>
          <w:sz w:val="26"/>
          <w:szCs w:val="26"/>
        </w:rPr>
      </w:pPr>
      <w:r w:rsidRPr="00B74199">
        <w:rPr>
          <w:rFonts w:ascii="Arial" w:hAnsi="Arial" w:cs="Arial"/>
          <w:b/>
          <w:sz w:val="26"/>
          <w:szCs w:val="26"/>
        </w:rPr>
        <w:t xml:space="preserve">RECURRENTE: </w:t>
      </w:r>
      <w:r w:rsidR="00335C3F">
        <w:rPr>
          <w:rFonts w:ascii="Arial" w:hAnsi="Arial" w:cs="Arial"/>
          <w:b/>
          <w:color w:val="FF0000"/>
          <w:sz w:val="26"/>
          <w:szCs w:val="26"/>
        </w:rPr>
        <w:t>**********</w:t>
      </w:r>
      <w:r w:rsidRPr="00B74199">
        <w:rPr>
          <w:rFonts w:ascii="Arial" w:hAnsi="Arial" w:cs="Arial"/>
          <w:b/>
          <w:color w:val="FF0000"/>
          <w:sz w:val="26"/>
          <w:szCs w:val="26"/>
        </w:rPr>
        <w:t xml:space="preserve"> </w:t>
      </w:r>
      <w:r w:rsidRPr="00B74199">
        <w:rPr>
          <w:rFonts w:ascii="Arial" w:hAnsi="Arial" w:cs="Arial"/>
          <w:b/>
          <w:sz w:val="26"/>
          <w:szCs w:val="26"/>
        </w:rPr>
        <w:t>(QUEJOSA)</w:t>
      </w:r>
    </w:p>
    <w:p w14:paraId="6E81311E" w14:textId="77777777" w:rsidR="00911430" w:rsidRPr="00B74199" w:rsidRDefault="00911430" w:rsidP="00911430">
      <w:pPr>
        <w:spacing w:after="200" w:line="276" w:lineRule="auto"/>
        <w:rPr>
          <w:rFonts w:ascii="Arial" w:hAnsi="Arial" w:cs="Arial"/>
          <w:sz w:val="26"/>
          <w:szCs w:val="26"/>
        </w:rPr>
      </w:pPr>
    </w:p>
    <w:p w14:paraId="6D464534" w14:textId="77777777" w:rsidR="00911430" w:rsidRPr="00B74199" w:rsidRDefault="00911430" w:rsidP="00911430">
      <w:pPr>
        <w:pStyle w:val="corte2ponente"/>
        <w:ind w:right="-799"/>
        <w:jc w:val="both"/>
        <w:rPr>
          <w:rFonts w:cs="Arial"/>
          <w:sz w:val="26"/>
          <w:szCs w:val="26"/>
          <w:lang w:val="pt-PT"/>
        </w:rPr>
      </w:pPr>
      <w:r w:rsidRPr="00B74199">
        <w:rPr>
          <w:rFonts w:cs="Arial"/>
          <w:sz w:val="26"/>
          <w:szCs w:val="26"/>
          <w:lang w:val="pt-PT"/>
        </w:rPr>
        <w:t>PONENTE: MINISTRA MARÍA ESTELA RÍOS GONZÁLEZ</w:t>
      </w:r>
    </w:p>
    <w:p w14:paraId="3BD9DF17" w14:textId="77777777" w:rsidR="00911430" w:rsidRPr="00B74199" w:rsidRDefault="00911430" w:rsidP="00911430">
      <w:pPr>
        <w:rPr>
          <w:rFonts w:ascii="Arial" w:hAnsi="Arial" w:cs="Arial"/>
          <w:b/>
          <w:sz w:val="26"/>
          <w:szCs w:val="26"/>
        </w:rPr>
      </w:pPr>
      <w:r w:rsidRPr="00B74199">
        <w:rPr>
          <w:rFonts w:ascii="Arial" w:hAnsi="Arial" w:cs="Arial"/>
          <w:b/>
          <w:sz w:val="26"/>
          <w:szCs w:val="26"/>
        </w:rPr>
        <w:t>SECRETARIA: ARLIN MARIBEL PÉREZ PARADA</w:t>
      </w:r>
    </w:p>
    <w:p w14:paraId="3050514B" w14:textId="77777777" w:rsidR="00911430" w:rsidRPr="00B74199" w:rsidRDefault="00911430" w:rsidP="00911430">
      <w:pPr>
        <w:rPr>
          <w:rFonts w:ascii="Arial" w:hAnsi="Arial" w:cs="Arial"/>
          <w:b/>
          <w:sz w:val="26"/>
          <w:szCs w:val="26"/>
        </w:rPr>
      </w:pPr>
    </w:p>
    <w:p w14:paraId="144B7F38" w14:textId="77777777" w:rsidR="00911430" w:rsidRPr="00B74199" w:rsidRDefault="00911430" w:rsidP="00911430">
      <w:pPr>
        <w:rPr>
          <w:rFonts w:ascii="Arial" w:hAnsi="Arial" w:cs="Arial"/>
          <w:b/>
          <w:sz w:val="26"/>
          <w:szCs w:val="26"/>
        </w:rPr>
      </w:pPr>
    </w:p>
    <w:p w14:paraId="2F5C3A12" w14:textId="77777777" w:rsidR="00911430" w:rsidRPr="00B74199" w:rsidRDefault="00911430" w:rsidP="00911430">
      <w:pPr>
        <w:jc w:val="center"/>
        <w:rPr>
          <w:rFonts w:ascii="Arial" w:hAnsi="Arial" w:cs="Arial"/>
          <w:b/>
          <w:sz w:val="26"/>
          <w:szCs w:val="26"/>
        </w:rPr>
      </w:pPr>
      <w:r w:rsidRPr="00B74199">
        <w:rPr>
          <w:rFonts w:ascii="Arial" w:hAnsi="Arial" w:cs="Arial"/>
          <w:b/>
          <w:sz w:val="26"/>
          <w:szCs w:val="26"/>
        </w:rPr>
        <w:t>ÍNDICE TEMÁTICO</w:t>
      </w:r>
    </w:p>
    <w:p w14:paraId="002C9D42" w14:textId="77777777" w:rsidR="00911430" w:rsidRPr="00B74199" w:rsidRDefault="00911430" w:rsidP="00911430">
      <w:pPr>
        <w:jc w:val="center"/>
        <w:rPr>
          <w:rFonts w:ascii="Arial" w:hAnsi="Arial" w:cs="Arial"/>
          <w:b/>
          <w:sz w:val="26"/>
          <w:szCs w:val="26"/>
        </w:rPr>
      </w:pPr>
    </w:p>
    <w:p w14:paraId="4A99A2DA" w14:textId="77777777" w:rsidR="00911430" w:rsidRPr="00B74199" w:rsidRDefault="00911430" w:rsidP="00911430">
      <w:pPr>
        <w:tabs>
          <w:tab w:val="left" w:pos="426"/>
        </w:tabs>
        <w:jc w:val="both"/>
        <w:rPr>
          <w:rFonts w:ascii="Arial" w:eastAsia="Calibri" w:hAnsi="Arial" w:cs="Arial"/>
          <w:b/>
          <w:bCs/>
          <w:sz w:val="26"/>
          <w:szCs w:val="26"/>
          <w:lang w:val="es-MX" w:eastAsia="es-ES"/>
        </w:rPr>
      </w:pPr>
    </w:p>
    <w:tbl>
      <w:tblPr>
        <w:tblStyle w:val="Tablaconcuadrcula"/>
        <w:tblW w:w="9209" w:type="dxa"/>
        <w:tblLayout w:type="fixed"/>
        <w:tblLook w:val="04A0" w:firstRow="1" w:lastRow="0" w:firstColumn="1" w:lastColumn="0" w:noHBand="0" w:noVBand="1"/>
      </w:tblPr>
      <w:tblGrid>
        <w:gridCol w:w="678"/>
        <w:gridCol w:w="2861"/>
        <w:gridCol w:w="4678"/>
        <w:gridCol w:w="992"/>
      </w:tblGrid>
      <w:tr w:rsidR="00911430" w:rsidRPr="00C425C3" w14:paraId="4BB9ACC7" w14:textId="77777777" w:rsidTr="003A4FE2">
        <w:trPr>
          <w:trHeight w:val="641"/>
        </w:trPr>
        <w:tc>
          <w:tcPr>
            <w:tcW w:w="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094FAE" w14:textId="77777777" w:rsidR="00911430" w:rsidRPr="00C425C3" w:rsidRDefault="00911430" w:rsidP="003A4FE2">
            <w:pPr>
              <w:tabs>
                <w:tab w:val="left" w:pos="426"/>
              </w:tabs>
              <w:jc w:val="center"/>
              <w:rPr>
                <w:rFonts w:ascii="Arial" w:eastAsia="Calibri" w:hAnsi="Arial" w:cs="Arial"/>
                <w:b/>
                <w:bCs/>
                <w:sz w:val="24"/>
                <w:szCs w:val="24"/>
                <w:lang w:val="es-MX" w:eastAsia="es-ES"/>
              </w:rPr>
            </w:pPr>
          </w:p>
        </w:tc>
        <w:tc>
          <w:tcPr>
            <w:tcW w:w="2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4276D8"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Apartado</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D5EB86" w14:textId="77777777" w:rsidR="00911430" w:rsidRPr="00C425C3" w:rsidRDefault="00911430" w:rsidP="003A4FE2">
            <w:pPr>
              <w:tabs>
                <w:tab w:val="left" w:pos="426"/>
              </w:tabs>
              <w:spacing w:before="240" w:after="240"/>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Criterio y decisión</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B96739" w14:textId="77777777"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Págs.</w:t>
            </w:r>
          </w:p>
        </w:tc>
      </w:tr>
      <w:tr w:rsidR="00911430" w:rsidRPr="00C425C3" w14:paraId="0CD0FB93" w14:textId="77777777" w:rsidTr="003A4FE2">
        <w:trPr>
          <w:trHeight w:val="569"/>
        </w:trPr>
        <w:tc>
          <w:tcPr>
            <w:tcW w:w="678" w:type="dxa"/>
            <w:tcBorders>
              <w:top w:val="single" w:sz="4" w:space="0" w:color="auto"/>
              <w:left w:val="single" w:sz="4" w:space="0" w:color="auto"/>
              <w:bottom w:val="single" w:sz="4" w:space="0" w:color="auto"/>
              <w:right w:val="single" w:sz="4" w:space="0" w:color="auto"/>
            </w:tcBorders>
            <w:vAlign w:val="center"/>
            <w:hideMark/>
          </w:tcPr>
          <w:p w14:paraId="2D263B8A" w14:textId="77777777"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I.</w:t>
            </w:r>
          </w:p>
        </w:tc>
        <w:tc>
          <w:tcPr>
            <w:tcW w:w="2861" w:type="dxa"/>
            <w:tcBorders>
              <w:top w:val="single" w:sz="4" w:space="0" w:color="auto"/>
              <w:left w:val="single" w:sz="4" w:space="0" w:color="auto"/>
              <w:bottom w:val="single" w:sz="4" w:space="0" w:color="auto"/>
              <w:right w:val="single" w:sz="4" w:space="0" w:color="auto"/>
            </w:tcBorders>
            <w:vAlign w:val="center"/>
            <w:hideMark/>
          </w:tcPr>
          <w:p w14:paraId="2EC6F088"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COMPETENCIA</w:t>
            </w:r>
          </w:p>
        </w:tc>
        <w:tc>
          <w:tcPr>
            <w:tcW w:w="4678" w:type="dxa"/>
            <w:tcBorders>
              <w:top w:val="single" w:sz="4" w:space="0" w:color="auto"/>
              <w:left w:val="single" w:sz="4" w:space="0" w:color="auto"/>
              <w:bottom w:val="single" w:sz="4" w:space="0" w:color="auto"/>
              <w:right w:val="single" w:sz="4" w:space="0" w:color="auto"/>
            </w:tcBorders>
            <w:hideMark/>
          </w:tcPr>
          <w:p w14:paraId="21064B41" w14:textId="48FE9A2E" w:rsidR="00911430" w:rsidRPr="00C425C3" w:rsidRDefault="00C425C3" w:rsidP="003A4FE2">
            <w:pPr>
              <w:tabs>
                <w:tab w:val="left" w:pos="426"/>
              </w:tabs>
              <w:spacing w:before="240" w:after="240"/>
              <w:jc w:val="both"/>
              <w:rPr>
                <w:rFonts w:ascii="Arial" w:eastAsia="Calibri" w:hAnsi="Arial" w:cs="Arial"/>
                <w:bCs/>
                <w:sz w:val="24"/>
                <w:szCs w:val="24"/>
                <w:lang w:val="es-MX" w:eastAsia="es-ES"/>
              </w:rPr>
            </w:pPr>
            <w:r>
              <w:rPr>
                <w:rFonts w:ascii="Arial" w:eastAsia="Calibri" w:hAnsi="Arial" w:cs="Arial"/>
                <w:bCs/>
                <w:sz w:val="24"/>
                <w:szCs w:val="24"/>
                <w:lang w:eastAsia="es-ES"/>
              </w:rPr>
              <w:t xml:space="preserve">El Tribunal Pleno de la </w:t>
            </w:r>
            <w:r w:rsidR="00911430" w:rsidRPr="00C425C3">
              <w:rPr>
                <w:rFonts w:ascii="Arial" w:eastAsia="Calibri" w:hAnsi="Arial" w:cs="Arial"/>
                <w:bCs/>
                <w:sz w:val="24"/>
                <w:szCs w:val="24"/>
                <w:lang w:eastAsia="es-ES"/>
              </w:rPr>
              <w:t xml:space="preserve">Suprema Corte de Justicia de la Nación es competente. </w:t>
            </w:r>
          </w:p>
        </w:tc>
        <w:tc>
          <w:tcPr>
            <w:tcW w:w="992" w:type="dxa"/>
            <w:tcBorders>
              <w:top w:val="single" w:sz="4" w:space="0" w:color="auto"/>
              <w:left w:val="single" w:sz="4" w:space="0" w:color="auto"/>
              <w:bottom w:val="single" w:sz="4" w:space="0" w:color="auto"/>
              <w:right w:val="single" w:sz="4" w:space="0" w:color="auto"/>
            </w:tcBorders>
          </w:tcPr>
          <w:p w14:paraId="0981B8C9"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509AA506"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57B9C540" w14:textId="77777777" w:rsidR="00911430" w:rsidRPr="00C425C3" w:rsidRDefault="00911430" w:rsidP="003A4FE2">
            <w:pPr>
              <w:tabs>
                <w:tab w:val="left" w:pos="426"/>
              </w:tabs>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8</w:t>
            </w:r>
          </w:p>
        </w:tc>
      </w:tr>
      <w:tr w:rsidR="00911430" w:rsidRPr="00C425C3" w14:paraId="53D49F0E" w14:textId="77777777" w:rsidTr="003A4FE2">
        <w:trPr>
          <w:trHeight w:val="505"/>
        </w:trPr>
        <w:tc>
          <w:tcPr>
            <w:tcW w:w="678" w:type="dxa"/>
            <w:tcBorders>
              <w:top w:val="single" w:sz="4" w:space="0" w:color="auto"/>
              <w:left w:val="single" w:sz="4" w:space="0" w:color="auto"/>
              <w:bottom w:val="single" w:sz="4" w:space="0" w:color="auto"/>
              <w:right w:val="single" w:sz="4" w:space="0" w:color="auto"/>
            </w:tcBorders>
            <w:vAlign w:val="center"/>
            <w:hideMark/>
          </w:tcPr>
          <w:p w14:paraId="484FE947" w14:textId="77777777"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II.</w:t>
            </w:r>
          </w:p>
        </w:tc>
        <w:tc>
          <w:tcPr>
            <w:tcW w:w="2861" w:type="dxa"/>
            <w:tcBorders>
              <w:top w:val="single" w:sz="4" w:space="0" w:color="auto"/>
              <w:left w:val="single" w:sz="4" w:space="0" w:color="auto"/>
              <w:bottom w:val="single" w:sz="4" w:space="0" w:color="auto"/>
              <w:right w:val="single" w:sz="4" w:space="0" w:color="auto"/>
            </w:tcBorders>
            <w:vAlign w:val="center"/>
            <w:hideMark/>
          </w:tcPr>
          <w:p w14:paraId="3CB52F72"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OPORTUNIDAD</w:t>
            </w:r>
          </w:p>
        </w:tc>
        <w:tc>
          <w:tcPr>
            <w:tcW w:w="4678" w:type="dxa"/>
            <w:tcBorders>
              <w:top w:val="single" w:sz="4" w:space="0" w:color="auto"/>
              <w:left w:val="single" w:sz="4" w:space="0" w:color="auto"/>
              <w:bottom w:val="single" w:sz="4" w:space="0" w:color="auto"/>
              <w:right w:val="single" w:sz="4" w:space="0" w:color="auto"/>
            </w:tcBorders>
            <w:hideMark/>
          </w:tcPr>
          <w:p w14:paraId="0DE9FC69" w14:textId="77777777" w:rsidR="00911430" w:rsidRPr="00C425C3" w:rsidRDefault="00911430" w:rsidP="003A4FE2">
            <w:pPr>
              <w:tabs>
                <w:tab w:val="left" w:pos="426"/>
              </w:tabs>
              <w:spacing w:before="240" w:after="240"/>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El recurso es oportuno.</w:t>
            </w:r>
          </w:p>
        </w:tc>
        <w:tc>
          <w:tcPr>
            <w:tcW w:w="992" w:type="dxa"/>
            <w:tcBorders>
              <w:top w:val="single" w:sz="4" w:space="0" w:color="auto"/>
              <w:left w:val="single" w:sz="4" w:space="0" w:color="auto"/>
              <w:bottom w:val="single" w:sz="4" w:space="0" w:color="auto"/>
              <w:right w:val="single" w:sz="4" w:space="0" w:color="auto"/>
            </w:tcBorders>
          </w:tcPr>
          <w:p w14:paraId="6485135F"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60450B70" w14:textId="5F43CB4B" w:rsidR="00911430" w:rsidRPr="00C425C3" w:rsidRDefault="002958F8" w:rsidP="003A4FE2">
            <w:pPr>
              <w:tabs>
                <w:tab w:val="left" w:pos="426"/>
              </w:tabs>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9</w:t>
            </w:r>
          </w:p>
        </w:tc>
      </w:tr>
      <w:tr w:rsidR="00911430" w:rsidRPr="00C425C3" w14:paraId="404AB955" w14:textId="77777777" w:rsidTr="003A4FE2">
        <w:trPr>
          <w:trHeight w:val="555"/>
        </w:trPr>
        <w:tc>
          <w:tcPr>
            <w:tcW w:w="678" w:type="dxa"/>
            <w:tcBorders>
              <w:top w:val="single" w:sz="4" w:space="0" w:color="auto"/>
              <w:left w:val="single" w:sz="4" w:space="0" w:color="auto"/>
              <w:bottom w:val="single" w:sz="4" w:space="0" w:color="auto"/>
              <w:right w:val="single" w:sz="4" w:space="0" w:color="auto"/>
            </w:tcBorders>
            <w:vAlign w:val="center"/>
            <w:hideMark/>
          </w:tcPr>
          <w:p w14:paraId="1EE6ADFC" w14:textId="77777777"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III.</w:t>
            </w:r>
          </w:p>
        </w:tc>
        <w:tc>
          <w:tcPr>
            <w:tcW w:w="2861" w:type="dxa"/>
            <w:tcBorders>
              <w:top w:val="single" w:sz="4" w:space="0" w:color="auto"/>
              <w:left w:val="single" w:sz="4" w:space="0" w:color="auto"/>
              <w:bottom w:val="single" w:sz="4" w:space="0" w:color="auto"/>
              <w:right w:val="single" w:sz="4" w:space="0" w:color="auto"/>
            </w:tcBorders>
            <w:vAlign w:val="center"/>
          </w:tcPr>
          <w:p w14:paraId="12AD647B"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LEGITIMACIÓN</w:t>
            </w:r>
          </w:p>
        </w:tc>
        <w:tc>
          <w:tcPr>
            <w:tcW w:w="4678" w:type="dxa"/>
            <w:tcBorders>
              <w:top w:val="single" w:sz="4" w:space="0" w:color="auto"/>
              <w:left w:val="single" w:sz="4" w:space="0" w:color="auto"/>
              <w:bottom w:val="single" w:sz="4" w:space="0" w:color="auto"/>
              <w:right w:val="single" w:sz="4" w:space="0" w:color="auto"/>
            </w:tcBorders>
            <w:hideMark/>
          </w:tcPr>
          <w:p w14:paraId="20F4848C" w14:textId="77777777" w:rsidR="00911430" w:rsidRPr="00C425C3" w:rsidRDefault="00911430" w:rsidP="003A4FE2">
            <w:pPr>
              <w:tabs>
                <w:tab w:val="left" w:pos="426"/>
              </w:tabs>
              <w:spacing w:before="240" w:after="240"/>
              <w:jc w:val="both"/>
              <w:rPr>
                <w:rFonts w:ascii="Arial" w:eastAsia="Calibri" w:hAnsi="Arial" w:cs="Arial"/>
                <w:bCs/>
                <w:sz w:val="24"/>
                <w:szCs w:val="24"/>
                <w:lang w:val="es-MX" w:eastAsia="es-ES"/>
              </w:rPr>
            </w:pPr>
            <w:r w:rsidRPr="00C425C3">
              <w:rPr>
                <w:rFonts w:ascii="Arial" w:eastAsia="Calibri" w:hAnsi="Arial" w:cs="Arial"/>
                <w:bCs/>
                <w:sz w:val="24"/>
                <w:szCs w:val="24"/>
                <w:lang w:eastAsia="es-ES"/>
              </w:rPr>
              <w:t>La parte recurrente cuenta con legitimación.</w:t>
            </w:r>
          </w:p>
        </w:tc>
        <w:tc>
          <w:tcPr>
            <w:tcW w:w="992" w:type="dxa"/>
            <w:tcBorders>
              <w:top w:val="single" w:sz="4" w:space="0" w:color="auto"/>
              <w:left w:val="single" w:sz="4" w:space="0" w:color="auto"/>
              <w:bottom w:val="single" w:sz="4" w:space="0" w:color="auto"/>
              <w:right w:val="single" w:sz="4" w:space="0" w:color="auto"/>
            </w:tcBorders>
          </w:tcPr>
          <w:p w14:paraId="5F8DBBBC"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5B680312" w14:textId="77777777" w:rsidR="00911430" w:rsidRPr="00C425C3" w:rsidRDefault="00911430" w:rsidP="003A4FE2">
            <w:pPr>
              <w:tabs>
                <w:tab w:val="left" w:pos="426"/>
              </w:tabs>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9</w:t>
            </w:r>
          </w:p>
        </w:tc>
      </w:tr>
      <w:tr w:rsidR="00911430" w:rsidRPr="00C425C3" w14:paraId="364E812F" w14:textId="77777777" w:rsidTr="003A4FE2">
        <w:trPr>
          <w:trHeight w:val="555"/>
        </w:trPr>
        <w:tc>
          <w:tcPr>
            <w:tcW w:w="678" w:type="dxa"/>
            <w:tcBorders>
              <w:top w:val="single" w:sz="4" w:space="0" w:color="auto"/>
              <w:left w:val="single" w:sz="4" w:space="0" w:color="auto"/>
              <w:bottom w:val="single" w:sz="4" w:space="0" w:color="auto"/>
              <w:right w:val="single" w:sz="4" w:space="0" w:color="auto"/>
            </w:tcBorders>
            <w:vAlign w:val="center"/>
            <w:hideMark/>
          </w:tcPr>
          <w:p w14:paraId="0DB4CC05" w14:textId="77777777"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IV.</w:t>
            </w:r>
          </w:p>
        </w:tc>
        <w:tc>
          <w:tcPr>
            <w:tcW w:w="2861" w:type="dxa"/>
            <w:tcBorders>
              <w:top w:val="single" w:sz="4" w:space="0" w:color="auto"/>
              <w:left w:val="single" w:sz="4" w:space="0" w:color="auto"/>
              <w:bottom w:val="single" w:sz="4" w:space="0" w:color="auto"/>
              <w:right w:val="single" w:sz="4" w:space="0" w:color="auto"/>
            </w:tcBorders>
            <w:vAlign w:val="center"/>
            <w:hideMark/>
          </w:tcPr>
          <w:p w14:paraId="6C03A2FF"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IMPROCEDENCIA</w:t>
            </w:r>
          </w:p>
        </w:tc>
        <w:tc>
          <w:tcPr>
            <w:tcW w:w="4678" w:type="dxa"/>
            <w:tcBorders>
              <w:top w:val="single" w:sz="4" w:space="0" w:color="auto"/>
              <w:left w:val="single" w:sz="4" w:space="0" w:color="auto"/>
              <w:bottom w:val="single" w:sz="4" w:space="0" w:color="auto"/>
              <w:right w:val="single" w:sz="4" w:space="0" w:color="auto"/>
            </w:tcBorders>
            <w:hideMark/>
          </w:tcPr>
          <w:p w14:paraId="6290FFE7" w14:textId="77777777" w:rsidR="00911430" w:rsidRPr="00C425C3" w:rsidRDefault="00911430" w:rsidP="003A4FE2">
            <w:pPr>
              <w:pStyle w:val="corte4fondo"/>
              <w:spacing w:line="240" w:lineRule="auto"/>
              <w:ind w:right="51" w:firstLine="0"/>
              <w:rPr>
                <w:rFonts w:cs="Arial"/>
                <w:sz w:val="24"/>
                <w:szCs w:val="24"/>
              </w:rPr>
            </w:pPr>
          </w:p>
          <w:p w14:paraId="6FB63714" w14:textId="6C8C075C" w:rsidR="00911430" w:rsidRPr="00C425C3" w:rsidRDefault="00911430" w:rsidP="003A4FE2">
            <w:pPr>
              <w:pStyle w:val="corte4fondo"/>
              <w:spacing w:line="240" w:lineRule="auto"/>
              <w:ind w:right="51" w:firstLine="0"/>
              <w:rPr>
                <w:rFonts w:cs="Arial"/>
                <w:sz w:val="24"/>
                <w:szCs w:val="24"/>
                <w:lang w:val="es-ES"/>
              </w:rPr>
            </w:pPr>
            <w:r w:rsidRPr="00C425C3">
              <w:rPr>
                <w:rFonts w:cs="Arial"/>
                <w:sz w:val="24"/>
                <w:szCs w:val="24"/>
                <w:lang w:val="es-ES"/>
              </w:rPr>
              <w:t xml:space="preserve">Existen dos cuestiones de constitucionalidad: (i) los artículos 401 </w:t>
            </w:r>
            <w:r w:rsidR="00343560" w:rsidRPr="00C425C3">
              <w:rPr>
                <w:rFonts w:cs="Arial"/>
                <w:sz w:val="24"/>
                <w:szCs w:val="24"/>
                <w:lang w:val="es-ES"/>
              </w:rPr>
              <w:t>a</w:t>
            </w:r>
            <w:r w:rsidRPr="00C425C3">
              <w:rPr>
                <w:rFonts w:cs="Arial"/>
                <w:sz w:val="24"/>
                <w:szCs w:val="24"/>
                <w:lang w:val="es-ES"/>
              </w:rPr>
              <w:t xml:space="preserve"> 40</w:t>
            </w:r>
            <w:r w:rsidR="00B40091" w:rsidRPr="00C425C3">
              <w:rPr>
                <w:rFonts w:cs="Arial"/>
                <w:sz w:val="24"/>
                <w:szCs w:val="24"/>
                <w:lang w:val="es-ES"/>
              </w:rPr>
              <w:t>4</w:t>
            </w:r>
            <w:r w:rsidRPr="00C425C3">
              <w:rPr>
                <w:rFonts w:cs="Arial"/>
                <w:sz w:val="24"/>
                <w:szCs w:val="24"/>
                <w:lang w:val="es-ES"/>
              </w:rPr>
              <w:t xml:space="preserve"> del Código Civil local son normas </w:t>
            </w:r>
            <w:proofErr w:type="spellStart"/>
            <w:r w:rsidRPr="00C425C3">
              <w:rPr>
                <w:rFonts w:cs="Arial"/>
                <w:sz w:val="24"/>
                <w:szCs w:val="24"/>
                <w:lang w:val="es-ES"/>
              </w:rPr>
              <w:t>heteronormadas</w:t>
            </w:r>
            <w:proofErr w:type="spellEnd"/>
            <w:r w:rsidRPr="00C425C3">
              <w:rPr>
                <w:rFonts w:cs="Arial"/>
                <w:sz w:val="24"/>
                <w:szCs w:val="24"/>
                <w:lang w:val="es-ES"/>
              </w:rPr>
              <w:t>; y (</w:t>
            </w:r>
            <w:proofErr w:type="spellStart"/>
            <w:r w:rsidRPr="00C425C3">
              <w:rPr>
                <w:rFonts w:cs="Arial"/>
                <w:sz w:val="24"/>
                <w:szCs w:val="24"/>
                <w:lang w:val="es-ES"/>
              </w:rPr>
              <w:t>ii</w:t>
            </w:r>
            <w:proofErr w:type="spellEnd"/>
            <w:r w:rsidRPr="00C425C3">
              <w:rPr>
                <w:rFonts w:cs="Arial"/>
                <w:sz w:val="24"/>
                <w:szCs w:val="24"/>
                <w:lang w:val="es-ES"/>
              </w:rPr>
              <w:t xml:space="preserve">) se viola el derecho de protección a la familia e interés superior de la niñez por no reconocer la relación de </w:t>
            </w:r>
            <w:proofErr w:type="spellStart"/>
            <w:r w:rsidRPr="00C425C3">
              <w:rPr>
                <w:rFonts w:cs="Arial"/>
                <w:sz w:val="24"/>
                <w:szCs w:val="24"/>
                <w:lang w:val="es-ES"/>
              </w:rPr>
              <w:t>comaternidad</w:t>
            </w:r>
            <w:proofErr w:type="spellEnd"/>
            <w:r w:rsidRPr="00C425C3">
              <w:rPr>
                <w:rFonts w:cs="Arial"/>
                <w:sz w:val="24"/>
                <w:szCs w:val="24"/>
                <w:lang w:val="es-ES"/>
              </w:rPr>
              <w:t xml:space="preserve"> al ligarla a la terminación del concubinato.</w:t>
            </w:r>
          </w:p>
          <w:p w14:paraId="3C6BE544" w14:textId="77777777" w:rsidR="00911430" w:rsidRPr="00C425C3" w:rsidRDefault="00911430" w:rsidP="003A4FE2">
            <w:pPr>
              <w:pStyle w:val="corte4fondo"/>
              <w:spacing w:line="240" w:lineRule="auto"/>
              <w:ind w:right="51" w:firstLine="0"/>
              <w:rPr>
                <w:rFonts w:cs="Arial"/>
                <w:sz w:val="24"/>
                <w:szCs w:val="24"/>
                <w:lang w:val="es-ES"/>
              </w:rPr>
            </w:pPr>
          </w:p>
          <w:p w14:paraId="124723DE" w14:textId="77777777" w:rsidR="00911430" w:rsidRPr="00C425C3" w:rsidRDefault="00911430" w:rsidP="003A4FE2">
            <w:pPr>
              <w:pStyle w:val="corte4fondo"/>
              <w:spacing w:line="240" w:lineRule="auto"/>
              <w:ind w:right="51" w:firstLine="0"/>
              <w:rPr>
                <w:rFonts w:cs="Arial"/>
                <w:sz w:val="24"/>
                <w:szCs w:val="24"/>
                <w:lang w:val="es-ES"/>
              </w:rPr>
            </w:pPr>
            <w:r w:rsidRPr="00C425C3">
              <w:rPr>
                <w:rFonts w:cs="Arial"/>
                <w:sz w:val="24"/>
                <w:szCs w:val="24"/>
                <w:lang w:val="es-ES"/>
              </w:rPr>
              <w:t xml:space="preserve">No obstante, el primer tema no subsiste en el recurso de revisión, ya que el tribunal colegiado explicó que no eran aplicables al caso. </w:t>
            </w:r>
          </w:p>
          <w:p w14:paraId="4E37BE09" w14:textId="77777777" w:rsidR="00911430" w:rsidRPr="00C425C3" w:rsidRDefault="00911430" w:rsidP="003A4FE2">
            <w:pPr>
              <w:pStyle w:val="corte4fondo"/>
              <w:spacing w:line="240" w:lineRule="auto"/>
              <w:ind w:right="51" w:firstLine="0"/>
              <w:rPr>
                <w:rFonts w:cs="Arial"/>
                <w:sz w:val="24"/>
                <w:szCs w:val="24"/>
                <w:lang w:val="es-ES"/>
              </w:rPr>
            </w:pPr>
          </w:p>
          <w:p w14:paraId="4B823690" w14:textId="77777777" w:rsidR="00911430" w:rsidRPr="00C425C3" w:rsidRDefault="00911430" w:rsidP="003A4FE2">
            <w:pPr>
              <w:pStyle w:val="corte4fondo"/>
              <w:spacing w:line="240" w:lineRule="auto"/>
              <w:ind w:right="51" w:firstLine="0"/>
              <w:rPr>
                <w:rFonts w:cs="Arial"/>
                <w:sz w:val="24"/>
                <w:szCs w:val="24"/>
              </w:rPr>
            </w:pPr>
            <w:r w:rsidRPr="00C425C3">
              <w:rPr>
                <w:rFonts w:cs="Arial"/>
                <w:sz w:val="24"/>
                <w:szCs w:val="24"/>
                <w:lang w:val="es-ES"/>
              </w:rPr>
              <w:t>El segundo tema subsiste; sin embargo, el estudio no es de interés excepcional por inoperancia de los agravios al partir de una falsa premisa.</w:t>
            </w:r>
          </w:p>
          <w:p w14:paraId="5D73FD3D" w14:textId="77777777" w:rsidR="00911430" w:rsidRPr="00C425C3" w:rsidRDefault="00911430" w:rsidP="003A4FE2">
            <w:pPr>
              <w:pStyle w:val="corte4fondo"/>
              <w:spacing w:line="240" w:lineRule="auto"/>
              <w:ind w:right="51" w:firstLine="0"/>
              <w:rPr>
                <w:rFonts w:eastAsia="Calibri" w:cs="Arial"/>
                <w:bCs/>
                <w:sz w:val="24"/>
                <w:szCs w:val="24"/>
                <w:lang w:val="es-MX" w:eastAsia="es-ES"/>
              </w:rPr>
            </w:pPr>
          </w:p>
        </w:tc>
        <w:tc>
          <w:tcPr>
            <w:tcW w:w="992" w:type="dxa"/>
            <w:tcBorders>
              <w:top w:val="single" w:sz="4" w:space="0" w:color="auto"/>
              <w:left w:val="single" w:sz="4" w:space="0" w:color="auto"/>
              <w:bottom w:val="single" w:sz="4" w:space="0" w:color="auto"/>
              <w:right w:val="single" w:sz="4" w:space="0" w:color="auto"/>
            </w:tcBorders>
          </w:tcPr>
          <w:p w14:paraId="45C6FF93"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7E479240"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1AC29804" w14:textId="77777777" w:rsidR="00911430" w:rsidRPr="00C425C3" w:rsidRDefault="00911430" w:rsidP="003A4FE2">
            <w:pPr>
              <w:tabs>
                <w:tab w:val="left" w:pos="426"/>
              </w:tabs>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9</w:t>
            </w:r>
          </w:p>
        </w:tc>
      </w:tr>
      <w:tr w:rsidR="00911430" w:rsidRPr="00C425C3" w14:paraId="64948F31" w14:textId="77777777" w:rsidTr="003A4FE2">
        <w:trPr>
          <w:trHeight w:val="882"/>
        </w:trPr>
        <w:tc>
          <w:tcPr>
            <w:tcW w:w="678" w:type="dxa"/>
            <w:tcBorders>
              <w:top w:val="single" w:sz="4" w:space="0" w:color="auto"/>
              <w:left w:val="single" w:sz="4" w:space="0" w:color="auto"/>
              <w:bottom w:val="single" w:sz="4" w:space="0" w:color="auto"/>
              <w:right w:val="single" w:sz="4" w:space="0" w:color="auto"/>
            </w:tcBorders>
            <w:vAlign w:val="center"/>
            <w:hideMark/>
          </w:tcPr>
          <w:p w14:paraId="7CBEB698" w14:textId="7F601435" w:rsidR="00911430" w:rsidRPr="00C425C3" w:rsidRDefault="00911430" w:rsidP="003A4FE2">
            <w:pPr>
              <w:tabs>
                <w:tab w:val="left" w:pos="426"/>
              </w:tabs>
              <w:jc w:val="center"/>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V.</w:t>
            </w:r>
          </w:p>
        </w:tc>
        <w:tc>
          <w:tcPr>
            <w:tcW w:w="2861" w:type="dxa"/>
            <w:tcBorders>
              <w:top w:val="single" w:sz="4" w:space="0" w:color="auto"/>
              <w:left w:val="single" w:sz="4" w:space="0" w:color="auto"/>
              <w:bottom w:val="single" w:sz="4" w:space="0" w:color="auto"/>
              <w:right w:val="single" w:sz="4" w:space="0" w:color="auto"/>
            </w:tcBorders>
            <w:vAlign w:val="center"/>
            <w:hideMark/>
          </w:tcPr>
          <w:p w14:paraId="3B6FF335" w14:textId="77777777" w:rsidR="00911430" w:rsidRPr="00C425C3" w:rsidRDefault="00911430" w:rsidP="003A4FE2">
            <w:pPr>
              <w:tabs>
                <w:tab w:val="left" w:pos="426"/>
              </w:tabs>
              <w:spacing w:before="240" w:after="240"/>
              <w:rPr>
                <w:rFonts w:ascii="Arial" w:eastAsia="Calibri" w:hAnsi="Arial" w:cs="Arial"/>
                <w:b/>
                <w:bCs/>
                <w:sz w:val="24"/>
                <w:szCs w:val="24"/>
                <w:lang w:val="es-MX" w:eastAsia="es-ES"/>
              </w:rPr>
            </w:pPr>
            <w:r w:rsidRPr="00C425C3">
              <w:rPr>
                <w:rFonts w:ascii="Arial" w:eastAsia="Calibri" w:hAnsi="Arial" w:cs="Arial"/>
                <w:b/>
                <w:bCs/>
                <w:sz w:val="24"/>
                <w:szCs w:val="24"/>
                <w:lang w:val="es-MX" w:eastAsia="es-ES"/>
              </w:rPr>
              <w:t>DECISIÓN</w:t>
            </w:r>
          </w:p>
        </w:tc>
        <w:tc>
          <w:tcPr>
            <w:tcW w:w="4678" w:type="dxa"/>
            <w:tcBorders>
              <w:top w:val="single" w:sz="4" w:space="0" w:color="auto"/>
              <w:left w:val="single" w:sz="4" w:space="0" w:color="auto"/>
              <w:bottom w:val="single" w:sz="4" w:space="0" w:color="auto"/>
              <w:right w:val="single" w:sz="4" w:space="0" w:color="auto"/>
            </w:tcBorders>
            <w:hideMark/>
          </w:tcPr>
          <w:p w14:paraId="50D21A2F" w14:textId="77777777" w:rsidR="00911430" w:rsidRPr="00C425C3" w:rsidRDefault="00911430" w:rsidP="003A4FE2">
            <w:pPr>
              <w:tabs>
                <w:tab w:val="left" w:pos="426"/>
              </w:tabs>
              <w:spacing w:before="240" w:after="240"/>
              <w:jc w:val="both"/>
              <w:rPr>
                <w:rFonts w:ascii="Arial" w:eastAsia="Calibri" w:hAnsi="Arial" w:cs="Arial"/>
                <w:bCs/>
                <w:sz w:val="24"/>
                <w:szCs w:val="24"/>
                <w:lang w:val="es-MX" w:eastAsia="es-ES"/>
              </w:rPr>
            </w:pPr>
            <w:r w:rsidRPr="00C425C3">
              <w:rPr>
                <w:rFonts w:ascii="Arial" w:eastAsia="Calibri" w:hAnsi="Arial" w:cs="Arial"/>
                <w:b/>
                <w:sz w:val="24"/>
                <w:szCs w:val="24"/>
                <w:lang w:val="es-MX" w:eastAsia="es-ES"/>
              </w:rPr>
              <w:t xml:space="preserve">PRIMERO. </w:t>
            </w:r>
            <w:r w:rsidRPr="00C425C3">
              <w:rPr>
                <w:rFonts w:ascii="Arial" w:eastAsia="Calibri" w:hAnsi="Arial" w:cs="Arial"/>
                <w:bCs/>
                <w:sz w:val="24"/>
                <w:szCs w:val="24"/>
                <w:lang w:val="es-MX" w:eastAsia="es-ES"/>
              </w:rPr>
              <w:t>Se desecha el recurso de revisión a que este toca se refiere.</w:t>
            </w:r>
          </w:p>
          <w:p w14:paraId="2743666D" w14:textId="77777777" w:rsidR="00911430" w:rsidRPr="00C425C3" w:rsidRDefault="00911430" w:rsidP="003A4FE2">
            <w:pPr>
              <w:tabs>
                <w:tab w:val="left" w:pos="426"/>
              </w:tabs>
              <w:spacing w:before="240" w:after="240"/>
              <w:jc w:val="both"/>
              <w:rPr>
                <w:rFonts w:ascii="Arial" w:eastAsia="Calibri" w:hAnsi="Arial" w:cs="Arial"/>
                <w:bCs/>
                <w:sz w:val="24"/>
                <w:szCs w:val="24"/>
                <w:lang w:val="es-MX" w:eastAsia="es-ES"/>
              </w:rPr>
            </w:pPr>
            <w:r w:rsidRPr="00C425C3">
              <w:rPr>
                <w:rFonts w:ascii="Arial" w:eastAsia="Calibri" w:hAnsi="Arial" w:cs="Arial"/>
                <w:b/>
                <w:sz w:val="24"/>
                <w:szCs w:val="24"/>
                <w:lang w:val="es-MX" w:eastAsia="es-ES"/>
              </w:rPr>
              <w:t xml:space="preserve">SEGUNDO. </w:t>
            </w:r>
            <w:r w:rsidRPr="00C425C3">
              <w:rPr>
                <w:rFonts w:ascii="Arial" w:eastAsia="Calibri" w:hAnsi="Arial" w:cs="Arial"/>
                <w:bCs/>
                <w:sz w:val="24"/>
                <w:szCs w:val="24"/>
                <w:lang w:val="es-MX" w:eastAsia="es-ES"/>
              </w:rPr>
              <w:t>Queda firme la sentencia recurrida.</w:t>
            </w:r>
          </w:p>
        </w:tc>
        <w:tc>
          <w:tcPr>
            <w:tcW w:w="992" w:type="dxa"/>
            <w:tcBorders>
              <w:top w:val="single" w:sz="4" w:space="0" w:color="auto"/>
              <w:left w:val="single" w:sz="4" w:space="0" w:color="auto"/>
              <w:bottom w:val="single" w:sz="4" w:space="0" w:color="auto"/>
              <w:right w:val="single" w:sz="4" w:space="0" w:color="auto"/>
            </w:tcBorders>
          </w:tcPr>
          <w:p w14:paraId="5FBD25E8"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76642BF7" w14:textId="77777777" w:rsidR="00911430" w:rsidRPr="00C425C3" w:rsidRDefault="00911430" w:rsidP="003A4FE2">
            <w:pPr>
              <w:tabs>
                <w:tab w:val="left" w:pos="426"/>
              </w:tabs>
              <w:jc w:val="both"/>
              <w:rPr>
                <w:rFonts w:ascii="Arial" w:eastAsia="Calibri" w:hAnsi="Arial" w:cs="Arial"/>
                <w:bCs/>
                <w:sz w:val="24"/>
                <w:szCs w:val="24"/>
                <w:lang w:val="es-MX" w:eastAsia="es-ES"/>
              </w:rPr>
            </w:pPr>
          </w:p>
          <w:p w14:paraId="7BF79824" w14:textId="54AFD786" w:rsidR="00911430" w:rsidRPr="00C425C3" w:rsidRDefault="00911430" w:rsidP="003A4FE2">
            <w:pPr>
              <w:tabs>
                <w:tab w:val="left" w:pos="426"/>
              </w:tabs>
              <w:jc w:val="both"/>
              <w:rPr>
                <w:rFonts w:ascii="Arial" w:eastAsia="Calibri" w:hAnsi="Arial" w:cs="Arial"/>
                <w:bCs/>
                <w:sz w:val="24"/>
                <w:szCs w:val="24"/>
                <w:lang w:val="es-MX" w:eastAsia="es-ES"/>
              </w:rPr>
            </w:pPr>
            <w:r w:rsidRPr="00C425C3">
              <w:rPr>
                <w:rFonts w:ascii="Arial" w:eastAsia="Calibri" w:hAnsi="Arial" w:cs="Arial"/>
                <w:bCs/>
                <w:sz w:val="24"/>
                <w:szCs w:val="24"/>
                <w:lang w:val="es-MX" w:eastAsia="es-ES"/>
              </w:rPr>
              <w:t>1</w:t>
            </w:r>
            <w:r w:rsidR="002958F8" w:rsidRPr="00C425C3">
              <w:rPr>
                <w:rFonts w:ascii="Arial" w:eastAsia="Calibri" w:hAnsi="Arial" w:cs="Arial"/>
                <w:bCs/>
                <w:sz w:val="24"/>
                <w:szCs w:val="24"/>
                <w:lang w:val="es-MX" w:eastAsia="es-ES"/>
              </w:rPr>
              <w:t>3</w:t>
            </w:r>
          </w:p>
        </w:tc>
      </w:tr>
    </w:tbl>
    <w:p w14:paraId="32463D38" w14:textId="77777777" w:rsidR="00911430" w:rsidRPr="00B74199" w:rsidRDefault="00911430" w:rsidP="00911430">
      <w:pPr>
        <w:tabs>
          <w:tab w:val="left" w:pos="426"/>
        </w:tabs>
        <w:jc w:val="both"/>
        <w:rPr>
          <w:rFonts w:ascii="Arial" w:eastAsia="Calibri" w:hAnsi="Arial" w:cs="Arial"/>
          <w:b/>
          <w:bCs/>
          <w:sz w:val="26"/>
          <w:szCs w:val="26"/>
          <w:lang w:val="es-MX" w:eastAsia="es-ES"/>
        </w:rPr>
      </w:pPr>
    </w:p>
    <w:p w14:paraId="4BA74ED5" w14:textId="77777777" w:rsidR="00911430" w:rsidRPr="00B74199" w:rsidRDefault="00911430" w:rsidP="00911430">
      <w:pPr>
        <w:rPr>
          <w:rFonts w:ascii="Arial" w:hAnsi="Arial" w:cs="Arial"/>
          <w:sz w:val="26"/>
          <w:szCs w:val="26"/>
        </w:rPr>
        <w:sectPr w:rsidR="00911430" w:rsidRPr="00B74199" w:rsidSect="00911430">
          <w:headerReference w:type="even" r:id="rId8"/>
          <w:headerReference w:type="default" r:id="rId9"/>
          <w:footerReference w:type="even" r:id="rId10"/>
          <w:footerReference w:type="default" r:id="rId11"/>
          <w:headerReference w:type="first" r:id="rId12"/>
          <w:footerReference w:type="first" r:id="rId13"/>
          <w:pgSz w:w="12240" w:h="20160" w:code="5"/>
          <w:pgMar w:top="1417" w:right="1701" w:bottom="1417" w:left="1701" w:header="1276" w:footer="708" w:gutter="0"/>
          <w:pgNumType w:fmt="upperRoman" w:start="1"/>
          <w:cols w:space="708"/>
          <w:titlePg/>
          <w:docGrid w:linePitch="360"/>
        </w:sectPr>
      </w:pPr>
    </w:p>
    <w:p w14:paraId="6C8811C6" w14:textId="77777777" w:rsidR="00911430" w:rsidRPr="00B74199" w:rsidRDefault="00911430" w:rsidP="00911430">
      <w:pPr>
        <w:ind w:left="4820"/>
        <w:jc w:val="both"/>
        <w:rPr>
          <w:rFonts w:ascii="Arial" w:hAnsi="Arial" w:cs="Arial"/>
          <w:b/>
          <w:sz w:val="26"/>
          <w:szCs w:val="26"/>
        </w:rPr>
      </w:pPr>
      <w:r w:rsidRPr="00B74199">
        <w:rPr>
          <w:rFonts w:ascii="Arial" w:hAnsi="Arial" w:cs="Arial"/>
          <w:b/>
          <w:sz w:val="26"/>
          <w:szCs w:val="26"/>
        </w:rPr>
        <w:lastRenderedPageBreak/>
        <w:t>AMPARO DIRECTO EN REVISIÓN 2875/2025</w:t>
      </w:r>
    </w:p>
    <w:p w14:paraId="3B1ED550" w14:textId="2FF79F85" w:rsidR="00911430" w:rsidRPr="00B74199" w:rsidRDefault="00911430" w:rsidP="00911430">
      <w:pPr>
        <w:ind w:left="4820"/>
        <w:jc w:val="both"/>
        <w:rPr>
          <w:rFonts w:ascii="Arial" w:hAnsi="Arial" w:cs="Arial"/>
          <w:b/>
          <w:sz w:val="26"/>
          <w:szCs w:val="26"/>
        </w:rPr>
      </w:pPr>
      <w:r w:rsidRPr="00B74199">
        <w:rPr>
          <w:rFonts w:ascii="Arial" w:hAnsi="Arial" w:cs="Arial"/>
          <w:b/>
          <w:sz w:val="26"/>
          <w:szCs w:val="26"/>
        </w:rPr>
        <w:t xml:space="preserve">RECURRENTE: </w:t>
      </w:r>
      <w:r w:rsidR="00335C3F">
        <w:rPr>
          <w:rFonts w:ascii="Arial" w:hAnsi="Arial" w:cs="Arial"/>
          <w:b/>
          <w:color w:val="FF0000"/>
          <w:sz w:val="26"/>
          <w:szCs w:val="26"/>
        </w:rPr>
        <w:t>**********</w:t>
      </w:r>
      <w:r w:rsidRPr="00B74199">
        <w:rPr>
          <w:rFonts w:ascii="Arial" w:hAnsi="Arial" w:cs="Arial"/>
          <w:b/>
          <w:color w:val="FF0000"/>
          <w:sz w:val="26"/>
          <w:szCs w:val="26"/>
        </w:rPr>
        <w:t xml:space="preserve"> </w:t>
      </w:r>
      <w:r w:rsidRPr="00B74199">
        <w:rPr>
          <w:rFonts w:ascii="Arial" w:hAnsi="Arial" w:cs="Arial"/>
          <w:b/>
          <w:sz w:val="26"/>
          <w:szCs w:val="26"/>
        </w:rPr>
        <w:t>(QUEJOSA)</w:t>
      </w:r>
    </w:p>
    <w:p w14:paraId="28EA259F" w14:textId="77777777" w:rsidR="00911430" w:rsidRPr="00B74199" w:rsidRDefault="00911430" w:rsidP="00911430">
      <w:pPr>
        <w:ind w:left="4820"/>
        <w:jc w:val="both"/>
        <w:rPr>
          <w:rFonts w:ascii="Arial" w:hAnsi="Arial" w:cs="Arial"/>
          <w:b/>
          <w:sz w:val="26"/>
          <w:szCs w:val="26"/>
        </w:rPr>
      </w:pPr>
    </w:p>
    <w:p w14:paraId="39B20A25" w14:textId="77777777" w:rsidR="00911430" w:rsidRPr="00B74199" w:rsidRDefault="00911430" w:rsidP="00911430">
      <w:pPr>
        <w:jc w:val="center"/>
        <w:rPr>
          <w:rFonts w:ascii="Arial" w:hAnsi="Arial" w:cs="Arial"/>
          <w:b/>
          <w:sz w:val="26"/>
          <w:szCs w:val="26"/>
        </w:rPr>
      </w:pPr>
    </w:p>
    <w:p w14:paraId="7E3C0EEB" w14:textId="77777777" w:rsidR="00911430" w:rsidRPr="00B74199" w:rsidRDefault="00911430" w:rsidP="00911430">
      <w:pPr>
        <w:rPr>
          <w:rFonts w:ascii="Arial" w:hAnsi="Arial" w:cs="Arial"/>
          <w:b/>
          <w:sz w:val="26"/>
          <w:szCs w:val="26"/>
        </w:rPr>
      </w:pPr>
    </w:p>
    <w:p w14:paraId="611559A3" w14:textId="77777777" w:rsidR="00911430" w:rsidRPr="00B74199" w:rsidRDefault="00911430" w:rsidP="00911430">
      <w:pPr>
        <w:rPr>
          <w:rFonts w:ascii="Arial" w:hAnsi="Arial" w:cs="Arial"/>
          <w:b/>
          <w:sz w:val="26"/>
          <w:szCs w:val="26"/>
        </w:rPr>
      </w:pPr>
    </w:p>
    <w:p w14:paraId="475A081E" w14:textId="77777777" w:rsidR="00911430" w:rsidRPr="00B74199" w:rsidRDefault="00911430" w:rsidP="00911430">
      <w:pPr>
        <w:tabs>
          <w:tab w:val="left" w:pos="7227"/>
        </w:tabs>
        <w:spacing w:before="240" w:line="276" w:lineRule="auto"/>
        <w:jc w:val="both"/>
        <w:rPr>
          <w:rFonts w:ascii="Arial" w:eastAsia="Calibri" w:hAnsi="Arial" w:cs="Arial"/>
          <w:sz w:val="16"/>
          <w:szCs w:val="16"/>
          <w:lang w:val="pt-PT" w:eastAsia="en-US"/>
        </w:rPr>
      </w:pPr>
      <w:r w:rsidRPr="00B74199">
        <w:rPr>
          <w:rFonts w:ascii="Arial" w:eastAsia="Calibri" w:hAnsi="Arial" w:cs="Arial"/>
          <w:sz w:val="16"/>
          <w:szCs w:val="16"/>
          <w:lang w:val="pt-PT" w:eastAsia="en-US"/>
        </w:rPr>
        <w:t>VISTO BUENO</w:t>
      </w:r>
    </w:p>
    <w:p w14:paraId="63F63B1E" w14:textId="77777777" w:rsidR="00911430" w:rsidRPr="00B74199" w:rsidRDefault="00911430" w:rsidP="00911430">
      <w:pPr>
        <w:tabs>
          <w:tab w:val="left" w:pos="7309"/>
        </w:tabs>
        <w:spacing w:line="276" w:lineRule="auto"/>
        <w:jc w:val="both"/>
        <w:rPr>
          <w:rFonts w:ascii="Arial" w:eastAsia="Calibri" w:hAnsi="Arial" w:cs="Arial"/>
          <w:sz w:val="16"/>
          <w:szCs w:val="16"/>
          <w:lang w:val="pt-PT" w:eastAsia="en-US"/>
        </w:rPr>
      </w:pPr>
      <w:r w:rsidRPr="00B74199">
        <w:rPr>
          <w:rFonts w:ascii="Arial" w:eastAsia="Calibri" w:hAnsi="Arial" w:cs="Arial"/>
          <w:sz w:val="16"/>
          <w:szCs w:val="16"/>
          <w:lang w:val="pt-PT" w:eastAsia="en-US"/>
        </w:rPr>
        <w:t>SRA. MINISTRA</w:t>
      </w:r>
    </w:p>
    <w:p w14:paraId="7846CE07" w14:textId="77777777" w:rsidR="00911430" w:rsidRPr="00B74199" w:rsidRDefault="00911430" w:rsidP="00911430">
      <w:pPr>
        <w:pStyle w:val="corte2ponente"/>
        <w:ind w:right="-799"/>
        <w:jc w:val="both"/>
        <w:rPr>
          <w:rFonts w:cs="Arial"/>
          <w:sz w:val="26"/>
          <w:szCs w:val="26"/>
          <w:lang w:val="pt-PT"/>
        </w:rPr>
      </w:pPr>
      <w:r w:rsidRPr="00B74199">
        <w:rPr>
          <w:rFonts w:cs="Arial"/>
          <w:sz w:val="26"/>
          <w:szCs w:val="26"/>
          <w:lang w:val="pt-PT"/>
        </w:rPr>
        <w:t>PONENTE: MINISTRA MARÍA ESTELA RÍOS GÓNZÁLEZ</w:t>
      </w:r>
    </w:p>
    <w:p w14:paraId="4F5AE478" w14:textId="77777777" w:rsidR="00911430" w:rsidRPr="00B74199" w:rsidRDefault="00911430" w:rsidP="00911430">
      <w:pPr>
        <w:spacing w:line="276" w:lineRule="auto"/>
        <w:jc w:val="both"/>
        <w:rPr>
          <w:rFonts w:ascii="Arial" w:eastAsia="Calibri" w:hAnsi="Arial" w:cs="Arial"/>
          <w:sz w:val="16"/>
          <w:szCs w:val="16"/>
          <w:lang w:val="es-MX" w:eastAsia="en-US"/>
        </w:rPr>
      </w:pPr>
      <w:r w:rsidRPr="00B74199">
        <w:rPr>
          <w:rFonts w:ascii="Arial" w:eastAsia="Calibri" w:hAnsi="Arial" w:cs="Arial"/>
          <w:sz w:val="16"/>
          <w:szCs w:val="16"/>
          <w:lang w:val="es-MX" w:eastAsia="en-US"/>
        </w:rPr>
        <w:t>COTEJÓ</w:t>
      </w:r>
    </w:p>
    <w:p w14:paraId="6CFBA83B" w14:textId="77777777" w:rsidR="00911430" w:rsidRPr="00B74199" w:rsidRDefault="00911430" w:rsidP="00911430">
      <w:pPr>
        <w:rPr>
          <w:rFonts w:ascii="Arial" w:hAnsi="Arial" w:cs="Arial"/>
          <w:b/>
          <w:sz w:val="26"/>
          <w:szCs w:val="26"/>
        </w:rPr>
      </w:pPr>
      <w:r w:rsidRPr="00B74199">
        <w:rPr>
          <w:rFonts w:ascii="Arial" w:hAnsi="Arial" w:cs="Arial"/>
          <w:b/>
          <w:sz w:val="26"/>
          <w:szCs w:val="26"/>
        </w:rPr>
        <w:t>SECRETARIA: ARLIN MARIBEL PÉREZ PARADA</w:t>
      </w:r>
    </w:p>
    <w:p w14:paraId="0D71DB12" w14:textId="77777777" w:rsidR="00911430" w:rsidRPr="00B74199" w:rsidRDefault="00911430" w:rsidP="00911430">
      <w:pPr>
        <w:rPr>
          <w:rFonts w:ascii="Arial" w:hAnsi="Arial" w:cs="Arial"/>
          <w:b/>
          <w:sz w:val="26"/>
          <w:szCs w:val="26"/>
        </w:rPr>
      </w:pPr>
    </w:p>
    <w:p w14:paraId="63EDE9EC" w14:textId="77777777" w:rsidR="00911430" w:rsidRPr="00B74199" w:rsidRDefault="00911430" w:rsidP="00911430">
      <w:pPr>
        <w:rPr>
          <w:rFonts w:ascii="Arial" w:hAnsi="Arial" w:cs="Arial"/>
          <w:b/>
          <w:sz w:val="26"/>
          <w:szCs w:val="26"/>
        </w:rPr>
      </w:pPr>
    </w:p>
    <w:p w14:paraId="3933FF44" w14:textId="37F5E084" w:rsidR="00911430" w:rsidRPr="00B74199" w:rsidRDefault="00911430" w:rsidP="00911430">
      <w:pPr>
        <w:pStyle w:val="corte4fondo"/>
        <w:ind w:right="51" w:firstLine="0"/>
        <w:rPr>
          <w:rFonts w:cs="Arial"/>
          <w:sz w:val="26"/>
          <w:szCs w:val="26"/>
        </w:rPr>
      </w:pPr>
      <w:r w:rsidRPr="00B74199">
        <w:rPr>
          <w:rFonts w:cs="Arial"/>
          <w:sz w:val="26"/>
          <w:szCs w:val="26"/>
        </w:rPr>
        <w:t xml:space="preserve">Ciudad de México. La Suprema Corte de Justicia de la Nación, en sesión correspondiente al </w:t>
      </w:r>
      <w:r w:rsidR="00DA5665">
        <w:rPr>
          <w:rFonts w:cs="Arial"/>
          <w:sz w:val="26"/>
          <w:szCs w:val="26"/>
        </w:rPr>
        <w:t>once de diciembre de dos mil veinticinco</w:t>
      </w:r>
      <w:r w:rsidRPr="00B74199">
        <w:rPr>
          <w:rFonts w:cs="Arial"/>
          <w:sz w:val="26"/>
          <w:szCs w:val="26"/>
        </w:rPr>
        <w:t>, emite la siguiente:</w:t>
      </w:r>
    </w:p>
    <w:p w14:paraId="1AD4A933" w14:textId="77777777" w:rsidR="00911430" w:rsidRPr="00B74199" w:rsidRDefault="00911430" w:rsidP="00911430">
      <w:pPr>
        <w:pStyle w:val="corte4fondo"/>
        <w:ind w:right="51" w:firstLine="0"/>
        <w:rPr>
          <w:rFonts w:cs="Arial"/>
          <w:sz w:val="26"/>
          <w:szCs w:val="26"/>
        </w:rPr>
      </w:pPr>
    </w:p>
    <w:p w14:paraId="6B6BC6AB" w14:textId="77777777" w:rsidR="00911430" w:rsidRPr="00B74199" w:rsidRDefault="00911430" w:rsidP="00911430">
      <w:pPr>
        <w:pStyle w:val="corte4fondo"/>
        <w:ind w:right="51" w:firstLine="0"/>
        <w:jc w:val="center"/>
        <w:rPr>
          <w:rFonts w:cs="Arial"/>
          <w:b/>
          <w:sz w:val="26"/>
          <w:szCs w:val="26"/>
        </w:rPr>
      </w:pPr>
      <w:r w:rsidRPr="00B74199">
        <w:rPr>
          <w:rFonts w:cs="Arial"/>
          <w:b/>
          <w:sz w:val="26"/>
          <w:szCs w:val="26"/>
        </w:rPr>
        <w:t>S E N T E N C I A</w:t>
      </w:r>
    </w:p>
    <w:p w14:paraId="20B1705B" w14:textId="77777777" w:rsidR="00911430" w:rsidRPr="00B74199" w:rsidRDefault="00911430" w:rsidP="00911430">
      <w:pPr>
        <w:pStyle w:val="corte4fondo"/>
        <w:tabs>
          <w:tab w:val="left" w:pos="142"/>
        </w:tabs>
        <w:ind w:firstLine="0"/>
        <w:rPr>
          <w:rFonts w:cs="Arial"/>
          <w:b/>
          <w:spacing w:val="160"/>
          <w:sz w:val="26"/>
          <w:szCs w:val="26"/>
        </w:rPr>
      </w:pPr>
    </w:p>
    <w:p w14:paraId="52300BA1" w14:textId="3B466DAC" w:rsidR="00911430" w:rsidRPr="00B74199" w:rsidRDefault="00911430" w:rsidP="00911430">
      <w:pPr>
        <w:pStyle w:val="corte4fondo"/>
        <w:ind w:right="51" w:firstLine="0"/>
        <w:rPr>
          <w:rFonts w:cs="Arial"/>
          <w:sz w:val="26"/>
          <w:szCs w:val="26"/>
        </w:rPr>
      </w:pPr>
      <w:r w:rsidRPr="00B74199">
        <w:rPr>
          <w:rFonts w:cs="Arial"/>
          <w:sz w:val="26"/>
          <w:szCs w:val="26"/>
        </w:rPr>
        <w:t xml:space="preserve">Mediante la cual se resuelve el amparo directo en revisión </w:t>
      </w:r>
      <w:r w:rsidRPr="00B74199">
        <w:rPr>
          <w:rFonts w:cs="Arial"/>
          <w:b/>
          <w:bCs/>
          <w:sz w:val="26"/>
          <w:szCs w:val="26"/>
        </w:rPr>
        <w:t>2875/2025</w:t>
      </w:r>
      <w:r w:rsidRPr="00B74199">
        <w:rPr>
          <w:rFonts w:cs="Arial"/>
          <w:sz w:val="26"/>
          <w:szCs w:val="26"/>
        </w:rPr>
        <w:t xml:space="preserve">, promovido en contra de la sentencia dictada el </w:t>
      </w:r>
      <w:r w:rsidRPr="002F462B">
        <w:rPr>
          <w:rFonts w:cs="Arial"/>
          <w:b/>
          <w:bCs/>
          <w:sz w:val="26"/>
          <w:szCs w:val="26"/>
        </w:rPr>
        <w:t>tres de abril de dos mil veinticinco</w:t>
      </w:r>
      <w:r w:rsidRPr="00B74199">
        <w:rPr>
          <w:rFonts w:cs="Arial"/>
          <w:sz w:val="26"/>
          <w:szCs w:val="26"/>
        </w:rPr>
        <w:t xml:space="preserve">, por el Primer Tribunal Colegiado del Vigésimo Sexto Circuito, en el juicio de amparo directo </w:t>
      </w:r>
      <w:r w:rsidR="00335C3F">
        <w:rPr>
          <w:rFonts w:cs="Arial"/>
          <w:b/>
          <w:bCs/>
          <w:color w:val="FF0000"/>
          <w:sz w:val="26"/>
          <w:szCs w:val="26"/>
        </w:rPr>
        <w:t>**********</w:t>
      </w:r>
      <w:r w:rsidRPr="00B74199">
        <w:rPr>
          <w:rFonts w:cs="Arial"/>
          <w:sz w:val="26"/>
          <w:szCs w:val="26"/>
        </w:rPr>
        <w:t xml:space="preserve">. </w:t>
      </w:r>
    </w:p>
    <w:p w14:paraId="183AFEA6" w14:textId="77777777" w:rsidR="00911430" w:rsidRPr="00B74199" w:rsidRDefault="00911430" w:rsidP="00911430">
      <w:pPr>
        <w:pStyle w:val="corte4fondo"/>
        <w:ind w:right="51" w:firstLine="0"/>
        <w:rPr>
          <w:rFonts w:cs="Arial"/>
          <w:sz w:val="26"/>
          <w:szCs w:val="26"/>
        </w:rPr>
      </w:pPr>
    </w:p>
    <w:p w14:paraId="2A47F402" w14:textId="77777777" w:rsidR="00911430" w:rsidRPr="00B74199" w:rsidRDefault="00911430" w:rsidP="00911430">
      <w:pPr>
        <w:pStyle w:val="corte4fondo"/>
        <w:ind w:right="51" w:firstLine="0"/>
        <w:rPr>
          <w:rFonts w:cs="Arial"/>
          <w:b/>
          <w:sz w:val="26"/>
          <w:szCs w:val="26"/>
        </w:rPr>
      </w:pPr>
      <w:r w:rsidRPr="00B74199">
        <w:rPr>
          <w:rFonts w:cs="Arial"/>
          <w:b/>
          <w:sz w:val="26"/>
          <w:szCs w:val="26"/>
        </w:rPr>
        <w:t xml:space="preserve">                                                 ANTECEDENTES </w:t>
      </w:r>
    </w:p>
    <w:p w14:paraId="2568B211" w14:textId="77777777" w:rsidR="00911430" w:rsidRPr="00B74199" w:rsidRDefault="00911430" w:rsidP="00911430">
      <w:pPr>
        <w:pStyle w:val="corte4fondo"/>
        <w:tabs>
          <w:tab w:val="left" w:pos="851"/>
        </w:tabs>
        <w:ind w:right="51" w:firstLine="0"/>
        <w:rPr>
          <w:rFonts w:cs="Arial"/>
          <w:b/>
          <w:sz w:val="26"/>
          <w:szCs w:val="26"/>
        </w:rPr>
      </w:pPr>
    </w:p>
    <w:bookmarkEnd w:id="0"/>
    <w:p w14:paraId="3C83F8A3" w14:textId="7D3D564D" w:rsidR="00911430" w:rsidRPr="00B74199" w:rsidRDefault="00335C3F" w:rsidP="00911430">
      <w:pPr>
        <w:pStyle w:val="corte4fondo"/>
        <w:numPr>
          <w:ilvl w:val="0"/>
          <w:numId w:val="1"/>
        </w:numPr>
        <w:ind w:left="0" w:hanging="567"/>
        <w:rPr>
          <w:rFonts w:cs="Arial"/>
          <w:sz w:val="26"/>
          <w:szCs w:val="26"/>
        </w:rPr>
      </w:pPr>
      <w:r>
        <w:rPr>
          <w:rFonts w:cs="Arial"/>
          <w:b/>
          <w:bCs/>
          <w:color w:val="EE0000"/>
          <w:sz w:val="26"/>
          <w:szCs w:val="26"/>
        </w:rPr>
        <w:t>**********</w:t>
      </w:r>
      <w:r w:rsidR="00911430" w:rsidRPr="00B74199">
        <w:rPr>
          <w:rFonts w:cs="Arial"/>
          <w:color w:val="EE0000"/>
          <w:sz w:val="26"/>
          <w:szCs w:val="26"/>
        </w:rPr>
        <w:t xml:space="preserve">, </w:t>
      </w:r>
      <w:r w:rsidR="00911430" w:rsidRPr="00B74199">
        <w:rPr>
          <w:rFonts w:cs="Arial"/>
          <w:color w:val="000000" w:themeColor="text1"/>
          <w:sz w:val="26"/>
          <w:szCs w:val="26"/>
        </w:rPr>
        <w:t>originaria de Hermosillo, Sonora,</w:t>
      </w:r>
      <w:r w:rsidR="008F51C6" w:rsidRPr="00B74199">
        <w:rPr>
          <w:rFonts w:cs="Arial"/>
          <w:color w:val="000000" w:themeColor="text1"/>
          <w:sz w:val="26"/>
          <w:szCs w:val="26"/>
        </w:rPr>
        <w:t xml:space="preserve"> </w:t>
      </w:r>
      <w:r w:rsidR="00911430" w:rsidRPr="00B74199">
        <w:rPr>
          <w:rFonts w:cs="Arial"/>
          <w:color w:val="000000" w:themeColor="text1"/>
          <w:sz w:val="26"/>
          <w:szCs w:val="26"/>
        </w:rPr>
        <w:t xml:space="preserve">mantuvo una relación sentimental con </w:t>
      </w:r>
      <w:r>
        <w:rPr>
          <w:rFonts w:cs="Arial"/>
          <w:b/>
          <w:bCs/>
          <w:color w:val="EE0000"/>
          <w:sz w:val="26"/>
          <w:szCs w:val="26"/>
        </w:rPr>
        <w:t>**********</w:t>
      </w:r>
      <w:r w:rsidR="00911430" w:rsidRPr="00B74199">
        <w:rPr>
          <w:rFonts w:cs="Arial"/>
          <w:color w:val="000000" w:themeColor="text1"/>
          <w:sz w:val="26"/>
          <w:szCs w:val="26"/>
        </w:rPr>
        <w:t>,</w:t>
      </w:r>
      <w:r w:rsidR="000A4F45" w:rsidRPr="00B74199">
        <w:rPr>
          <w:rFonts w:cs="Arial"/>
          <w:color w:val="000000" w:themeColor="text1"/>
          <w:sz w:val="26"/>
          <w:szCs w:val="26"/>
        </w:rPr>
        <w:t xml:space="preserve"> desde dos mil diez y</w:t>
      </w:r>
      <w:r w:rsidR="00911430" w:rsidRPr="00B74199">
        <w:rPr>
          <w:rFonts w:cs="Arial"/>
          <w:color w:val="000000" w:themeColor="text1"/>
          <w:sz w:val="26"/>
          <w:szCs w:val="26"/>
        </w:rPr>
        <w:t xml:space="preserve"> de la cual resultó embarazada</w:t>
      </w:r>
      <w:r w:rsidR="008F51C6" w:rsidRPr="00B74199">
        <w:rPr>
          <w:rFonts w:cs="Arial"/>
          <w:color w:val="000000" w:themeColor="text1"/>
          <w:sz w:val="26"/>
          <w:szCs w:val="26"/>
        </w:rPr>
        <w:t xml:space="preserve"> </w:t>
      </w:r>
      <w:r w:rsidR="008D5D83" w:rsidRPr="00B74199">
        <w:rPr>
          <w:rFonts w:cs="Arial"/>
          <w:color w:val="000000" w:themeColor="text1"/>
          <w:sz w:val="26"/>
          <w:szCs w:val="26"/>
        </w:rPr>
        <w:t xml:space="preserve">en </w:t>
      </w:r>
      <w:r w:rsidR="004914A4" w:rsidRPr="00B74199">
        <w:rPr>
          <w:rFonts w:cs="Arial"/>
          <w:color w:val="000000" w:themeColor="text1"/>
          <w:sz w:val="26"/>
          <w:szCs w:val="26"/>
        </w:rPr>
        <w:t>dos mil catorce</w:t>
      </w:r>
      <w:r w:rsidR="00911430" w:rsidRPr="00B74199">
        <w:rPr>
          <w:rFonts w:cs="Arial"/>
          <w:color w:val="000000" w:themeColor="text1"/>
          <w:sz w:val="26"/>
          <w:szCs w:val="26"/>
        </w:rPr>
        <w:t xml:space="preserve">; sin embargo, decidió concluir dicha relación en </w:t>
      </w:r>
      <w:r w:rsidR="0046102E" w:rsidRPr="00B74199">
        <w:rPr>
          <w:rFonts w:cs="Arial"/>
          <w:color w:val="000000" w:themeColor="text1"/>
          <w:sz w:val="26"/>
          <w:szCs w:val="26"/>
        </w:rPr>
        <w:t>ese mismo año</w:t>
      </w:r>
      <w:r w:rsidR="00911430" w:rsidRPr="00B74199">
        <w:rPr>
          <w:rFonts w:cs="Arial"/>
          <w:color w:val="000000" w:themeColor="text1"/>
          <w:sz w:val="26"/>
          <w:szCs w:val="26"/>
        </w:rPr>
        <w:t>. A inicios de dos mil quince,</w:t>
      </w:r>
      <w:r w:rsidR="00911430" w:rsidRPr="00B74199">
        <w:rPr>
          <w:rFonts w:cs="Arial"/>
          <w:b/>
          <w:bCs/>
          <w:color w:val="000000" w:themeColor="text1"/>
          <w:sz w:val="26"/>
          <w:szCs w:val="26"/>
        </w:rPr>
        <w:t xml:space="preserve"> </w:t>
      </w:r>
      <w:r>
        <w:rPr>
          <w:rFonts w:cs="Arial"/>
          <w:b/>
          <w:bCs/>
          <w:color w:val="EE0000"/>
          <w:sz w:val="26"/>
          <w:szCs w:val="26"/>
        </w:rPr>
        <w:t>**********</w:t>
      </w:r>
      <w:r w:rsidR="00911430" w:rsidRPr="00B74199">
        <w:rPr>
          <w:rFonts w:cs="Arial"/>
          <w:color w:val="EE0000"/>
          <w:sz w:val="26"/>
          <w:szCs w:val="26"/>
        </w:rPr>
        <w:t xml:space="preserve"> </w:t>
      </w:r>
      <w:r w:rsidR="00911430" w:rsidRPr="00B74199">
        <w:rPr>
          <w:rFonts w:cs="Arial"/>
          <w:color w:val="000000" w:themeColor="text1"/>
          <w:sz w:val="26"/>
          <w:szCs w:val="26"/>
        </w:rPr>
        <w:t xml:space="preserve">entabló amistad con </w:t>
      </w:r>
      <w:r>
        <w:rPr>
          <w:rFonts w:cs="Arial"/>
          <w:b/>
          <w:bCs/>
          <w:color w:val="EE0000"/>
          <w:sz w:val="26"/>
          <w:szCs w:val="26"/>
        </w:rPr>
        <w:t>**********</w:t>
      </w:r>
      <w:r w:rsidR="00911430" w:rsidRPr="00B74199">
        <w:rPr>
          <w:rFonts w:cs="Arial"/>
          <w:color w:val="000000" w:themeColor="text1"/>
          <w:sz w:val="26"/>
          <w:szCs w:val="26"/>
        </w:rPr>
        <w:t>, con quien mantenía comunicación a través de redes sociales, pues esta última residía en Cabo San Lucas, Baja California Sur</w:t>
      </w:r>
      <w:r w:rsidR="00911430" w:rsidRPr="00B74199">
        <w:rPr>
          <w:rFonts w:cs="Arial"/>
          <w:sz w:val="26"/>
          <w:szCs w:val="26"/>
        </w:rPr>
        <w:t xml:space="preserve">. </w:t>
      </w:r>
    </w:p>
    <w:p w14:paraId="2DE6637A" w14:textId="77777777" w:rsidR="00911430" w:rsidRPr="00B74199" w:rsidRDefault="00911430" w:rsidP="00911430">
      <w:pPr>
        <w:pStyle w:val="corte4fondo"/>
        <w:ind w:firstLine="0"/>
        <w:rPr>
          <w:rFonts w:cs="Arial"/>
          <w:sz w:val="26"/>
          <w:szCs w:val="26"/>
        </w:rPr>
      </w:pPr>
    </w:p>
    <w:p w14:paraId="7A830620" w14:textId="034B518B" w:rsidR="00911430" w:rsidRPr="00B74199" w:rsidRDefault="00911430" w:rsidP="00911430">
      <w:pPr>
        <w:pStyle w:val="corte4fondo"/>
        <w:numPr>
          <w:ilvl w:val="0"/>
          <w:numId w:val="1"/>
        </w:numPr>
        <w:ind w:left="0" w:hanging="567"/>
        <w:rPr>
          <w:rFonts w:cs="Arial"/>
          <w:sz w:val="26"/>
          <w:szCs w:val="26"/>
        </w:rPr>
      </w:pPr>
      <w:r w:rsidRPr="00B74199">
        <w:rPr>
          <w:rFonts w:cs="Arial"/>
          <w:sz w:val="26"/>
          <w:szCs w:val="26"/>
        </w:rPr>
        <w:t xml:space="preserve">El veintisiete de mayo de dos mil quince, nació la niña </w:t>
      </w:r>
      <w:r w:rsidR="00335C3F">
        <w:rPr>
          <w:rFonts w:cs="Arial"/>
          <w:b/>
          <w:bCs/>
          <w:color w:val="EE0000"/>
          <w:sz w:val="26"/>
          <w:szCs w:val="26"/>
        </w:rPr>
        <w:t>**********</w:t>
      </w:r>
      <w:r w:rsidRPr="00B74199">
        <w:rPr>
          <w:rFonts w:cs="Arial"/>
          <w:b/>
          <w:bCs/>
          <w:color w:val="EE0000"/>
          <w:sz w:val="26"/>
          <w:szCs w:val="26"/>
        </w:rPr>
        <w:t xml:space="preserve"> </w:t>
      </w:r>
      <w:r w:rsidRPr="00B74199">
        <w:rPr>
          <w:rFonts w:cs="Arial"/>
          <w:sz w:val="26"/>
          <w:szCs w:val="26"/>
        </w:rPr>
        <w:t xml:space="preserve">y el diecisiete de junio siguiente, acudió </w:t>
      </w:r>
      <w:r w:rsidR="00335C3F">
        <w:rPr>
          <w:rFonts w:cs="Arial"/>
          <w:b/>
          <w:bCs/>
          <w:color w:val="EE0000"/>
          <w:sz w:val="26"/>
          <w:szCs w:val="26"/>
        </w:rPr>
        <w:t>**********</w:t>
      </w:r>
      <w:r w:rsidRPr="00B74199">
        <w:rPr>
          <w:rFonts w:cs="Arial"/>
          <w:sz w:val="26"/>
          <w:szCs w:val="26"/>
        </w:rPr>
        <w:t xml:space="preserve"> a registrarla como única progenitora; en calidad de testigos comparecieron </w:t>
      </w:r>
      <w:r w:rsidR="00335C3F">
        <w:rPr>
          <w:rFonts w:cs="Arial"/>
          <w:b/>
          <w:bCs/>
          <w:color w:val="EE0000"/>
          <w:sz w:val="26"/>
          <w:szCs w:val="26"/>
        </w:rPr>
        <w:t>**********</w:t>
      </w:r>
      <w:r w:rsidRPr="00B74199">
        <w:rPr>
          <w:rFonts w:cs="Arial"/>
          <w:sz w:val="26"/>
          <w:szCs w:val="26"/>
        </w:rPr>
        <w:t xml:space="preserve"> y </w:t>
      </w:r>
      <w:r w:rsidR="00335C3F">
        <w:rPr>
          <w:rFonts w:cs="Arial"/>
          <w:b/>
          <w:bCs/>
          <w:color w:val="EE0000"/>
          <w:sz w:val="26"/>
          <w:szCs w:val="26"/>
        </w:rPr>
        <w:t>**********</w:t>
      </w:r>
      <w:r w:rsidRPr="00B74199">
        <w:rPr>
          <w:rFonts w:cs="Arial"/>
          <w:sz w:val="26"/>
          <w:szCs w:val="26"/>
        </w:rPr>
        <w:t xml:space="preserve">. </w:t>
      </w:r>
    </w:p>
    <w:p w14:paraId="0F8EEC6B" w14:textId="77777777" w:rsidR="00911430" w:rsidRPr="00B74199" w:rsidRDefault="00911430" w:rsidP="00911430">
      <w:pPr>
        <w:pStyle w:val="Prrafodelista"/>
        <w:rPr>
          <w:rFonts w:cs="Arial"/>
          <w:sz w:val="26"/>
          <w:szCs w:val="26"/>
        </w:rPr>
      </w:pPr>
    </w:p>
    <w:p w14:paraId="791082D5" w14:textId="5316F3BE" w:rsidR="00911430" w:rsidRPr="00B74199" w:rsidRDefault="00911430" w:rsidP="00911430">
      <w:pPr>
        <w:pStyle w:val="corte4fondo"/>
        <w:numPr>
          <w:ilvl w:val="0"/>
          <w:numId w:val="1"/>
        </w:numPr>
        <w:ind w:left="0" w:hanging="567"/>
        <w:rPr>
          <w:rFonts w:cs="Arial"/>
          <w:sz w:val="26"/>
          <w:szCs w:val="26"/>
        </w:rPr>
      </w:pPr>
      <w:r w:rsidRPr="00B74199">
        <w:rPr>
          <w:rFonts w:cs="Arial"/>
          <w:sz w:val="26"/>
          <w:szCs w:val="26"/>
        </w:rPr>
        <w:t xml:space="preserve">En septiembre de dos mil quince, </w:t>
      </w:r>
      <w:r w:rsidR="00335C3F">
        <w:rPr>
          <w:rFonts w:cs="Arial"/>
          <w:b/>
          <w:bCs/>
          <w:color w:val="EE0000"/>
          <w:sz w:val="26"/>
          <w:szCs w:val="26"/>
        </w:rPr>
        <w:t>**********</w:t>
      </w:r>
      <w:r w:rsidRPr="00B74199">
        <w:rPr>
          <w:rFonts w:cs="Arial"/>
          <w:sz w:val="26"/>
          <w:szCs w:val="26"/>
        </w:rPr>
        <w:t xml:space="preserve">, </w:t>
      </w:r>
      <w:r w:rsidR="00335C3F">
        <w:rPr>
          <w:rFonts w:cs="Arial"/>
          <w:b/>
          <w:bCs/>
          <w:color w:val="EE0000"/>
          <w:sz w:val="26"/>
          <w:szCs w:val="26"/>
        </w:rPr>
        <w:t>**********</w:t>
      </w:r>
      <w:r w:rsidRPr="00B74199">
        <w:rPr>
          <w:rFonts w:cs="Arial"/>
          <w:b/>
          <w:bCs/>
          <w:color w:val="EE0000"/>
          <w:sz w:val="26"/>
          <w:szCs w:val="26"/>
        </w:rPr>
        <w:t xml:space="preserve"> </w:t>
      </w:r>
      <w:r w:rsidRPr="00B74199">
        <w:rPr>
          <w:rFonts w:cs="Arial"/>
          <w:sz w:val="26"/>
          <w:szCs w:val="26"/>
        </w:rPr>
        <w:t xml:space="preserve">y la niña </w:t>
      </w:r>
      <w:r w:rsidR="00335C3F">
        <w:rPr>
          <w:rFonts w:cs="Arial"/>
          <w:b/>
          <w:bCs/>
          <w:color w:val="EE0000"/>
          <w:sz w:val="26"/>
          <w:szCs w:val="26"/>
        </w:rPr>
        <w:t>**********</w:t>
      </w:r>
      <w:r w:rsidRPr="00B74199">
        <w:rPr>
          <w:rFonts w:cs="Arial"/>
          <w:b/>
          <w:bCs/>
          <w:color w:val="EE0000"/>
          <w:sz w:val="26"/>
          <w:szCs w:val="26"/>
        </w:rPr>
        <w:t xml:space="preserve"> </w:t>
      </w:r>
      <w:r w:rsidRPr="00B74199">
        <w:rPr>
          <w:rFonts w:cs="Arial"/>
          <w:sz w:val="26"/>
          <w:szCs w:val="26"/>
        </w:rPr>
        <w:t>comenzaron a vivir juntas en San José del Cabo, Baja California Sur</w:t>
      </w:r>
      <w:r w:rsidR="008F51C6" w:rsidRPr="00B74199">
        <w:rPr>
          <w:rFonts w:cs="Arial"/>
          <w:sz w:val="26"/>
          <w:szCs w:val="26"/>
        </w:rPr>
        <w:t xml:space="preserve">, donde ambas </w:t>
      </w:r>
      <w:r w:rsidR="008F51C6" w:rsidRPr="00B74199">
        <w:rPr>
          <w:rFonts w:cs="Arial"/>
          <w:sz w:val="26"/>
          <w:szCs w:val="26"/>
        </w:rPr>
        <w:lastRenderedPageBreak/>
        <w:t xml:space="preserve">se establecieron en el mismo domicilio. </w:t>
      </w:r>
      <w:r w:rsidRPr="00B74199">
        <w:rPr>
          <w:rFonts w:cs="Arial"/>
          <w:sz w:val="26"/>
          <w:szCs w:val="26"/>
        </w:rPr>
        <w:t xml:space="preserve">Asimismo, el quince de mayo de dos mil dieciséis, las dos acudieron a bautizar a la menor y </w:t>
      </w:r>
      <w:r w:rsidR="00335C3F">
        <w:rPr>
          <w:rFonts w:cs="Arial"/>
          <w:b/>
          <w:bCs/>
          <w:color w:val="EE0000"/>
          <w:sz w:val="26"/>
          <w:szCs w:val="26"/>
        </w:rPr>
        <w:t>**********</w:t>
      </w:r>
      <w:r w:rsidRPr="00B74199">
        <w:rPr>
          <w:rFonts w:cs="Arial"/>
          <w:sz w:val="26"/>
          <w:szCs w:val="26"/>
        </w:rPr>
        <w:t xml:space="preserve"> fungió como madrina. </w:t>
      </w:r>
    </w:p>
    <w:p w14:paraId="09782DE7" w14:textId="77777777" w:rsidR="00911430" w:rsidRPr="00B74199" w:rsidRDefault="00911430" w:rsidP="00911430">
      <w:pPr>
        <w:pStyle w:val="Prrafodelista"/>
        <w:rPr>
          <w:rFonts w:cs="Arial"/>
          <w:sz w:val="26"/>
          <w:szCs w:val="26"/>
        </w:rPr>
      </w:pPr>
    </w:p>
    <w:p w14:paraId="6285A898" w14:textId="1A29BE08" w:rsidR="00911430" w:rsidRPr="00B74199" w:rsidRDefault="00911430" w:rsidP="00911430">
      <w:pPr>
        <w:pStyle w:val="corte4fondo"/>
        <w:numPr>
          <w:ilvl w:val="0"/>
          <w:numId w:val="1"/>
        </w:numPr>
        <w:ind w:left="0" w:hanging="567"/>
        <w:rPr>
          <w:rFonts w:cs="Arial"/>
          <w:sz w:val="26"/>
          <w:szCs w:val="26"/>
          <w:lang w:val="es-ES"/>
        </w:rPr>
      </w:pPr>
      <w:r w:rsidRPr="00B74199">
        <w:rPr>
          <w:rFonts w:cs="Arial"/>
          <w:sz w:val="26"/>
          <w:szCs w:val="26"/>
          <w:lang w:val="es-ES"/>
        </w:rPr>
        <w:t xml:space="preserve">Así se mantuvieron hasta que en abril de dos mil veintiuno, </w:t>
      </w:r>
      <w:r w:rsidR="00335C3F">
        <w:rPr>
          <w:rFonts w:cs="Arial"/>
          <w:b/>
          <w:bCs/>
          <w:color w:val="EE0000"/>
          <w:sz w:val="26"/>
          <w:szCs w:val="26"/>
          <w:lang w:val="es-ES"/>
        </w:rPr>
        <w:t>**********</w:t>
      </w:r>
      <w:r w:rsidRPr="00B74199">
        <w:rPr>
          <w:rFonts w:cs="Arial"/>
          <w:sz w:val="26"/>
          <w:szCs w:val="26"/>
          <w:lang w:val="es-ES"/>
        </w:rPr>
        <w:t xml:space="preserve"> y su hija abandonaron el domicilio. No obstante, el doce de abril de dos mil veintiuno, </w:t>
      </w:r>
      <w:r w:rsidR="00335C3F">
        <w:rPr>
          <w:rFonts w:cs="Arial"/>
          <w:b/>
          <w:bCs/>
          <w:color w:val="EE0000"/>
          <w:sz w:val="26"/>
          <w:szCs w:val="26"/>
          <w:lang w:val="es-ES"/>
        </w:rPr>
        <w:t>**********</w:t>
      </w:r>
      <w:r w:rsidRPr="00B74199">
        <w:rPr>
          <w:rFonts w:cs="Arial"/>
          <w:sz w:val="26"/>
          <w:szCs w:val="26"/>
          <w:lang w:val="es-ES"/>
        </w:rPr>
        <w:t xml:space="preserve"> otorgó testamento público abierto en el que declaró “estar soltera sin tener descendientes” y en la cláusula tercera señaló que era su voluntad legar “a favor de su ahijada </w:t>
      </w:r>
      <w:r w:rsidR="00335C3F">
        <w:rPr>
          <w:rFonts w:cs="Arial"/>
          <w:b/>
          <w:bCs/>
          <w:color w:val="EE0000"/>
          <w:sz w:val="26"/>
          <w:szCs w:val="26"/>
          <w:lang w:val="es-ES"/>
        </w:rPr>
        <w:t>**********</w:t>
      </w:r>
      <w:r w:rsidRPr="00B74199">
        <w:rPr>
          <w:rFonts w:cs="Arial"/>
          <w:sz w:val="26"/>
          <w:szCs w:val="26"/>
          <w:lang w:val="es-ES"/>
        </w:rPr>
        <w:t>, la casa, departamento, terreno y cualquier otra propiedad que se</w:t>
      </w:r>
      <w:r w:rsidR="008F51C6" w:rsidRPr="00B74199">
        <w:rPr>
          <w:rFonts w:cs="Arial"/>
          <w:sz w:val="26"/>
          <w:szCs w:val="26"/>
          <w:lang w:val="es-ES"/>
        </w:rPr>
        <w:t xml:space="preserve"> ubicara</w:t>
      </w:r>
      <w:r w:rsidRPr="00B74199">
        <w:rPr>
          <w:rFonts w:cs="Arial"/>
          <w:sz w:val="26"/>
          <w:szCs w:val="26"/>
          <w:lang w:val="es-ES"/>
        </w:rPr>
        <w:t xml:space="preserve"> en Los Cabos, Baja California Sur”. </w:t>
      </w:r>
    </w:p>
    <w:p w14:paraId="3CA1B978" w14:textId="77777777" w:rsidR="00911430" w:rsidRPr="00B74199" w:rsidRDefault="00911430" w:rsidP="00911430">
      <w:pPr>
        <w:pStyle w:val="corte4fondo"/>
        <w:ind w:firstLine="0"/>
        <w:rPr>
          <w:rFonts w:cs="Arial"/>
          <w:sz w:val="26"/>
          <w:szCs w:val="26"/>
        </w:rPr>
      </w:pPr>
    </w:p>
    <w:p w14:paraId="2354F9CD" w14:textId="7402FACC" w:rsidR="00911430" w:rsidRPr="00B74199" w:rsidRDefault="00911430" w:rsidP="00911430">
      <w:pPr>
        <w:pStyle w:val="corte4fondo"/>
        <w:numPr>
          <w:ilvl w:val="0"/>
          <w:numId w:val="1"/>
        </w:numPr>
        <w:ind w:left="0" w:hanging="567"/>
        <w:rPr>
          <w:rFonts w:cs="Arial"/>
          <w:sz w:val="26"/>
          <w:szCs w:val="26"/>
          <w:lang w:val="es-ES"/>
        </w:rPr>
      </w:pPr>
      <w:r w:rsidRPr="00B74199">
        <w:rPr>
          <w:rFonts w:cs="Arial"/>
          <w:b/>
          <w:bCs/>
          <w:sz w:val="26"/>
          <w:szCs w:val="26"/>
          <w:lang w:val="es-ES"/>
        </w:rPr>
        <w:t xml:space="preserve">Juicio familiar de guarda y custodia </w:t>
      </w:r>
      <w:r w:rsidR="00335C3F">
        <w:rPr>
          <w:rFonts w:cs="Arial"/>
          <w:b/>
          <w:bCs/>
          <w:color w:val="EE0000"/>
          <w:sz w:val="26"/>
          <w:szCs w:val="26"/>
          <w:lang w:val="es-ES"/>
        </w:rPr>
        <w:t>**********</w:t>
      </w:r>
      <w:r w:rsidRPr="00B74199">
        <w:rPr>
          <w:rFonts w:cs="Arial"/>
          <w:b/>
          <w:bCs/>
          <w:sz w:val="26"/>
          <w:szCs w:val="26"/>
          <w:lang w:val="es-ES"/>
        </w:rPr>
        <w:t xml:space="preserve">. </w:t>
      </w:r>
      <w:r w:rsidRPr="00B74199">
        <w:rPr>
          <w:rFonts w:cs="Arial"/>
          <w:sz w:val="26"/>
          <w:szCs w:val="26"/>
          <w:lang w:val="es-ES"/>
        </w:rPr>
        <w:t xml:space="preserve">Por escrito presentado el veinte de junio de dos mil veintidós, </w:t>
      </w:r>
      <w:r w:rsidR="00335C3F">
        <w:rPr>
          <w:rFonts w:cs="Arial"/>
          <w:b/>
          <w:bCs/>
          <w:color w:val="EE0000"/>
          <w:sz w:val="26"/>
          <w:szCs w:val="26"/>
          <w:lang w:val="es-ES"/>
        </w:rPr>
        <w:t>**********</w:t>
      </w:r>
      <w:r w:rsidRPr="00B74199">
        <w:rPr>
          <w:rFonts w:cs="Arial"/>
          <w:sz w:val="26"/>
          <w:szCs w:val="26"/>
          <w:lang w:val="es-ES"/>
        </w:rPr>
        <w:t xml:space="preserve"> promovió demanda en contra de </w:t>
      </w:r>
      <w:r w:rsidR="00335C3F">
        <w:rPr>
          <w:rFonts w:cs="Arial"/>
          <w:b/>
          <w:bCs/>
          <w:color w:val="EE0000"/>
          <w:sz w:val="26"/>
          <w:szCs w:val="26"/>
          <w:lang w:val="es-ES"/>
        </w:rPr>
        <w:t>**********</w:t>
      </w:r>
      <w:r w:rsidRPr="00B74199">
        <w:rPr>
          <w:rFonts w:cs="Arial"/>
          <w:sz w:val="26"/>
          <w:szCs w:val="26"/>
          <w:lang w:val="es-ES"/>
        </w:rPr>
        <w:t xml:space="preserve">, en la que solicitó: (i) la declaración de concubinato existente con la demandada en términos del artículo 331 del Código Civil </w:t>
      </w:r>
      <w:r w:rsidR="00C75523" w:rsidRPr="00C75523">
        <w:rPr>
          <w:rFonts w:cs="Arial"/>
          <w:sz w:val="26"/>
          <w:szCs w:val="26"/>
          <w:lang w:val="es-ES"/>
        </w:rPr>
        <w:t>para el Estado Libre y Soberano</w:t>
      </w:r>
      <w:r w:rsidRPr="00B74199">
        <w:rPr>
          <w:rFonts w:cs="Arial"/>
          <w:sz w:val="26"/>
          <w:szCs w:val="26"/>
          <w:lang w:val="es-ES"/>
        </w:rPr>
        <w:t xml:space="preserve"> </w:t>
      </w:r>
      <w:r w:rsidR="00580E00">
        <w:rPr>
          <w:rFonts w:cs="Arial"/>
          <w:sz w:val="26"/>
          <w:szCs w:val="26"/>
          <w:lang w:val="es-ES"/>
        </w:rPr>
        <w:t xml:space="preserve">de </w:t>
      </w:r>
      <w:r w:rsidRPr="00B74199">
        <w:rPr>
          <w:rFonts w:cs="Arial"/>
          <w:sz w:val="26"/>
          <w:szCs w:val="26"/>
          <w:lang w:val="es-ES"/>
        </w:rPr>
        <w:t>Baja California Sur</w:t>
      </w:r>
      <w:r w:rsidR="00CF4572" w:rsidRPr="00B74199">
        <w:rPr>
          <w:rStyle w:val="Refdenotaalpie"/>
          <w:rFonts w:cs="Arial"/>
          <w:sz w:val="26"/>
          <w:szCs w:val="26"/>
          <w:lang w:val="es-ES"/>
        </w:rPr>
        <w:footnoteReference w:id="1"/>
      </w:r>
      <w:r w:rsidRPr="00B74199">
        <w:rPr>
          <w:rFonts w:cs="Arial"/>
          <w:sz w:val="26"/>
          <w:szCs w:val="26"/>
          <w:lang w:val="es-ES"/>
        </w:rPr>
        <w:t>; (</w:t>
      </w:r>
      <w:proofErr w:type="spellStart"/>
      <w:r w:rsidRPr="00B74199">
        <w:rPr>
          <w:rFonts w:cs="Arial"/>
          <w:sz w:val="26"/>
          <w:szCs w:val="26"/>
          <w:lang w:val="es-ES"/>
        </w:rPr>
        <w:t>ii</w:t>
      </w:r>
      <w:proofErr w:type="spellEnd"/>
      <w:r w:rsidRPr="00B74199">
        <w:rPr>
          <w:rFonts w:cs="Arial"/>
          <w:sz w:val="26"/>
          <w:szCs w:val="26"/>
          <w:lang w:val="es-ES"/>
        </w:rPr>
        <w:t xml:space="preserve">) el reconocimiento de la </w:t>
      </w:r>
      <w:proofErr w:type="spellStart"/>
      <w:r w:rsidRPr="00B74199">
        <w:rPr>
          <w:rFonts w:cs="Arial"/>
          <w:sz w:val="26"/>
          <w:szCs w:val="26"/>
          <w:lang w:val="es-ES"/>
        </w:rPr>
        <w:t>comaternidad</w:t>
      </w:r>
      <w:proofErr w:type="spellEnd"/>
      <w:r w:rsidRPr="00B74199">
        <w:rPr>
          <w:rFonts w:cs="Arial"/>
          <w:sz w:val="26"/>
          <w:szCs w:val="26"/>
          <w:lang w:val="es-ES"/>
        </w:rPr>
        <w:t xml:space="preserve"> y establecimiento de la filiación jurídica como madre no gestante de la menor</w:t>
      </w:r>
      <w:r w:rsidRPr="00B74199">
        <w:rPr>
          <w:rFonts w:cs="Arial"/>
          <w:color w:val="EE0000"/>
          <w:sz w:val="26"/>
          <w:szCs w:val="26"/>
          <w:lang w:val="es-ES"/>
        </w:rPr>
        <w:t xml:space="preserve"> </w:t>
      </w:r>
      <w:r w:rsidR="00335C3F">
        <w:rPr>
          <w:rFonts w:cs="Arial"/>
          <w:b/>
          <w:bCs/>
          <w:color w:val="EE0000"/>
          <w:sz w:val="26"/>
          <w:szCs w:val="26"/>
          <w:lang w:val="es-ES"/>
        </w:rPr>
        <w:t>**********</w:t>
      </w:r>
      <w:r w:rsidRPr="00B74199">
        <w:rPr>
          <w:rFonts w:cs="Arial"/>
          <w:sz w:val="26"/>
          <w:szCs w:val="26"/>
          <w:lang w:val="es-ES"/>
        </w:rPr>
        <w:t>, en términos de los artículos 402, 403, 408 y 409 del Código Civil local</w:t>
      </w:r>
      <w:r w:rsidR="00D00C6B" w:rsidRPr="00B74199">
        <w:rPr>
          <w:rStyle w:val="Refdenotaalpie"/>
          <w:rFonts w:cs="Arial"/>
          <w:sz w:val="26"/>
          <w:szCs w:val="26"/>
          <w:lang w:val="es-ES"/>
        </w:rPr>
        <w:footnoteReference w:id="2"/>
      </w:r>
      <w:r w:rsidRPr="00B74199">
        <w:rPr>
          <w:rFonts w:cs="Arial"/>
          <w:sz w:val="26"/>
          <w:szCs w:val="26"/>
          <w:lang w:val="es-ES"/>
        </w:rPr>
        <w:t>; (</w:t>
      </w:r>
      <w:proofErr w:type="spellStart"/>
      <w:r w:rsidRPr="00B74199">
        <w:rPr>
          <w:rFonts w:cs="Arial"/>
          <w:sz w:val="26"/>
          <w:szCs w:val="26"/>
          <w:lang w:val="es-ES"/>
        </w:rPr>
        <w:t>iii</w:t>
      </w:r>
      <w:proofErr w:type="spellEnd"/>
      <w:r w:rsidRPr="00B74199">
        <w:rPr>
          <w:rFonts w:cs="Arial"/>
          <w:sz w:val="26"/>
          <w:szCs w:val="26"/>
          <w:lang w:val="es-ES"/>
        </w:rPr>
        <w:t>) el establecimiento de un régimen de visitas y convivencias; y (</w:t>
      </w:r>
      <w:proofErr w:type="spellStart"/>
      <w:r w:rsidRPr="00B74199">
        <w:rPr>
          <w:rFonts w:cs="Arial"/>
          <w:sz w:val="26"/>
          <w:szCs w:val="26"/>
          <w:lang w:val="es-ES"/>
        </w:rPr>
        <w:t>iv</w:t>
      </w:r>
      <w:proofErr w:type="spellEnd"/>
      <w:r w:rsidRPr="00B74199">
        <w:rPr>
          <w:rFonts w:cs="Arial"/>
          <w:sz w:val="26"/>
          <w:szCs w:val="26"/>
          <w:lang w:val="es-ES"/>
        </w:rPr>
        <w:t xml:space="preserve">) gastos y costas. </w:t>
      </w:r>
    </w:p>
    <w:p w14:paraId="0DFFF2B6" w14:textId="77777777" w:rsidR="00911430" w:rsidRPr="00B74199" w:rsidRDefault="00911430" w:rsidP="00911430">
      <w:pPr>
        <w:pStyle w:val="corte4fondo"/>
        <w:rPr>
          <w:rFonts w:cs="Arial"/>
          <w:sz w:val="26"/>
          <w:szCs w:val="26"/>
        </w:rPr>
      </w:pPr>
    </w:p>
    <w:p w14:paraId="2F0EDD4D" w14:textId="77777777" w:rsidR="00911430" w:rsidRPr="00B74199" w:rsidRDefault="00911430" w:rsidP="00911430">
      <w:pPr>
        <w:pStyle w:val="corte4fondo"/>
        <w:numPr>
          <w:ilvl w:val="0"/>
          <w:numId w:val="1"/>
        </w:numPr>
        <w:ind w:left="0" w:hanging="567"/>
        <w:rPr>
          <w:rFonts w:cs="Arial"/>
          <w:sz w:val="26"/>
          <w:szCs w:val="26"/>
        </w:rPr>
      </w:pPr>
      <w:r w:rsidRPr="00B74199">
        <w:rPr>
          <w:rFonts w:cs="Arial"/>
          <w:sz w:val="26"/>
          <w:szCs w:val="26"/>
        </w:rPr>
        <w:t xml:space="preserve">Por acuerdo de veintisiete de junio de dos mil veintidós, la Jueza de Primera Instancia del Ramo Familiar del Partido Judicial de Los Cabos, con residencia en Cabo San Lucas, Baja California Sur, admitió la demanda, y seguido el procedimiento dictó sentencia el doce de febrero de dos mil veinticuatro, en la que: </w:t>
      </w:r>
    </w:p>
    <w:p w14:paraId="684C9AC0" w14:textId="77777777"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Se reconoció el concubinato porque existió una relación estable, domicilio común y proyecto de vida compartido durante cinco años.</w:t>
      </w:r>
    </w:p>
    <w:p w14:paraId="5DD9B866" w14:textId="77777777"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 xml:space="preserve">Se negó la </w:t>
      </w:r>
      <w:proofErr w:type="spellStart"/>
      <w:r w:rsidRPr="00B74199">
        <w:rPr>
          <w:rFonts w:ascii="Arial" w:hAnsi="Arial" w:cs="Arial"/>
          <w:sz w:val="26"/>
          <w:szCs w:val="26"/>
        </w:rPr>
        <w:t>comaternidad</w:t>
      </w:r>
      <w:proofErr w:type="spellEnd"/>
      <w:r w:rsidRPr="00B74199">
        <w:rPr>
          <w:rFonts w:ascii="Arial" w:hAnsi="Arial" w:cs="Arial"/>
          <w:sz w:val="26"/>
          <w:szCs w:val="26"/>
        </w:rPr>
        <w:t>, ya que esta requiere la manifestación de voluntad conjunta para ejercer la maternidad, lo cual no se acreditó.</w:t>
      </w:r>
    </w:p>
    <w:p w14:paraId="04841C8A" w14:textId="4DDFE946"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 xml:space="preserve">Se estimó que la actora pretendía imponer el reconocimiento de la </w:t>
      </w:r>
      <w:proofErr w:type="spellStart"/>
      <w:r w:rsidRPr="00B74199">
        <w:rPr>
          <w:rFonts w:ascii="Arial" w:hAnsi="Arial" w:cs="Arial"/>
          <w:sz w:val="26"/>
          <w:szCs w:val="26"/>
        </w:rPr>
        <w:t>comaternidad</w:t>
      </w:r>
      <w:proofErr w:type="spellEnd"/>
      <w:r w:rsidRPr="00B74199">
        <w:rPr>
          <w:rFonts w:ascii="Arial" w:hAnsi="Arial" w:cs="Arial"/>
          <w:sz w:val="26"/>
          <w:szCs w:val="26"/>
        </w:rPr>
        <w:t xml:space="preserve"> de manera unilateral cuando la relación homoparental ya había terminado.</w:t>
      </w:r>
    </w:p>
    <w:p w14:paraId="5B479ACB" w14:textId="77777777"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No se presentó prueba que demostrara que, durante la relación, ambas partes hubieran acordado asumir la maternidad en conjunto.</w:t>
      </w:r>
    </w:p>
    <w:p w14:paraId="650A5495" w14:textId="6C985D70"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 xml:space="preserve">Se consideró relevante que la demandada actualmente está casada con otra persona </w:t>
      </w:r>
      <w:r w:rsidR="008F51C6" w:rsidRPr="00B74199">
        <w:rPr>
          <w:rFonts w:ascii="Arial" w:hAnsi="Arial" w:cs="Arial"/>
          <w:sz w:val="26"/>
          <w:szCs w:val="26"/>
        </w:rPr>
        <w:t xml:space="preserve">de sexo masculino </w:t>
      </w:r>
      <w:r w:rsidRPr="00B74199">
        <w:rPr>
          <w:rFonts w:ascii="Arial" w:hAnsi="Arial" w:cs="Arial"/>
          <w:sz w:val="26"/>
          <w:szCs w:val="26"/>
        </w:rPr>
        <w:t xml:space="preserve">y tiene una hija con él, </w:t>
      </w:r>
      <w:r w:rsidR="008F51C6" w:rsidRPr="00B74199">
        <w:rPr>
          <w:rFonts w:ascii="Arial" w:hAnsi="Arial" w:cs="Arial"/>
          <w:sz w:val="26"/>
          <w:szCs w:val="26"/>
        </w:rPr>
        <w:t>a</w:t>
      </w:r>
      <w:r w:rsidRPr="00B74199">
        <w:rPr>
          <w:rFonts w:ascii="Arial" w:hAnsi="Arial" w:cs="Arial"/>
          <w:sz w:val="26"/>
          <w:szCs w:val="26"/>
        </w:rPr>
        <w:t xml:space="preserve"> quien la menor </w:t>
      </w:r>
      <w:r w:rsidR="00335C3F">
        <w:rPr>
          <w:rFonts w:ascii="Arial" w:hAnsi="Arial" w:cs="Arial"/>
          <w:b/>
          <w:bCs/>
          <w:color w:val="EE0000"/>
          <w:sz w:val="26"/>
          <w:szCs w:val="26"/>
          <w:lang w:val="es-ES"/>
        </w:rPr>
        <w:t>**********</w:t>
      </w:r>
      <w:r w:rsidR="008F51C6" w:rsidRPr="00B74199">
        <w:rPr>
          <w:rFonts w:ascii="Arial" w:hAnsi="Arial" w:cs="Arial"/>
          <w:sz w:val="26"/>
          <w:szCs w:val="26"/>
          <w:lang w:val="es-ES"/>
        </w:rPr>
        <w:t xml:space="preserve">, </w:t>
      </w:r>
      <w:r w:rsidRPr="00B74199">
        <w:rPr>
          <w:rFonts w:ascii="Arial" w:hAnsi="Arial" w:cs="Arial"/>
          <w:sz w:val="26"/>
          <w:szCs w:val="26"/>
        </w:rPr>
        <w:t>reconoce</w:t>
      </w:r>
      <w:r w:rsidR="008F51C6" w:rsidRPr="00B74199">
        <w:rPr>
          <w:rFonts w:ascii="Arial" w:hAnsi="Arial" w:cs="Arial"/>
          <w:sz w:val="26"/>
          <w:szCs w:val="26"/>
        </w:rPr>
        <w:t xml:space="preserve"> el rol de</w:t>
      </w:r>
      <w:r w:rsidRPr="00B74199">
        <w:rPr>
          <w:rFonts w:ascii="Arial" w:hAnsi="Arial" w:cs="Arial"/>
          <w:sz w:val="26"/>
          <w:szCs w:val="26"/>
        </w:rPr>
        <w:t xml:space="preserve"> padre.</w:t>
      </w:r>
    </w:p>
    <w:p w14:paraId="585BB51D" w14:textId="77777777" w:rsidR="00911430" w:rsidRPr="00B74199" w:rsidRDefault="00911430" w:rsidP="0002572B">
      <w:pPr>
        <w:pStyle w:val="NormalWeb"/>
        <w:numPr>
          <w:ilvl w:val="0"/>
          <w:numId w:val="5"/>
        </w:numPr>
        <w:spacing w:line="276" w:lineRule="auto"/>
        <w:jc w:val="both"/>
        <w:rPr>
          <w:rFonts w:ascii="Arial" w:hAnsi="Arial" w:cs="Arial"/>
          <w:sz w:val="26"/>
          <w:szCs w:val="26"/>
        </w:rPr>
      </w:pPr>
      <w:r w:rsidRPr="00B74199">
        <w:rPr>
          <w:rFonts w:ascii="Arial" w:hAnsi="Arial" w:cs="Arial"/>
          <w:sz w:val="26"/>
          <w:szCs w:val="26"/>
        </w:rPr>
        <w:t>La valoración psicológica mostró confusión en la menor respecto a su concepto de familia y, en su comparecencia, manifestó que no desea convivir con la actora.</w:t>
      </w:r>
    </w:p>
    <w:p w14:paraId="51400355" w14:textId="77777777" w:rsidR="00911430" w:rsidRPr="00B74199" w:rsidRDefault="00911430" w:rsidP="00911430">
      <w:pPr>
        <w:pStyle w:val="corte4fondo"/>
        <w:ind w:firstLine="0"/>
        <w:rPr>
          <w:rFonts w:cs="Arial"/>
          <w:sz w:val="26"/>
          <w:szCs w:val="26"/>
        </w:rPr>
      </w:pPr>
    </w:p>
    <w:p w14:paraId="1FCCC001" w14:textId="2D7DAFF5" w:rsidR="00911430" w:rsidRPr="00B74199" w:rsidRDefault="00911430" w:rsidP="00911430">
      <w:pPr>
        <w:pStyle w:val="corte4fondo"/>
        <w:numPr>
          <w:ilvl w:val="0"/>
          <w:numId w:val="1"/>
        </w:numPr>
        <w:ind w:left="0" w:hanging="567"/>
        <w:rPr>
          <w:rFonts w:cs="Arial"/>
          <w:sz w:val="26"/>
          <w:szCs w:val="26"/>
          <w:lang w:val="es-MX"/>
        </w:rPr>
      </w:pPr>
      <w:r w:rsidRPr="00B74199">
        <w:rPr>
          <w:rFonts w:cs="Arial"/>
          <w:b/>
          <w:bCs/>
          <w:sz w:val="26"/>
          <w:szCs w:val="26"/>
        </w:rPr>
        <w:t xml:space="preserve">Recurso de apelación </w:t>
      </w:r>
      <w:r w:rsidR="00335C3F">
        <w:rPr>
          <w:rFonts w:cs="Arial"/>
          <w:b/>
          <w:bCs/>
          <w:color w:val="EE0000"/>
          <w:sz w:val="26"/>
          <w:szCs w:val="26"/>
        </w:rPr>
        <w:t>**********</w:t>
      </w:r>
      <w:r w:rsidRPr="00B74199">
        <w:rPr>
          <w:rFonts w:cs="Arial"/>
          <w:b/>
          <w:bCs/>
          <w:sz w:val="26"/>
          <w:szCs w:val="26"/>
        </w:rPr>
        <w:t xml:space="preserve">. </w:t>
      </w:r>
      <w:r w:rsidRPr="00B74199">
        <w:rPr>
          <w:rFonts w:cs="Arial"/>
          <w:sz w:val="26"/>
          <w:szCs w:val="26"/>
        </w:rPr>
        <w:t>Inconforme, la parte actora interpuso recurso de apelación, que conoció la Primera Sala Unitaria en Materia Civil del Tribunal Superior</w:t>
      </w:r>
      <w:r w:rsidR="0072334A">
        <w:rPr>
          <w:rFonts w:cs="Arial"/>
          <w:sz w:val="26"/>
          <w:szCs w:val="26"/>
        </w:rPr>
        <w:t xml:space="preserve"> de Justicia</w:t>
      </w:r>
      <w:r w:rsidRPr="00B74199">
        <w:rPr>
          <w:rFonts w:cs="Arial"/>
          <w:sz w:val="26"/>
          <w:szCs w:val="26"/>
        </w:rPr>
        <w:t xml:space="preserve"> del Estado de Baja California Sur. El veinticuatro de mayo de dos mil veinticuatro se resolvió el recurso en el sentido de confirmar la sentencia de primera instancia, y señaló que </w:t>
      </w:r>
      <w:r w:rsidRPr="00B74199">
        <w:rPr>
          <w:rFonts w:cs="Arial"/>
          <w:sz w:val="26"/>
          <w:szCs w:val="26"/>
          <w:lang w:val="es-MX"/>
        </w:rPr>
        <w:t>l</w:t>
      </w:r>
      <w:r w:rsidR="00285778" w:rsidRPr="00B74199">
        <w:rPr>
          <w:rFonts w:cs="Arial"/>
          <w:sz w:val="26"/>
          <w:szCs w:val="26"/>
          <w:lang w:val="es-MX"/>
        </w:rPr>
        <w:t>a presunción d</w:t>
      </w:r>
      <w:r w:rsidR="00341DD9" w:rsidRPr="00B74199">
        <w:rPr>
          <w:rFonts w:cs="Arial"/>
          <w:sz w:val="26"/>
          <w:szCs w:val="26"/>
          <w:lang w:val="es-MX"/>
        </w:rPr>
        <w:t>el artículo</w:t>
      </w:r>
      <w:r w:rsidRPr="00B74199">
        <w:rPr>
          <w:rFonts w:cs="Arial"/>
          <w:sz w:val="26"/>
          <w:szCs w:val="26"/>
          <w:lang w:val="es-MX"/>
        </w:rPr>
        <w:t xml:space="preserve"> 402 del Código Civil </w:t>
      </w:r>
      <w:r w:rsidR="00C75523" w:rsidRPr="00C75523">
        <w:rPr>
          <w:rFonts w:cs="Arial"/>
          <w:sz w:val="26"/>
          <w:szCs w:val="26"/>
          <w:lang w:val="es-MX"/>
        </w:rPr>
        <w:t>para el Estado Libre y Soberano</w:t>
      </w:r>
      <w:r w:rsidRPr="00B74199">
        <w:rPr>
          <w:rFonts w:cs="Arial"/>
          <w:sz w:val="26"/>
          <w:szCs w:val="26"/>
          <w:lang w:val="es-MX"/>
        </w:rPr>
        <w:t xml:space="preserve"> Baja California Sur </w:t>
      </w:r>
      <w:r w:rsidR="00285778" w:rsidRPr="00B74199">
        <w:rPr>
          <w:rFonts w:cs="Arial"/>
          <w:sz w:val="26"/>
          <w:szCs w:val="26"/>
          <w:lang w:val="es-MX"/>
        </w:rPr>
        <w:t>no es aplicable</w:t>
      </w:r>
      <w:r w:rsidRPr="00B74199">
        <w:rPr>
          <w:rFonts w:cs="Arial"/>
          <w:sz w:val="26"/>
          <w:szCs w:val="26"/>
          <w:lang w:val="es-MX"/>
        </w:rPr>
        <w:t xml:space="preserve">, </w:t>
      </w:r>
      <w:r w:rsidRPr="00B74199">
        <w:rPr>
          <w:rFonts w:cs="Arial"/>
          <w:b/>
          <w:bCs/>
          <w:sz w:val="26"/>
          <w:szCs w:val="26"/>
          <w:lang w:val="es-MX"/>
        </w:rPr>
        <w:t>ya que</w:t>
      </w:r>
      <w:r w:rsidR="00B55CD6" w:rsidRPr="00B74199">
        <w:rPr>
          <w:rFonts w:cs="Arial"/>
          <w:b/>
          <w:bCs/>
          <w:sz w:val="26"/>
          <w:szCs w:val="26"/>
          <w:lang w:val="es-MX"/>
        </w:rPr>
        <w:t>, de una interpretación sistemática de los artículos 401 a 404 del Código Civil local,</w:t>
      </w:r>
      <w:r w:rsidRPr="00B74199">
        <w:rPr>
          <w:rFonts w:cs="Arial"/>
          <w:b/>
          <w:bCs/>
          <w:sz w:val="26"/>
          <w:szCs w:val="26"/>
          <w:lang w:val="es-MX"/>
        </w:rPr>
        <w:t xml:space="preserve"> </w:t>
      </w:r>
      <w:r w:rsidR="00CB0C11" w:rsidRPr="00B74199">
        <w:rPr>
          <w:rFonts w:cs="Arial"/>
          <w:b/>
          <w:bCs/>
          <w:sz w:val="26"/>
          <w:szCs w:val="26"/>
          <w:lang w:val="es-MX"/>
        </w:rPr>
        <w:t xml:space="preserve">se advierte que </w:t>
      </w:r>
      <w:r w:rsidRPr="00B74199">
        <w:rPr>
          <w:rFonts w:cs="Arial"/>
          <w:b/>
          <w:bCs/>
          <w:sz w:val="26"/>
          <w:szCs w:val="26"/>
          <w:lang w:val="es-MX"/>
        </w:rPr>
        <w:t>regula</w:t>
      </w:r>
      <w:r w:rsidR="00CB0C11" w:rsidRPr="00B74199">
        <w:rPr>
          <w:rFonts w:cs="Arial"/>
          <w:b/>
          <w:bCs/>
          <w:sz w:val="26"/>
          <w:szCs w:val="26"/>
          <w:lang w:val="es-MX"/>
        </w:rPr>
        <w:t>n</w:t>
      </w:r>
      <w:r w:rsidRPr="00B74199">
        <w:rPr>
          <w:rFonts w:cs="Arial"/>
          <w:b/>
          <w:bCs/>
          <w:sz w:val="26"/>
          <w:szCs w:val="26"/>
          <w:lang w:val="es-MX"/>
        </w:rPr>
        <w:t xml:space="preserve"> la investigación de la filiación consanguínea</w:t>
      </w:r>
      <w:r w:rsidRPr="00B74199">
        <w:rPr>
          <w:rFonts w:cs="Arial"/>
          <w:sz w:val="26"/>
          <w:szCs w:val="26"/>
          <w:lang w:val="es-MX"/>
        </w:rPr>
        <w:t xml:space="preserve">, y en este caso no se discute la maternidad biológica. Está acreditado que el padre de la niña es el señor </w:t>
      </w:r>
      <w:r w:rsidR="00335C3F">
        <w:rPr>
          <w:rFonts w:cs="Arial"/>
          <w:color w:val="EE0000"/>
          <w:sz w:val="26"/>
          <w:szCs w:val="26"/>
          <w:lang w:val="es-MX"/>
        </w:rPr>
        <w:t>**********</w:t>
      </w:r>
      <w:r w:rsidRPr="00B74199">
        <w:rPr>
          <w:rFonts w:cs="Arial"/>
          <w:color w:val="EE0000"/>
          <w:sz w:val="26"/>
          <w:szCs w:val="26"/>
          <w:lang w:val="es-MX"/>
        </w:rPr>
        <w:t xml:space="preserve">, </w:t>
      </w:r>
      <w:r w:rsidR="008F51C6" w:rsidRPr="00B74199">
        <w:rPr>
          <w:rFonts w:cs="Arial"/>
          <w:sz w:val="26"/>
          <w:szCs w:val="26"/>
          <w:lang w:val="es-MX"/>
        </w:rPr>
        <w:t>quien acepta la paternidad biológica de la menor</w:t>
      </w:r>
      <w:r w:rsidR="004D10D5" w:rsidRPr="00B74199">
        <w:rPr>
          <w:rFonts w:cs="Arial"/>
          <w:sz w:val="26"/>
          <w:szCs w:val="26"/>
          <w:lang w:val="es-MX"/>
        </w:rPr>
        <w:t xml:space="preserve">, </w:t>
      </w:r>
      <w:r w:rsidRPr="00B74199">
        <w:rPr>
          <w:rFonts w:cs="Arial"/>
          <w:sz w:val="26"/>
          <w:szCs w:val="26"/>
          <w:lang w:val="es-MX"/>
        </w:rPr>
        <w:t xml:space="preserve">por lo que la pretensión de la actora no parte de una investigación de paternidad, sino de obtener un reconocimiento voluntario de maternidad después de concluida la relación homoparental. </w:t>
      </w:r>
    </w:p>
    <w:p w14:paraId="0CEE9DF7" w14:textId="77777777" w:rsidR="00911430" w:rsidRPr="00B74199" w:rsidRDefault="00911430" w:rsidP="00911430">
      <w:pPr>
        <w:pStyle w:val="corte4fondo"/>
        <w:ind w:firstLine="0"/>
        <w:rPr>
          <w:rFonts w:cs="Arial"/>
          <w:sz w:val="26"/>
          <w:szCs w:val="26"/>
          <w:lang w:val="es-MX"/>
        </w:rPr>
      </w:pPr>
    </w:p>
    <w:p w14:paraId="69F3AD85" w14:textId="761B9A07" w:rsidR="00911430" w:rsidRPr="00B74199" w:rsidRDefault="00911430" w:rsidP="00911430">
      <w:pPr>
        <w:pStyle w:val="corte4fondo"/>
        <w:numPr>
          <w:ilvl w:val="0"/>
          <w:numId w:val="1"/>
        </w:numPr>
        <w:ind w:left="0" w:hanging="567"/>
        <w:rPr>
          <w:rFonts w:cs="Arial"/>
          <w:sz w:val="26"/>
          <w:szCs w:val="26"/>
        </w:rPr>
      </w:pPr>
      <w:r w:rsidRPr="00B74199">
        <w:rPr>
          <w:rFonts w:cs="Arial"/>
          <w:sz w:val="26"/>
          <w:szCs w:val="26"/>
          <w:lang w:val="es-MX"/>
        </w:rPr>
        <w:t xml:space="preserve">Asimismo, la </w:t>
      </w:r>
      <w:r w:rsidRPr="00B74199">
        <w:rPr>
          <w:rFonts w:cs="Arial"/>
          <w:sz w:val="26"/>
          <w:szCs w:val="26"/>
        </w:rPr>
        <w:t xml:space="preserve">Primera Sala Unitaria en Materia Civil del Tribunal Superior </w:t>
      </w:r>
      <w:r w:rsidR="00E43298">
        <w:rPr>
          <w:rFonts w:cs="Arial"/>
          <w:sz w:val="26"/>
          <w:szCs w:val="26"/>
        </w:rPr>
        <w:t xml:space="preserve">de Justicia </w:t>
      </w:r>
      <w:r w:rsidRPr="00B74199">
        <w:rPr>
          <w:rFonts w:cs="Arial"/>
          <w:sz w:val="26"/>
          <w:szCs w:val="26"/>
        </w:rPr>
        <w:t xml:space="preserve">del Estado de Baja California Sur sostuvo que fue correcta la sentencia de </w:t>
      </w:r>
      <w:r w:rsidRPr="00B74199">
        <w:rPr>
          <w:rFonts w:cs="Arial"/>
          <w:sz w:val="26"/>
          <w:szCs w:val="26"/>
        </w:rPr>
        <w:lastRenderedPageBreak/>
        <w:t xml:space="preserve">primera instancia al estimar que el reconocimiento de maternidad se promovió un año después de concluida la relación y cuando la niña ya se encontraba integrada a un nuevo entorno familiar en el que identifica </w:t>
      </w:r>
      <w:r w:rsidR="00366EE6" w:rsidRPr="00B74199">
        <w:rPr>
          <w:rFonts w:cs="Arial"/>
          <w:sz w:val="26"/>
          <w:szCs w:val="26"/>
        </w:rPr>
        <w:t>con el rol de</w:t>
      </w:r>
      <w:r w:rsidRPr="00B74199">
        <w:rPr>
          <w:rFonts w:cs="Arial"/>
          <w:sz w:val="26"/>
          <w:szCs w:val="26"/>
        </w:rPr>
        <w:t xml:space="preserve"> padre a </w:t>
      </w:r>
      <w:r w:rsidR="00335C3F">
        <w:rPr>
          <w:rFonts w:cs="Arial"/>
          <w:color w:val="EE0000"/>
          <w:sz w:val="26"/>
          <w:szCs w:val="26"/>
        </w:rPr>
        <w:t>**********</w:t>
      </w:r>
      <w:r w:rsidRPr="00B74199">
        <w:rPr>
          <w:rFonts w:cs="Arial"/>
          <w:sz w:val="26"/>
          <w:szCs w:val="26"/>
        </w:rPr>
        <w:t xml:space="preserve">, esposo de su madre; además, </w:t>
      </w:r>
      <w:r w:rsidR="006749FD" w:rsidRPr="00B74199">
        <w:rPr>
          <w:rFonts w:cs="Arial"/>
          <w:sz w:val="26"/>
          <w:szCs w:val="26"/>
        </w:rPr>
        <w:t xml:space="preserve">señaló que </w:t>
      </w:r>
      <w:r w:rsidRPr="00B74199">
        <w:rPr>
          <w:rFonts w:cs="Arial"/>
          <w:sz w:val="26"/>
          <w:szCs w:val="26"/>
        </w:rPr>
        <w:t xml:space="preserve">aunque existió convivencia, cuidados y afecto entre la actora y la menor, ello no basta para generar una relación filial, pues el dictamen psicológico evidenció confusión en la niña respecto de su concepto de familia y de los roles parentales, atribuible a los cambios en sus dinámicas familiares, sin que se </w:t>
      </w:r>
      <w:r w:rsidR="002A0178" w:rsidRPr="00B74199">
        <w:rPr>
          <w:rFonts w:cs="Arial"/>
          <w:sz w:val="26"/>
          <w:szCs w:val="26"/>
        </w:rPr>
        <w:t>advirtiera</w:t>
      </w:r>
      <w:r w:rsidRPr="00B74199">
        <w:rPr>
          <w:rFonts w:cs="Arial"/>
          <w:sz w:val="26"/>
          <w:szCs w:val="26"/>
        </w:rPr>
        <w:t xml:space="preserve"> que recono</w:t>
      </w:r>
      <w:r w:rsidR="002A0178" w:rsidRPr="00B74199">
        <w:rPr>
          <w:rFonts w:cs="Arial"/>
          <w:sz w:val="26"/>
          <w:szCs w:val="26"/>
        </w:rPr>
        <w:t>ció</w:t>
      </w:r>
      <w:r w:rsidRPr="00B74199">
        <w:rPr>
          <w:rFonts w:cs="Arial"/>
          <w:sz w:val="26"/>
          <w:szCs w:val="26"/>
        </w:rPr>
        <w:t xml:space="preserve"> a la actora como su madre.</w:t>
      </w:r>
    </w:p>
    <w:p w14:paraId="2942CE27" w14:textId="77777777" w:rsidR="00911430" w:rsidRPr="00B74199" w:rsidRDefault="00911430" w:rsidP="00911430">
      <w:pPr>
        <w:pStyle w:val="Prrafodelista"/>
        <w:rPr>
          <w:rFonts w:cs="Arial"/>
          <w:sz w:val="26"/>
          <w:szCs w:val="26"/>
        </w:rPr>
      </w:pPr>
    </w:p>
    <w:p w14:paraId="4454A4E7" w14:textId="5E3AEC85" w:rsidR="00911430" w:rsidRPr="00B74199" w:rsidRDefault="00911430" w:rsidP="00911430">
      <w:pPr>
        <w:pStyle w:val="corte4fondo"/>
        <w:numPr>
          <w:ilvl w:val="0"/>
          <w:numId w:val="1"/>
        </w:numPr>
        <w:ind w:left="0" w:hanging="567"/>
        <w:rPr>
          <w:rFonts w:cs="Arial"/>
          <w:sz w:val="26"/>
          <w:szCs w:val="26"/>
        </w:rPr>
      </w:pPr>
      <w:r w:rsidRPr="00B74199">
        <w:rPr>
          <w:rFonts w:cs="Arial"/>
          <w:b/>
          <w:bCs/>
          <w:sz w:val="26"/>
          <w:szCs w:val="26"/>
        </w:rPr>
        <w:t xml:space="preserve">Juicio de amparo directo </w:t>
      </w:r>
      <w:r w:rsidR="00335C3F">
        <w:rPr>
          <w:rFonts w:cs="Arial"/>
          <w:b/>
          <w:bCs/>
          <w:color w:val="EE0000"/>
          <w:sz w:val="26"/>
          <w:szCs w:val="26"/>
        </w:rPr>
        <w:t>**********</w:t>
      </w:r>
      <w:r w:rsidRPr="00B74199">
        <w:rPr>
          <w:rFonts w:cs="Arial"/>
          <w:b/>
          <w:bCs/>
          <w:sz w:val="26"/>
          <w:szCs w:val="26"/>
        </w:rPr>
        <w:t xml:space="preserve">. </w:t>
      </w:r>
      <w:r w:rsidRPr="00B74199">
        <w:rPr>
          <w:rFonts w:cs="Arial"/>
          <w:sz w:val="26"/>
          <w:szCs w:val="26"/>
        </w:rPr>
        <w:t xml:space="preserve">En contra de esta determinación, </w:t>
      </w:r>
      <w:r w:rsidR="00335C3F">
        <w:rPr>
          <w:rFonts w:cs="Arial"/>
          <w:b/>
          <w:bCs/>
          <w:color w:val="EE0000"/>
          <w:sz w:val="26"/>
          <w:szCs w:val="26"/>
        </w:rPr>
        <w:t>**********</w:t>
      </w:r>
      <w:r w:rsidRPr="00B74199">
        <w:rPr>
          <w:rFonts w:cs="Arial"/>
          <w:b/>
          <w:bCs/>
          <w:color w:val="EE0000"/>
          <w:sz w:val="26"/>
          <w:szCs w:val="26"/>
        </w:rPr>
        <w:t xml:space="preserve"> </w:t>
      </w:r>
      <w:r w:rsidRPr="00B74199">
        <w:rPr>
          <w:rFonts w:cs="Arial"/>
          <w:sz w:val="26"/>
          <w:szCs w:val="26"/>
        </w:rPr>
        <w:t>promovió juicio de amparo directo, mediante escrito presentado el diecisiete de junio de dos mil veinticuatro ante la Oficialía de Partes Común para la Segunda Instancia en Materia Civil y Penal del Poder Judicial del Estado de Baja California Sur. En síntesis, expresó los siguientes conceptos de violación:</w:t>
      </w:r>
    </w:p>
    <w:p w14:paraId="7E4706BC" w14:textId="77777777" w:rsidR="00911430" w:rsidRPr="00B74199" w:rsidRDefault="00911430" w:rsidP="00911430">
      <w:pPr>
        <w:pStyle w:val="Prrafodelista"/>
        <w:rPr>
          <w:rFonts w:cs="Arial"/>
          <w:sz w:val="26"/>
          <w:szCs w:val="26"/>
        </w:rPr>
      </w:pPr>
    </w:p>
    <w:p w14:paraId="05DA4BD1" w14:textId="7A57F319" w:rsidR="00911430" w:rsidRPr="00B74199" w:rsidRDefault="00911430" w:rsidP="00911430">
      <w:pPr>
        <w:pStyle w:val="corte4fondo"/>
        <w:numPr>
          <w:ilvl w:val="0"/>
          <w:numId w:val="6"/>
        </w:numPr>
        <w:ind w:left="567" w:firstLine="0"/>
        <w:rPr>
          <w:rFonts w:cs="Arial"/>
          <w:sz w:val="26"/>
          <w:szCs w:val="26"/>
          <w:lang w:val="es-MX"/>
        </w:rPr>
      </w:pPr>
      <w:r w:rsidRPr="00B74199">
        <w:rPr>
          <w:rFonts w:cs="Arial"/>
          <w:b/>
          <w:bCs/>
          <w:sz w:val="26"/>
          <w:szCs w:val="26"/>
          <w:lang w:val="es-MX"/>
        </w:rPr>
        <w:t>Primero</w:t>
      </w:r>
      <w:r w:rsidRPr="00B74199">
        <w:rPr>
          <w:rFonts w:cs="Arial"/>
          <w:sz w:val="26"/>
          <w:szCs w:val="26"/>
          <w:lang w:val="es-MX"/>
        </w:rPr>
        <w:t xml:space="preserve">: </w:t>
      </w:r>
      <w:r w:rsidR="0075297D" w:rsidRPr="00B74199">
        <w:rPr>
          <w:rFonts w:cs="Arial"/>
          <w:sz w:val="26"/>
          <w:szCs w:val="26"/>
          <w:lang w:val="es-MX"/>
        </w:rPr>
        <w:t xml:space="preserve">es incorrecto que la Sala responsable considere que la acción busca el reconocimiento </w:t>
      </w:r>
      <w:r w:rsidR="00F2564A" w:rsidRPr="00B74199">
        <w:rPr>
          <w:rFonts w:cs="Arial"/>
          <w:sz w:val="26"/>
          <w:szCs w:val="26"/>
          <w:lang w:val="es-MX"/>
        </w:rPr>
        <w:t>p</w:t>
      </w:r>
      <w:r w:rsidR="000C7DBA" w:rsidRPr="00B74199">
        <w:rPr>
          <w:rFonts w:cs="Arial"/>
          <w:sz w:val="26"/>
          <w:szCs w:val="26"/>
          <w:lang w:val="es-MX"/>
        </w:rPr>
        <w:t xml:space="preserve">or realidad social, pues en realidad </w:t>
      </w:r>
      <w:r w:rsidR="002D46F4" w:rsidRPr="00B74199">
        <w:rPr>
          <w:rFonts w:cs="Arial"/>
          <w:sz w:val="26"/>
          <w:szCs w:val="26"/>
          <w:lang w:val="es-MX"/>
        </w:rPr>
        <w:t>se pidió que se reconociera la filiación jurídica de una niña que nació dentro del concubinato</w:t>
      </w:r>
      <w:r w:rsidR="00965EA2" w:rsidRPr="00B74199">
        <w:rPr>
          <w:rFonts w:cs="Arial"/>
          <w:sz w:val="26"/>
          <w:szCs w:val="26"/>
          <w:lang w:val="es-MX"/>
        </w:rPr>
        <w:t xml:space="preserve"> y en la que hubo posesión de estado</w:t>
      </w:r>
      <w:r w:rsidR="002D46F4" w:rsidRPr="00B74199">
        <w:rPr>
          <w:rFonts w:cs="Arial"/>
          <w:sz w:val="26"/>
          <w:szCs w:val="26"/>
          <w:lang w:val="es-MX"/>
        </w:rPr>
        <w:t xml:space="preserve">. Como consecuencia, </w:t>
      </w:r>
      <w:r w:rsidRPr="00B74199">
        <w:rPr>
          <w:rFonts w:cs="Arial"/>
          <w:sz w:val="26"/>
          <w:szCs w:val="26"/>
          <w:lang w:val="es-MX"/>
        </w:rPr>
        <w:t xml:space="preserve">se le impone a la actora una carga mayor que a una pareja heterosexual, al negarle la presunción de hijo nacido </w:t>
      </w:r>
      <w:r w:rsidR="002D46F4" w:rsidRPr="00B74199">
        <w:rPr>
          <w:rFonts w:cs="Arial"/>
          <w:sz w:val="26"/>
          <w:szCs w:val="26"/>
          <w:lang w:val="es-MX"/>
        </w:rPr>
        <w:t>en</w:t>
      </w:r>
      <w:r w:rsidR="00D26142" w:rsidRPr="00B74199">
        <w:rPr>
          <w:rFonts w:cs="Arial"/>
          <w:sz w:val="26"/>
          <w:szCs w:val="26"/>
          <w:lang w:val="es-MX"/>
        </w:rPr>
        <w:t xml:space="preserve"> </w:t>
      </w:r>
      <w:r w:rsidRPr="00B74199">
        <w:rPr>
          <w:rFonts w:cs="Arial"/>
          <w:sz w:val="26"/>
          <w:szCs w:val="26"/>
          <w:lang w:val="es-MX"/>
        </w:rPr>
        <w:t xml:space="preserve">concubinato con el argumento de que </w:t>
      </w:r>
      <w:r w:rsidR="009A5B61" w:rsidRPr="00B74199">
        <w:rPr>
          <w:rFonts w:cs="Arial"/>
          <w:sz w:val="26"/>
          <w:szCs w:val="26"/>
          <w:lang w:val="es-MX"/>
        </w:rPr>
        <w:t xml:space="preserve">el artículo 402 del Código Civil local </w:t>
      </w:r>
      <w:r w:rsidRPr="00B74199">
        <w:rPr>
          <w:rFonts w:cs="Arial"/>
          <w:sz w:val="26"/>
          <w:szCs w:val="26"/>
          <w:lang w:val="es-MX"/>
        </w:rPr>
        <w:t>sólo aplica para investigar paternidad biológica. Esto desconoce que en relaciones homoparentales</w:t>
      </w:r>
      <w:r w:rsidR="00472C5F" w:rsidRPr="00B74199">
        <w:rPr>
          <w:rFonts w:cs="Arial"/>
          <w:sz w:val="26"/>
          <w:szCs w:val="26"/>
          <w:lang w:val="es-MX"/>
        </w:rPr>
        <w:t>,</w:t>
      </w:r>
      <w:r w:rsidRPr="00B74199">
        <w:rPr>
          <w:rFonts w:cs="Arial"/>
          <w:sz w:val="26"/>
          <w:szCs w:val="26"/>
          <w:lang w:val="es-MX"/>
        </w:rPr>
        <w:t xml:space="preserve"> la filiación no se basa en genética, sino en voluntad y funciones parentales, por lo que la interpretación de la Sala es </w:t>
      </w:r>
      <w:proofErr w:type="spellStart"/>
      <w:r w:rsidRPr="00B74199">
        <w:rPr>
          <w:rFonts w:cs="Arial"/>
          <w:sz w:val="26"/>
          <w:szCs w:val="26"/>
          <w:lang w:val="es-MX"/>
        </w:rPr>
        <w:t>heteronormada</w:t>
      </w:r>
      <w:proofErr w:type="spellEnd"/>
      <w:r w:rsidRPr="00B74199">
        <w:rPr>
          <w:rFonts w:cs="Arial"/>
          <w:sz w:val="26"/>
          <w:szCs w:val="26"/>
          <w:lang w:val="es-MX"/>
        </w:rPr>
        <w:t xml:space="preserve"> y genera discriminación indirecta, al impedir el reconocimiento de la filiación cuando la relación ya terminó, en contra del deber de protección familiar del artículo 4º constitucional.</w:t>
      </w:r>
    </w:p>
    <w:p w14:paraId="229B4B99" w14:textId="77777777" w:rsidR="00911430" w:rsidRPr="00B74199" w:rsidRDefault="00911430" w:rsidP="00911430">
      <w:pPr>
        <w:pStyle w:val="corte4fondo"/>
        <w:ind w:left="567" w:firstLine="0"/>
        <w:rPr>
          <w:rFonts w:cs="Arial"/>
          <w:sz w:val="26"/>
          <w:szCs w:val="26"/>
          <w:lang w:val="es-MX"/>
        </w:rPr>
      </w:pPr>
    </w:p>
    <w:p w14:paraId="3AAFE8AD" w14:textId="453F6F30" w:rsidR="00911430" w:rsidRPr="00B74199" w:rsidRDefault="00911430" w:rsidP="00911430">
      <w:pPr>
        <w:pStyle w:val="corte4fondo"/>
        <w:numPr>
          <w:ilvl w:val="0"/>
          <w:numId w:val="6"/>
        </w:numPr>
        <w:ind w:left="567" w:firstLine="0"/>
        <w:rPr>
          <w:rFonts w:cs="Arial"/>
          <w:sz w:val="26"/>
          <w:szCs w:val="26"/>
          <w:lang w:val="es-MX"/>
        </w:rPr>
      </w:pPr>
      <w:r w:rsidRPr="00B74199">
        <w:rPr>
          <w:rFonts w:cs="Arial"/>
          <w:b/>
          <w:bCs/>
          <w:sz w:val="26"/>
          <w:szCs w:val="26"/>
          <w:lang w:val="es-MX"/>
        </w:rPr>
        <w:t>Segundo</w:t>
      </w:r>
      <w:r w:rsidRPr="00B74199">
        <w:rPr>
          <w:rFonts w:cs="Arial"/>
          <w:sz w:val="26"/>
          <w:szCs w:val="26"/>
          <w:lang w:val="es-MX"/>
        </w:rPr>
        <w:t xml:space="preserve">: la negativa de reconocimiento por el simple hecho de que la relación concluyó desconoce la protección constitucional a la familia y la posibilidad de mantener el vínculo jurídico con la niña. Las normas sobre reconocimiento e investigación de filiación </w:t>
      </w:r>
      <w:r w:rsidR="00927A73" w:rsidRPr="00B74199">
        <w:rPr>
          <w:rFonts w:cs="Arial"/>
          <w:sz w:val="26"/>
          <w:szCs w:val="26"/>
          <w:lang w:val="es-MX"/>
        </w:rPr>
        <w:t xml:space="preserve">los artículos 401 a 404 del Código Civil </w:t>
      </w:r>
      <w:r w:rsidR="00C75523" w:rsidRPr="00C75523">
        <w:rPr>
          <w:rFonts w:cs="Arial"/>
          <w:sz w:val="26"/>
          <w:szCs w:val="26"/>
          <w:lang w:val="es-MX"/>
        </w:rPr>
        <w:t>para el Estado Libre y Soberano</w:t>
      </w:r>
      <w:r w:rsidR="00C75523" w:rsidRPr="00B74199">
        <w:rPr>
          <w:rFonts w:cs="Arial"/>
          <w:sz w:val="26"/>
          <w:szCs w:val="26"/>
          <w:lang w:val="es-MX"/>
        </w:rPr>
        <w:t xml:space="preserve"> </w:t>
      </w:r>
      <w:r w:rsidR="00C75523">
        <w:rPr>
          <w:rFonts w:cs="Arial"/>
          <w:sz w:val="26"/>
          <w:szCs w:val="26"/>
          <w:lang w:val="es-MX"/>
        </w:rPr>
        <w:t xml:space="preserve">de </w:t>
      </w:r>
      <w:r w:rsidR="00000C25" w:rsidRPr="00B74199">
        <w:rPr>
          <w:rFonts w:cs="Arial"/>
          <w:sz w:val="26"/>
          <w:szCs w:val="26"/>
          <w:lang w:val="es-MX"/>
        </w:rPr>
        <w:t xml:space="preserve">Baja California Sur </w:t>
      </w:r>
      <w:r w:rsidRPr="00B74199">
        <w:rPr>
          <w:rFonts w:cs="Arial"/>
          <w:sz w:val="26"/>
          <w:szCs w:val="26"/>
          <w:lang w:val="es-MX"/>
        </w:rPr>
        <w:t>pueden aplicarse por analogía para llenar la laguna legal, especialmente cuando existe evidencia de que la actora ejerció funciones maternas y aportó cuidado, sustento y crianza.</w:t>
      </w:r>
    </w:p>
    <w:p w14:paraId="097E0241" w14:textId="77777777" w:rsidR="00911430" w:rsidRPr="00B74199" w:rsidRDefault="00911430" w:rsidP="00911430">
      <w:pPr>
        <w:pStyle w:val="Prrafodelista"/>
        <w:rPr>
          <w:rFonts w:cs="Arial"/>
          <w:sz w:val="26"/>
          <w:szCs w:val="26"/>
          <w:lang w:val="es-MX"/>
        </w:rPr>
      </w:pPr>
    </w:p>
    <w:p w14:paraId="42291D14" w14:textId="77777777" w:rsidR="00911430" w:rsidRPr="00B74199" w:rsidRDefault="00911430" w:rsidP="00911430">
      <w:pPr>
        <w:pStyle w:val="corte4fondo"/>
        <w:numPr>
          <w:ilvl w:val="0"/>
          <w:numId w:val="6"/>
        </w:numPr>
        <w:ind w:left="567" w:firstLine="0"/>
        <w:rPr>
          <w:rFonts w:cs="Arial"/>
          <w:sz w:val="26"/>
          <w:szCs w:val="26"/>
          <w:lang w:val="es-MX"/>
        </w:rPr>
      </w:pPr>
      <w:r w:rsidRPr="00B74199">
        <w:rPr>
          <w:rFonts w:cs="Arial"/>
          <w:b/>
          <w:bCs/>
          <w:sz w:val="26"/>
          <w:szCs w:val="26"/>
          <w:lang w:val="es-MX"/>
        </w:rPr>
        <w:lastRenderedPageBreak/>
        <w:t>Tercero</w:t>
      </w:r>
      <w:r w:rsidRPr="00B74199">
        <w:rPr>
          <w:rFonts w:cs="Arial"/>
          <w:sz w:val="26"/>
          <w:szCs w:val="26"/>
          <w:lang w:val="es-MX"/>
        </w:rPr>
        <w:t>: la decisión de la Sala contraviene el interés superior de la niñez y la tutela judicial efectiva, pues privilegia el estado actual sin analizar qué solución protege mejor la identidad y vínculos afectivos de la menor.</w:t>
      </w:r>
    </w:p>
    <w:p w14:paraId="3E4D5B36" w14:textId="77777777" w:rsidR="00911430" w:rsidRPr="00B74199" w:rsidRDefault="00911430" w:rsidP="00911430">
      <w:pPr>
        <w:pStyle w:val="corte4fondo"/>
        <w:ind w:firstLine="0"/>
        <w:rPr>
          <w:rFonts w:cs="Arial"/>
          <w:sz w:val="26"/>
          <w:szCs w:val="26"/>
        </w:rPr>
      </w:pPr>
    </w:p>
    <w:p w14:paraId="38B10361" w14:textId="0CC01E3C" w:rsidR="00911430" w:rsidRPr="00B74199" w:rsidRDefault="00911430" w:rsidP="00911430">
      <w:pPr>
        <w:pStyle w:val="corte4fondo"/>
        <w:numPr>
          <w:ilvl w:val="0"/>
          <w:numId w:val="1"/>
        </w:numPr>
        <w:ind w:left="0" w:hanging="567"/>
        <w:rPr>
          <w:rFonts w:cs="Arial"/>
          <w:sz w:val="26"/>
          <w:szCs w:val="26"/>
        </w:rPr>
      </w:pPr>
      <w:bookmarkStart w:id="1" w:name="_Hlk181278101"/>
      <w:r w:rsidRPr="00B74199">
        <w:rPr>
          <w:rFonts w:cs="Arial"/>
          <w:b/>
          <w:bCs/>
          <w:sz w:val="26"/>
          <w:szCs w:val="26"/>
        </w:rPr>
        <w:t>Sentencia del Tribunal Colegiado.</w:t>
      </w:r>
      <w:r w:rsidRPr="00B74199">
        <w:rPr>
          <w:rFonts w:cs="Arial"/>
          <w:sz w:val="26"/>
          <w:szCs w:val="26"/>
        </w:rPr>
        <w:t xml:space="preserve"> </w:t>
      </w:r>
      <w:r w:rsidR="003C50E5" w:rsidRPr="00B74199">
        <w:rPr>
          <w:rFonts w:cs="Arial"/>
          <w:sz w:val="26"/>
          <w:szCs w:val="26"/>
        </w:rPr>
        <w:t>E</w:t>
      </w:r>
      <w:r w:rsidRPr="00B74199">
        <w:rPr>
          <w:rFonts w:cs="Arial"/>
          <w:sz w:val="26"/>
          <w:szCs w:val="26"/>
        </w:rPr>
        <w:t xml:space="preserve">l Primer Tribunal Colegiado del Vigésimo Sexto Circuito </w:t>
      </w:r>
      <w:r w:rsidR="003C50E5" w:rsidRPr="00B74199">
        <w:rPr>
          <w:rFonts w:cs="Arial"/>
          <w:sz w:val="26"/>
          <w:szCs w:val="26"/>
        </w:rPr>
        <w:t>e</w:t>
      </w:r>
      <w:r w:rsidRPr="00B74199">
        <w:rPr>
          <w:rFonts w:cs="Arial"/>
          <w:sz w:val="26"/>
          <w:szCs w:val="26"/>
        </w:rPr>
        <w:t>n sesión pública</w:t>
      </w:r>
      <w:r w:rsidR="003C50E5" w:rsidRPr="00B74199">
        <w:rPr>
          <w:rFonts w:cs="Arial"/>
          <w:sz w:val="26"/>
          <w:szCs w:val="26"/>
        </w:rPr>
        <w:t xml:space="preserve"> </w:t>
      </w:r>
      <w:r w:rsidR="00FE2F6C">
        <w:rPr>
          <w:rFonts w:cs="Arial"/>
          <w:sz w:val="26"/>
          <w:szCs w:val="26"/>
        </w:rPr>
        <w:t xml:space="preserve">ordinaria virtual </w:t>
      </w:r>
      <w:r w:rsidR="003C50E5" w:rsidRPr="00B74199">
        <w:rPr>
          <w:rFonts w:cs="Arial"/>
          <w:sz w:val="26"/>
          <w:szCs w:val="26"/>
        </w:rPr>
        <w:t>d</w:t>
      </w:r>
      <w:r w:rsidRPr="00B74199">
        <w:rPr>
          <w:rFonts w:cs="Arial"/>
          <w:sz w:val="26"/>
          <w:szCs w:val="26"/>
        </w:rPr>
        <w:t>el tres de abril de dos mil veinticinco dictó sentencia en la que se negó el amparo a la parte quejosa, con base en las siguientes consideraciones:</w:t>
      </w:r>
    </w:p>
    <w:p w14:paraId="79DB7521" w14:textId="77777777" w:rsidR="00911430" w:rsidRPr="00B74199" w:rsidRDefault="00911430" w:rsidP="00911430">
      <w:pPr>
        <w:pStyle w:val="corte4fondo"/>
        <w:ind w:firstLine="0"/>
        <w:rPr>
          <w:rFonts w:cs="Arial"/>
          <w:sz w:val="26"/>
          <w:szCs w:val="26"/>
        </w:rPr>
      </w:pPr>
    </w:p>
    <w:p w14:paraId="73296B78" w14:textId="77777777" w:rsidR="00911430" w:rsidRPr="00B74199" w:rsidRDefault="00911430" w:rsidP="00911430">
      <w:pPr>
        <w:pStyle w:val="corte4fondo"/>
        <w:numPr>
          <w:ilvl w:val="0"/>
          <w:numId w:val="7"/>
        </w:numPr>
        <w:rPr>
          <w:rFonts w:cs="Arial"/>
          <w:sz w:val="26"/>
          <w:szCs w:val="26"/>
        </w:rPr>
      </w:pPr>
      <w:r w:rsidRPr="00B74199">
        <w:rPr>
          <w:rFonts w:cs="Arial"/>
          <w:sz w:val="26"/>
          <w:szCs w:val="26"/>
        </w:rPr>
        <w:t>Los conceptos de violación se analizaron en conjunto y se calificaron como infundados. La presunción solicitada por la actora no resulta aplicable porque el juicio no tuvo por objeto investigar la maternidad para determinar la filiación biológica de la niña, pues desde el inicio todas las partes reconocieron que no existía vínculo biológico con la actora y quedó acreditada la existencia del padre biológico, quien mantiene cierto contacto con la menor.</w:t>
      </w:r>
    </w:p>
    <w:p w14:paraId="170CDDCC" w14:textId="77777777" w:rsidR="00911430" w:rsidRPr="00B74199" w:rsidRDefault="00911430" w:rsidP="00911430">
      <w:pPr>
        <w:pStyle w:val="corte4fondo"/>
        <w:ind w:left="720" w:firstLine="0"/>
        <w:rPr>
          <w:rFonts w:cs="Arial"/>
          <w:sz w:val="26"/>
          <w:szCs w:val="26"/>
        </w:rPr>
      </w:pPr>
    </w:p>
    <w:p w14:paraId="63A590AE" w14:textId="7522A559" w:rsidR="00911430" w:rsidRPr="00B74199" w:rsidRDefault="00911430" w:rsidP="00911430">
      <w:pPr>
        <w:pStyle w:val="corte4fondo"/>
        <w:numPr>
          <w:ilvl w:val="0"/>
          <w:numId w:val="7"/>
        </w:numPr>
        <w:rPr>
          <w:rFonts w:cs="Arial"/>
          <w:sz w:val="26"/>
          <w:szCs w:val="26"/>
        </w:rPr>
      </w:pPr>
      <w:r w:rsidRPr="00B74199">
        <w:rPr>
          <w:rFonts w:cs="Arial"/>
          <w:sz w:val="26"/>
          <w:szCs w:val="26"/>
        </w:rPr>
        <w:t>La determinación adoptada por las instancias previas no es discriminatoria, ya que la presunción de hijo nacido en concubinato responde a un modelo de filiación biológica propio de relaciones heterosexuales. Lo que la actora pretendía era que se reconociera jurídicamente la voluntad de asumir la maternidad una vez concluida la relación homoparental. Sin embargo, el reconocimiento se solicitó un año después de que dicha relación terminó y en un contexto familiar y</w:t>
      </w:r>
      <w:r w:rsidR="003C50E5" w:rsidRPr="00B74199">
        <w:rPr>
          <w:rFonts w:cs="Arial"/>
          <w:sz w:val="26"/>
          <w:szCs w:val="26"/>
        </w:rPr>
        <w:t>a</w:t>
      </w:r>
      <w:r w:rsidRPr="00B74199">
        <w:rPr>
          <w:rFonts w:cs="Arial"/>
          <w:sz w:val="26"/>
          <w:szCs w:val="26"/>
        </w:rPr>
        <w:t xml:space="preserve"> transformado, pues la madre biológica contrajo matrimonio con otra persona a quien la niña identifica actualmente como su padre.</w:t>
      </w:r>
    </w:p>
    <w:p w14:paraId="61AC5E8B" w14:textId="77777777" w:rsidR="00911430" w:rsidRPr="00B74199" w:rsidRDefault="00911430" w:rsidP="00911430">
      <w:pPr>
        <w:pStyle w:val="corte4fondo"/>
        <w:ind w:left="720" w:firstLine="0"/>
        <w:rPr>
          <w:rFonts w:cs="Arial"/>
          <w:sz w:val="26"/>
          <w:szCs w:val="26"/>
        </w:rPr>
      </w:pPr>
    </w:p>
    <w:p w14:paraId="2CB3D396" w14:textId="4A7CE5F1" w:rsidR="00911430" w:rsidRPr="00B74199" w:rsidRDefault="00911430" w:rsidP="00911430">
      <w:pPr>
        <w:pStyle w:val="corte4fondo"/>
        <w:numPr>
          <w:ilvl w:val="0"/>
          <w:numId w:val="7"/>
        </w:numPr>
        <w:rPr>
          <w:rFonts w:cs="Arial"/>
          <w:sz w:val="26"/>
          <w:szCs w:val="26"/>
        </w:rPr>
      </w:pPr>
      <w:r w:rsidRPr="00B74199">
        <w:rPr>
          <w:rFonts w:cs="Arial"/>
          <w:sz w:val="26"/>
          <w:szCs w:val="26"/>
        </w:rPr>
        <w:t xml:space="preserve"> Además, se valoró con especial relevancia la pericial psicológica, en la cual la niña mostró confusión respecto al concepto de familia y su rol dentro de ella, en un contexto de múltiples cambios familiares y figuras parentales.</w:t>
      </w:r>
    </w:p>
    <w:p w14:paraId="09C8FA36" w14:textId="77777777" w:rsidR="00911430" w:rsidRPr="00B74199" w:rsidRDefault="00911430" w:rsidP="00911430">
      <w:pPr>
        <w:pStyle w:val="Prrafodelista"/>
        <w:rPr>
          <w:rFonts w:ascii="Arial" w:hAnsi="Arial" w:cs="Arial"/>
          <w:sz w:val="26"/>
          <w:szCs w:val="26"/>
        </w:rPr>
      </w:pPr>
    </w:p>
    <w:p w14:paraId="528524A4" w14:textId="77777777" w:rsidR="0010399C" w:rsidRPr="00B74199" w:rsidRDefault="00911430" w:rsidP="00911430">
      <w:pPr>
        <w:pStyle w:val="corte4fondo"/>
        <w:numPr>
          <w:ilvl w:val="0"/>
          <w:numId w:val="7"/>
        </w:numPr>
        <w:rPr>
          <w:rFonts w:cs="Arial"/>
          <w:sz w:val="26"/>
          <w:szCs w:val="26"/>
        </w:rPr>
      </w:pPr>
      <w:r w:rsidRPr="00B74199">
        <w:rPr>
          <w:rFonts w:cs="Arial"/>
          <w:sz w:val="26"/>
          <w:szCs w:val="26"/>
        </w:rPr>
        <w:t>Con base en el interés superior de la niñez, se consideró necesario evitar mayor afectación a su estabilidad emocional e identidad.</w:t>
      </w:r>
      <w:r w:rsidRPr="00B74199">
        <w:rPr>
          <w:rStyle w:val="Refdenotaalpie"/>
          <w:rFonts w:cs="Arial"/>
          <w:sz w:val="26"/>
          <w:szCs w:val="26"/>
        </w:rPr>
        <w:footnoteReference w:id="3"/>
      </w:r>
      <w:r w:rsidRPr="00B74199">
        <w:rPr>
          <w:rFonts w:cs="Arial"/>
          <w:sz w:val="26"/>
          <w:szCs w:val="26"/>
        </w:rPr>
        <w:t xml:space="preserve"> La decisión no </w:t>
      </w:r>
      <w:r w:rsidRPr="00B74199">
        <w:rPr>
          <w:rFonts w:cs="Arial"/>
          <w:sz w:val="26"/>
          <w:szCs w:val="26"/>
        </w:rPr>
        <w:lastRenderedPageBreak/>
        <w:t>vulnera derechos de la quejosa, pues la relación homoparental ya había concluido</w:t>
      </w:r>
      <w:r w:rsidR="00366EE6" w:rsidRPr="00B74199">
        <w:rPr>
          <w:rFonts w:cs="Arial"/>
          <w:sz w:val="26"/>
          <w:szCs w:val="26"/>
        </w:rPr>
        <w:t>;</w:t>
      </w:r>
      <w:r w:rsidRPr="00B74199">
        <w:rPr>
          <w:rFonts w:cs="Arial"/>
          <w:sz w:val="26"/>
          <w:szCs w:val="26"/>
        </w:rPr>
        <w:t xml:space="preserve"> el padre biológico mantiene presencia</w:t>
      </w:r>
      <w:r w:rsidR="00366EE6" w:rsidRPr="00B74199">
        <w:rPr>
          <w:rFonts w:cs="Arial"/>
          <w:sz w:val="26"/>
          <w:szCs w:val="26"/>
        </w:rPr>
        <w:t>;</w:t>
      </w:r>
      <w:r w:rsidRPr="00B74199">
        <w:rPr>
          <w:rFonts w:cs="Arial"/>
          <w:sz w:val="26"/>
          <w:szCs w:val="26"/>
        </w:rPr>
        <w:t xml:space="preserve"> la madre formó una nueva familia</w:t>
      </w:r>
      <w:r w:rsidR="00366EE6" w:rsidRPr="00B74199">
        <w:rPr>
          <w:rFonts w:cs="Arial"/>
          <w:sz w:val="26"/>
          <w:szCs w:val="26"/>
        </w:rPr>
        <w:t>,</w:t>
      </w:r>
      <w:r w:rsidRPr="00B74199">
        <w:rPr>
          <w:rFonts w:cs="Arial"/>
          <w:sz w:val="26"/>
          <w:szCs w:val="26"/>
        </w:rPr>
        <w:t xml:space="preserve"> y la menor reconoce a su padrastro y hermana como </w:t>
      </w:r>
      <w:r w:rsidR="00366EE6" w:rsidRPr="00B74199">
        <w:rPr>
          <w:rFonts w:cs="Arial"/>
          <w:sz w:val="26"/>
          <w:szCs w:val="26"/>
        </w:rPr>
        <w:t xml:space="preserve">integrantes de </w:t>
      </w:r>
      <w:r w:rsidRPr="00B74199">
        <w:rPr>
          <w:rFonts w:cs="Arial"/>
          <w:sz w:val="26"/>
          <w:szCs w:val="26"/>
        </w:rPr>
        <w:t xml:space="preserve">su núcleo </w:t>
      </w:r>
      <w:r w:rsidR="00366EE6" w:rsidRPr="00B74199">
        <w:rPr>
          <w:rFonts w:cs="Arial"/>
          <w:sz w:val="26"/>
          <w:szCs w:val="26"/>
        </w:rPr>
        <w:t xml:space="preserve">familiar </w:t>
      </w:r>
      <w:r w:rsidRPr="00B74199">
        <w:rPr>
          <w:rFonts w:cs="Arial"/>
          <w:sz w:val="26"/>
          <w:szCs w:val="26"/>
        </w:rPr>
        <w:t xml:space="preserve">actual. </w:t>
      </w:r>
    </w:p>
    <w:p w14:paraId="58DB83BD" w14:textId="77777777" w:rsidR="0010399C" w:rsidRPr="00B74199" w:rsidRDefault="0010399C" w:rsidP="0010399C">
      <w:pPr>
        <w:pStyle w:val="Prrafodelista"/>
        <w:rPr>
          <w:rFonts w:cs="Arial"/>
          <w:sz w:val="26"/>
          <w:szCs w:val="26"/>
        </w:rPr>
      </w:pPr>
    </w:p>
    <w:p w14:paraId="7E339F7D" w14:textId="5ECF51E2" w:rsidR="00911430" w:rsidRPr="00B74199" w:rsidRDefault="00911430" w:rsidP="00911430">
      <w:pPr>
        <w:pStyle w:val="corte4fondo"/>
        <w:numPr>
          <w:ilvl w:val="0"/>
          <w:numId w:val="7"/>
        </w:numPr>
        <w:rPr>
          <w:rFonts w:cs="Arial"/>
          <w:sz w:val="26"/>
          <w:szCs w:val="26"/>
        </w:rPr>
      </w:pPr>
      <w:r w:rsidRPr="00B74199">
        <w:rPr>
          <w:rFonts w:cs="Arial"/>
          <w:sz w:val="26"/>
          <w:szCs w:val="26"/>
        </w:rPr>
        <w:t>Finalmente</w:t>
      </w:r>
      <w:r w:rsidR="00573F00" w:rsidRPr="00B74199">
        <w:rPr>
          <w:rFonts w:cs="Arial"/>
          <w:sz w:val="26"/>
          <w:szCs w:val="26"/>
        </w:rPr>
        <w:t>,</w:t>
      </w:r>
      <w:r w:rsidRPr="00B74199">
        <w:rPr>
          <w:rFonts w:cs="Arial"/>
          <w:sz w:val="26"/>
          <w:szCs w:val="26"/>
        </w:rPr>
        <w:t xml:space="preserve"> respecto </w:t>
      </w:r>
      <w:r w:rsidR="00573F00" w:rsidRPr="00B74199">
        <w:rPr>
          <w:rFonts w:cs="Arial"/>
          <w:sz w:val="26"/>
          <w:szCs w:val="26"/>
        </w:rPr>
        <w:t xml:space="preserve">a </w:t>
      </w:r>
      <w:r w:rsidRPr="00B74199">
        <w:rPr>
          <w:rFonts w:cs="Arial"/>
          <w:sz w:val="26"/>
          <w:szCs w:val="26"/>
        </w:rPr>
        <w:t>la falta de un régimen de convivencias provisional, ya había sido analizada y se concluyó que no procedía establecerlo ante la ausencia de un vínculo jurídico.</w:t>
      </w:r>
    </w:p>
    <w:p w14:paraId="1D7A6F41" w14:textId="77777777" w:rsidR="00911430" w:rsidRPr="00B74199" w:rsidRDefault="00911430" w:rsidP="00911430">
      <w:pPr>
        <w:pStyle w:val="corte4fondo"/>
        <w:ind w:firstLine="0"/>
        <w:rPr>
          <w:rFonts w:cs="Arial"/>
          <w:sz w:val="26"/>
          <w:szCs w:val="26"/>
        </w:rPr>
      </w:pPr>
    </w:p>
    <w:p w14:paraId="7D0AD95E" w14:textId="265DBC57" w:rsidR="00911430" w:rsidRPr="00B74199" w:rsidRDefault="00911430" w:rsidP="00911430">
      <w:pPr>
        <w:pStyle w:val="corte4fondo"/>
        <w:numPr>
          <w:ilvl w:val="0"/>
          <w:numId w:val="1"/>
        </w:numPr>
        <w:ind w:left="0" w:hanging="567"/>
        <w:rPr>
          <w:rFonts w:cs="Arial"/>
          <w:sz w:val="26"/>
          <w:szCs w:val="26"/>
        </w:rPr>
      </w:pPr>
      <w:r w:rsidRPr="00B74199">
        <w:rPr>
          <w:rFonts w:cs="Arial"/>
          <w:b/>
          <w:sz w:val="26"/>
          <w:szCs w:val="26"/>
        </w:rPr>
        <w:t xml:space="preserve">Recurso de revisión 2875/2025. </w:t>
      </w:r>
      <w:r w:rsidRPr="00B74199">
        <w:rPr>
          <w:rFonts w:cs="Arial"/>
          <w:sz w:val="26"/>
          <w:szCs w:val="26"/>
        </w:rPr>
        <w:t>En contra de la sentencia anterior,</w:t>
      </w:r>
      <w:r w:rsidRPr="00B74199">
        <w:rPr>
          <w:rFonts w:cs="Arial"/>
          <w:b/>
          <w:bCs/>
          <w:color w:val="EE0000"/>
          <w:sz w:val="26"/>
          <w:szCs w:val="26"/>
        </w:rPr>
        <w:t xml:space="preserve"> </w:t>
      </w:r>
      <w:r w:rsidR="00335C3F">
        <w:rPr>
          <w:rFonts w:cs="Arial"/>
          <w:b/>
          <w:bCs/>
          <w:color w:val="EE0000"/>
          <w:sz w:val="26"/>
          <w:szCs w:val="26"/>
        </w:rPr>
        <w:t>**********</w:t>
      </w:r>
      <w:r w:rsidRPr="00B74199">
        <w:rPr>
          <w:rFonts w:cs="Arial"/>
          <w:sz w:val="26"/>
          <w:szCs w:val="26"/>
        </w:rPr>
        <w:t>, por conducto de su autorizado, interpuso recurso de revisión por escrito presentado vía electrónica el veintinueve de abril de dos mil veinticinco; en síntesis, expresó lo siguiente:</w:t>
      </w:r>
    </w:p>
    <w:p w14:paraId="3C4E7AA9" w14:textId="77777777" w:rsidR="00667ED4" w:rsidRPr="00B74199" w:rsidRDefault="00667ED4" w:rsidP="00667ED4">
      <w:pPr>
        <w:pStyle w:val="corte4fondo"/>
        <w:ind w:firstLine="0"/>
        <w:rPr>
          <w:rFonts w:cs="Arial"/>
          <w:sz w:val="26"/>
          <w:szCs w:val="26"/>
          <w:lang w:val="es-ES"/>
        </w:rPr>
      </w:pPr>
    </w:p>
    <w:p w14:paraId="71521DFA" w14:textId="14E54BEE" w:rsidR="00667ED4" w:rsidRPr="00B74199" w:rsidRDefault="00667ED4" w:rsidP="00B213B6">
      <w:pPr>
        <w:pStyle w:val="corte4fondo"/>
        <w:numPr>
          <w:ilvl w:val="0"/>
          <w:numId w:val="10"/>
        </w:numPr>
        <w:rPr>
          <w:rFonts w:cs="Arial"/>
          <w:sz w:val="26"/>
          <w:szCs w:val="26"/>
          <w:lang w:val="es-ES"/>
        </w:rPr>
      </w:pPr>
      <w:r w:rsidRPr="00B74199">
        <w:rPr>
          <w:rFonts w:cs="Arial"/>
          <w:sz w:val="26"/>
          <w:szCs w:val="26"/>
          <w:lang w:val="es-ES"/>
        </w:rPr>
        <w:t xml:space="preserve">El tribunal colegiado interpretó el artículo 4º constitucional al señalar que la </w:t>
      </w:r>
      <w:proofErr w:type="spellStart"/>
      <w:r w:rsidRPr="00B74199">
        <w:rPr>
          <w:rFonts w:cs="Arial"/>
          <w:sz w:val="26"/>
          <w:szCs w:val="26"/>
          <w:lang w:val="es-ES"/>
        </w:rPr>
        <w:t>comaternidad</w:t>
      </w:r>
      <w:proofErr w:type="spellEnd"/>
      <w:r w:rsidRPr="00B74199">
        <w:rPr>
          <w:rFonts w:cs="Arial"/>
          <w:sz w:val="26"/>
          <w:szCs w:val="26"/>
          <w:lang w:val="es-ES"/>
        </w:rPr>
        <w:t xml:space="preserve"> debe estar vigente para que pueda reconocerse, de forma que implícitamente establece la caducidad de los lazos familiares</w:t>
      </w:r>
      <w:r w:rsidR="00B213B6" w:rsidRPr="00B74199">
        <w:rPr>
          <w:rFonts w:cs="Arial"/>
          <w:sz w:val="26"/>
          <w:szCs w:val="26"/>
          <w:lang w:val="es-ES"/>
        </w:rPr>
        <w:t>.</w:t>
      </w:r>
    </w:p>
    <w:p w14:paraId="50B7E0AF" w14:textId="77777777" w:rsidR="00B213B6" w:rsidRPr="00B74199" w:rsidRDefault="00B213B6" w:rsidP="00B213B6">
      <w:pPr>
        <w:pStyle w:val="corte4fondo"/>
        <w:ind w:left="720" w:firstLine="0"/>
        <w:rPr>
          <w:rFonts w:cs="Arial"/>
          <w:sz w:val="26"/>
          <w:szCs w:val="26"/>
          <w:lang w:val="es-ES"/>
        </w:rPr>
      </w:pPr>
    </w:p>
    <w:p w14:paraId="467E7FB0" w14:textId="39337C41" w:rsidR="00B213B6"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t>Se o</w:t>
      </w:r>
      <w:r w:rsidR="00667ED4" w:rsidRPr="00B74199">
        <w:rPr>
          <w:rFonts w:cs="Arial"/>
          <w:sz w:val="26"/>
          <w:szCs w:val="26"/>
          <w:lang w:val="es-ES"/>
        </w:rPr>
        <w:t>mitió el estudio sobre la discriminación al exigir mayores requisitos para que aplique la presunción de filiación</w:t>
      </w:r>
      <w:r w:rsidRPr="00B74199">
        <w:rPr>
          <w:rFonts w:cs="Arial"/>
          <w:sz w:val="26"/>
          <w:szCs w:val="26"/>
          <w:lang w:val="es-ES"/>
        </w:rPr>
        <w:t>.</w:t>
      </w:r>
    </w:p>
    <w:p w14:paraId="43E44499" w14:textId="77777777" w:rsidR="00B213B6" w:rsidRPr="00B74199" w:rsidRDefault="00B213B6" w:rsidP="00B213B6">
      <w:pPr>
        <w:pStyle w:val="Prrafodelista"/>
        <w:rPr>
          <w:rFonts w:cs="Arial"/>
          <w:sz w:val="26"/>
          <w:szCs w:val="26"/>
          <w:lang w:val="es-ES"/>
        </w:rPr>
      </w:pPr>
    </w:p>
    <w:p w14:paraId="16822E0C" w14:textId="163BC436" w:rsidR="00B213B6"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t xml:space="preserve">El </w:t>
      </w:r>
      <w:r w:rsidR="00632B83">
        <w:rPr>
          <w:rFonts w:cs="Arial"/>
          <w:sz w:val="26"/>
          <w:szCs w:val="26"/>
          <w:lang w:val="es-ES"/>
        </w:rPr>
        <w:t>t</w:t>
      </w:r>
      <w:r w:rsidRPr="00B74199">
        <w:rPr>
          <w:rFonts w:cs="Arial"/>
          <w:sz w:val="26"/>
          <w:szCs w:val="26"/>
          <w:lang w:val="es-ES"/>
        </w:rPr>
        <w:t xml:space="preserve">ribunal </w:t>
      </w:r>
      <w:r w:rsidR="00632B83">
        <w:rPr>
          <w:rFonts w:cs="Arial"/>
          <w:sz w:val="26"/>
          <w:szCs w:val="26"/>
          <w:lang w:val="es-ES"/>
        </w:rPr>
        <w:t>c</w:t>
      </w:r>
      <w:r w:rsidRPr="00B74199">
        <w:rPr>
          <w:rFonts w:cs="Arial"/>
          <w:sz w:val="26"/>
          <w:szCs w:val="26"/>
          <w:lang w:val="es-ES"/>
        </w:rPr>
        <w:t xml:space="preserve">olegiado </w:t>
      </w:r>
      <w:r w:rsidR="00667ED4" w:rsidRPr="00B74199">
        <w:rPr>
          <w:rFonts w:cs="Arial"/>
          <w:sz w:val="26"/>
          <w:szCs w:val="26"/>
          <w:lang w:val="es-ES"/>
        </w:rPr>
        <w:t>contravino jurisprudencia obligatoria en términos del artículo 217 de la Ley de Amparo porque no suplió la deficiencia de la queja, no hizo un control de constitucionalidad ni convencionalidad y no estudió los hechos y las pruebas que se vinculan con las personas menores de edad</w:t>
      </w:r>
      <w:r w:rsidRPr="00B74199">
        <w:rPr>
          <w:rFonts w:cs="Arial"/>
          <w:sz w:val="26"/>
          <w:szCs w:val="26"/>
          <w:lang w:val="es-ES"/>
        </w:rPr>
        <w:t>.</w:t>
      </w:r>
    </w:p>
    <w:p w14:paraId="0173B63C" w14:textId="77777777" w:rsidR="00B213B6" w:rsidRPr="00B74199" w:rsidRDefault="00B213B6" w:rsidP="00B213B6">
      <w:pPr>
        <w:pStyle w:val="Prrafodelista"/>
        <w:rPr>
          <w:rFonts w:cs="Arial"/>
          <w:sz w:val="26"/>
          <w:szCs w:val="26"/>
          <w:lang w:val="es-ES"/>
        </w:rPr>
      </w:pPr>
    </w:p>
    <w:p w14:paraId="79836EE9" w14:textId="77777777" w:rsidR="00B213B6"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lastRenderedPageBreak/>
        <w:t>S</w:t>
      </w:r>
      <w:r w:rsidR="00667ED4" w:rsidRPr="00B74199">
        <w:rPr>
          <w:rFonts w:cs="Arial"/>
          <w:sz w:val="26"/>
          <w:szCs w:val="26"/>
          <w:lang w:val="es-ES"/>
        </w:rPr>
        <w:t xml:space="preserve">e omitió estudiar los conceptos de violación en los que se reclamó que la legislación es </w:t>
      </w:r>
      <w:proofErr w:type="spellStart"/>
      <w:r w:rsidR="00667ED4" w:rsidRPr="00B74199">
        <w:rPr>
          <w:rFonts w:cs="Arial"/>
          <w:sz w:val="26"/>
          <w:szCs w:val="26"/>
          <w:lang w:val="es-ES"/>
        </w:rPr>
        <w:t>heteronormada</w:t>
      </w:r>
      <w:proofErr w:type="spellEnd"/>
      <w:r w:rsidR="00667ED4" w:rsidRPr="00B74199">
        <w:rPr>
          <w:rFonts w:cs="Arial"/>
          <w:sz w:val="26"/>
          <w:szCs w:val="26"/>
          <w:lang w:val="es-ES"/>
        </w:rPr>
        <w:t xml:space="preserve"> y hay discriminación por razón de género</w:t>
      </w:r>
      <w:r w:rsidRPr="00B74199">
        <w:rPr>
          <w:rFonts w:cs="Arial"/>
          <w:sz w:val="26"/>
          <w:szCs w:val="26"/>
          <w:lang w:val="es-ES"/>
        </w:rPr>
        <w:t>.</w:t>
      </w:r>
    </w:p>
    <w:p w14:paraId="5F508930" w14:textId="77777777" w:rsidR="00B213B6" w:rsidRPr="00B74199" w:rsidRDefault="00B213B6" w:rsidP="00B213B6">
      <w:pPr>
        <w:pStyle w:val="Prrafodelista"/>
        <w:rPr>
          <w:rFonts w:cs="Arial"/>
          <w:sz w:val="26"/>
          <w:szCs w:val="26"/>
          <w:lang w:val="es-ES"/>
        </w:rPr>
      </w:pPr>
    </w:p>
    <w:p w14:paraId="436AD2E1" w14:textId="77777777" w:rsidR="00B213B6"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t>N</w:t>
      </w:r>
      <w:r w:rsidR="00667ED4" w:rsidRPr="00B74199">
        <w:rPr>
          <w:rFonts w:cs="Arial"/>
          <w:sz w:val="26"/>
          <w:szCs w:val="26"/>
          <w:lang w:val="es-ES"/>
        </w:rPr>
        <w:t>o se expresaron las razones por las cuales consideró que la acción no era una investigación de paternidad</w:t>
      </w:r>
      <w:r w:rsidRPr="00B74199">
        <w:rPr>
          <w:rFonts w:cs="Arial"/>
          <w:sz w:val="26"/>
          <w:szCs w:val="26"/>
          <w:lang w:val="es-ES"/>
        </w:rPr>
        <w:t xml:space="preserve">. </w:t>
      </w:r>
    </w:p>
    <w:p w14:paraId="38037D7F" w14:textId="77777777" w:rsidR="00B213B6" w:rsidRPr="00B74199" w:rsidRDefault="00B213B6" w:rsidP="00B213B6">
      <w:pPr>
        <w:pStyle w:val="Prrafodelista"/>
        <w:rPr>
          <w:rFonts w:cs="Arial"/>
          <w:sz w:val="26"/>
          <w:szCs w:val="26"/>
          <w:lang w:val="es-ES"/>
        </w:rPr>
      </w:pPr>
    </w:p>
    <w:p w14:paraId="0193EE74" w14:textId="77777777" w:rsidR="00B213B6"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t>N</w:t>
      </w:r>
      <w:r w:rsidR="00667ED4" w:rsidRPr="00B74199">
        <w:rPr>
          <w:rFonts w:cs="Arial"/>
          <w:sz w:val="26"/>
          <w:szCs w:val="26"/>
          <w:lang w:val="es-ES"/>
        </w:rPr>
        <w:t>o explicó la sentencia a la niña de una forma acorde a su edad</w:t>
      </w:r>
      <w:r w:rsidRPr="00B74199">
        <w:rPr>
          <w:rFonts w:cs="Arial"/>
          <w:sz w:val="26"/>
          <w:szCs w:val="26"/>
          <w:lang w:val="es-ES"/>
        </w:rPr>
        <w:t xml:space="preserve">, y </w:t>
      </w:r>
    </w:p>
    <w:p w14:paraId="28EDD50B" w14:textId="77777777" w:rsidR="00B213B6" w:rsidRPr="00B74199" w:rsidRDefault="00B213B6" w:rsidP="00B213B6">
      <w:pPr>
        <w:pStyle w:val="Prrafodelista"/>
        <w:rPr>
          <w:rFonts w:cs="Arial"/>
          <w:sz w:val="26"/>
          <w:szCs w:val="26"/>
          <w:lang w:val="es-ES"/>
        </w:rPr>
      </w:pPr>
    </w:p>
    <w:p w14:paraId="3C7526B1" w14:textId="3AD64C03" w:rsidR="00667ED4" w:rsidRPr="00B74199" w:rsidRDefault="00B213B6" w:rsidP="00B213B6">
      <w:pPr>
        <w:pStyle w:val="corte4fondo"/>
        <w:numPr>
          <w:ilvl w:val="0"/>
          <w:numId w:val="10"/>
        </w:numPr>
        <w:rPr>
          <w:rFonts w:cs="Arial"/>
          <w:sz w:val="26"/>
          <w:szCs w:val="26"/>
          <w:lang w:val="es-ES"/>
        </w:rPr>
      </w:pPr>
      <w:r w:rsidRPr="00B74199">
        <w:rPr>
          <w:rFonts w:cs="Arial"/>
          <w:sz w:val="26"/>
          <w:szCs w:val="26"/>
          <w:lang w:val="es-ES"/>
        </w:rPr>
        <w:t>O</w:t>
      </w:r>
      <w:r w:rsidR="00667ED4" w:rsidRPr="00B74199">
        <w:rPr>
          <w:rFonts w:cs="Arial"/>
          <w:sz w:val="26"/>
          <w:szCs w:val="26"/>
          <w:lang w:val="es-ES"/>
        </w:rPr>
        <w:t>mitió estudiar que la madre biológica se encargó de que la niña olvidara a la quejosa.</w:t>
      </w:r>
    </w:p>
    <w:p w14:paraId="6429B4A7" w14:textId="77777777" w:rsidR="00667ED4" w:rsidRPr="00B74199" w:rsidRDefault="00667ED4" w:rsidP="00667ED4">
      <w:pPr>
        <w:pStyle w:val="corte4fondo"/>
        <w:ind w:firstLine="0"/>
        <w:rPr>
          <w:rFonts w:cs="Arial"/>
          <w:sz w:val="26"/>
          <w:szCs w:val="26"/>
        </w:rPr>
      </w:pPr>
    </w:p>
    <w:bookmarkEnd w:id="1"/>
    <w:p w14:paraId="3C6DF530" w14:textId="77777777" w:rsidR="00911430" w:rsidRPr="00B74199" w:rsidRDefault="00911430" w:rsidP="00911430">
      <w:pPr>
        <w:pStyle w:val="corte4fondo"/>
        <w:spacing w:line="240" w:lineRule="auto"/>
        <w:rPr>
          <w:rFonts w:ascii="Arial Narrow" w:hAnsi="Arial Narrow" w:cs="Arial"/>
          <w:sz w:val="24"/>
          <w:szCs w:val="24"/>
        </w:rPr>
      </w:pPr>
    </w:p>
    <w:p w14:paraId="616406A8" w14:textId="7D02FFFD" w:rsidR="00911430" w:rsidRPr="00B74199" w:rsidRDefault="00911430" w:rsidP="00911430">
      <w:pPr>
        <w:pStyle w:val="corte4fondo"/>
        <w:numPr>
          <w:ilvl w:val="0"/>
          <w:numId w:val="1"/>
        </w:numPr>
        <w:ind w:left="0" w:hanging="567"/>
        <w:rPr>
          <w:rFonts w:cs="Arial"/>
          <w:sz w:val="26"/>
          <w:szCs w:val="26"/>
          <w:lang w:val="es-ES"/>
        </w:rPr>
      </w:pPr>
      <w:r w:rsidRPr="00B74199">
        <w:rPr>
          <w:rFonts w:cs="Arial"/>
          <w:b/>
          <w:bCs/>
          <w:sz w:val="26"/>
          <w:szCs w:val="26"/>
          <w:lang w:val="es-ES"/>
        </w:rPr>
        <w:t xml:space="preserve">Trámite ante esta Suprema Corte de Justicia de la Nación. </w:t>
      </w:r>
      <w:r w:rsidRPr="00B74199">
        <w:rPr>
          <w:rFonts w:cs="Arial"/>
          <w:sz w:val="26"/>
          <w:szCs w:val="26"/>
          <w:lang w:val="es-ES"/>
        </w:rPr>
        <w:t xml:space="preserve">Por auto de doce de mayo de dos mil veinticinco, la persona titular de la Presidencia de esta Suprema Corte de Justicia de la Nación registró el recurso </w:t>
      </w:r>
      <w:r w:rsidR="00DA2874" w:rsidRPr="00B74199">
        <w:rPr>
          <w:rFonts w:cs="Arial"/>
          <w:sz w:val="26"/>
          <w:szCs w:val="26"/>
          <w:lang w:val="es-ES"/>
        </w:rPr>
        <w:t xml:space="preserve">de revisión </w:t>
      </w:r>
      <w:r w:rsidRPr="00B74199">
        <w:rPr>
          <w:rFonts w:cs="Arial"/>
          <w:sz w:val="26"/>
          <w:szCs w:val="26"/>
          <w:lang w:val="es-ES"/>
        </w:rPr>
        <w:t>con el número</w:t>
      </w:r>
      <w:r w:rsidRPr="00B74199">
        <w:rPr>
          <w:rFonts w:cs="Arial"/>
          <w:b/>
          <w:bCs/>
          <w:sz w:val="26"/>
          <w:szCs w:val="26"/>
          <w:lang w:val="es-ES"/>
        </w:rPr>
        <w:t xml:space="preserve"> 2875/2025</w:t>
      </w:r>
      <w:r w:rsidRPr="00B74199">
        <w:rPr>
          <w:sz w:val="26"/>
          <w:szCs w:val="26"/>
          <w:lang w:val="es-ES"/>
        </w:rPr>
        <w:t xml:space="preserve">, lo admitió y ordenó su turno </w:t>
      </w:r>
      <w:r w:rsidRPr="00B74199">
        <w:rPr>
          <w:rFonts w:cs="Arial"/>
          <w:sz w:val="26"/>
          <w:szCs w:val="26"/>
          <w:lang w:val="es-ES" w:eastAsia="es-ES"/>
        </w:rPr>
        <w:t xml:space="preserve">para la elaboración del proyecto respectivo al Ministro Jorge Mario Pardo Rebolledo, así como el envío de los autos a </w:t>
      </w:r>
      <w:r w:rsidR="005119AA">
        <w:rPr>
          <w:rFonts w:cs="Arial"/>
          <w:sz w:val="26"/>
          <w:szCs w:val="26"/>
          <w:lang w:val="es-ES" w:eastAsia="es-ES"/>
        </w:rPr>
        <w:t xml:space="preserve">la </w:t>
      </w:r>
      <w:r w:rsidRPr="00B74199">
        <w:rPr>
          <w:rFonts w:cs="Arial"/>
          <w:sz w:val="26"/>
          <w:szCs w:val="26"/>
          <w:lang w:val="es-ES" w:eastAsia="es-ES"/>
        </w:rPr>
        <w:t xml:space="preserve">Primera Sala </w:t>
      </w:r>
      <w:r w:rsidR="005119AA">
        <w:rPr>
          <w:rFonts w:cs="Arial"/>
          <w:sz w:val="26"/>
          <w:szCs w:val="26"/>
          <w:lang w:val="es-ES" w:eastAsia="es-ES"/>
        </w:rPr>
        <w:t>en</w:t>
      </w:r>
      <w:r w:rsidRPr="00B74199">
        <w:rPr>
          <w:rFonts w:cs="Arial"/>
          <w:sz w:val="26"/>
          <w:szCs w:val="26"/>
          <w:lang w:val="es-ES" w:eastAsia="es-ES"/>
        </w:rPr>
        <w:t xml:space="preserve"> la </w:t>
      </w:r>
      <w:r w:rsidR="00DA2874" w:rsidRPr="00B74199">
        <w:rPr>
          <w:rFonts w:cs="Arial"/>
          <w:sz w:val="26"/>
          <w:szCs w:val="26"/>
          <w:lang w:val="es-ES" w:eastAsia="es-ES"/>
        </w:rPr>
        <w:t>que</w:t>
      </w:r>
      <w:r w:rsidR="005119AA">
        <w:rPr>
          <w:rFonts w:cs="Arial"/>
          <w:sz w:val="26"/>
          <w:szCs w:val="26"/>
          <w:lang w:val="es-ES" w:eastAsia="es-ES"/>
        </w:rPr>
        <w:t xml:space="preserve"> se</w:t>
      </w:r>
      <w:r w:rsidR="00DA2874" w:rsidRPr="00B74199">
        <w:rPr>
          <w:rFonts w:cs="Arial"/>
          <w:sz w:val="26"/>
          <w:szCs w:val="26"/>
          <w:lang w:val="es-ES" w:eastAsia="es-ES"/>
        </w:rPr>
        <w:t xml:space="preserve"> encontraba adscrito</w:t>
      </w:r>
      <w:r w:rsidRPr="00B74199">
        <w:rPr>
          <w:rFonts w:cs="Arial"/>
          <w:sz w:val="26"/>
          <w:szCs w:val="26"/>
          <w:lang w:val="es-ES" w:eastAsia="es-ES"/>
        </w:rPr>
        <w:t>, a fin de que se dictara el acuerdo de radicación correspondiente.</w:t>
      </w:r>
    </w:p>
    <w:p w14:paraId="55603B2A" w14:textId="77777777" w:rsidR="00911430" w:rsidRPr="00B74199" w:rsidRDefault="00911430" w:rsidP="00911430">
      <w:pPr>
        <w:pStyle w:val="corte4fondo"/>
        <w:ind w:firstLine="0"/>
        <w:rPr>
          <w:rFonts w:cs="Arial"/>
          <w:sz w:val="26"/>
          <w:szCs w:val="26"/>
        </w:rPr>
      </w:pPr>
    </w:p>
    <w:p w14:paraId="67CA95D1" w14:textId="6306AC60" w:rsidR="00911430" w:rsidRPr="00B74199" w:rsidRDefault="00911430" w:rsidP="00911430">
      <w:pPr>
        <w:pStyle w:val="corte4fondo"/>
        <w:numPr>
          <w:ilvl w:val="0"/>
          <w:numId w:val="1"/>
        </w:numPr>
        <w:ind w:left="0" w:hanging="567"/>
        <w:rPr>
          <w:rFonts w:cs="Arial"/>
          <w:sz w:val="26"/>
          <w:szCs w:val="26"/>
          <w:lang w:val="es-ES"/>
        </w:rPr>
      </w:pPr>
      <w:r w:rsidRPr="00B74199">
        <w:rPr>
          <w:rFonts w:cs="Arial"/>
          <w:sz w:val="26"/>
          <w:szCs w:val="26"/>
          <w:lang w:val="es-ES"/>
        </w:rPr>
        <w:t xml:space="preserve">Por acuerdo dieciocho de junio de dos mil veinticinco, la entonces Ministra Presidenta </w:t>
      </w:r>
      <w:r w:rsidR="00407F23" w:rsidRPr="00B74199">
        <w:rPr>
          <w:rFonts w:cs="Arial"/>
          <w:sz w:val="26"/>
          <w:szCs w:val="26"/>
          <w:lang w:val="es-ES"/>
        </w:rPr>
        <w:t xml:space="preserve">de </w:t>
      </w:r>
      <w:r w:rsidRPr="00B74199">
        <w:rPr>
          <w:rFonts w:cs="Arial"/>
          <w:sz w:val="26"/>
          <w:szCs w:val="26"/>
          <w:lang w:val="es-ES"/>
        </w:rPr>
        <w:t>la extinta Primera Sala dispuso el avocamiento del asunto, y ordenó el envío de los autos al Ministro Ponente, para la elaboración del proyecto de resolución correspondiente.</w:t>
      </w:r>
    </w:p>
    <w:p w14:paraId="61E271C7" w14:textId="77777777" w:rsidR="00911430" w:rsidRPr="00B74199" w:rsidRDefault="00911430" w:rsidP="00911430">
      <w:pPr>
        <w:pStyle w:val="Prrafodelista"/>
        <w:rPr>
          <w:rFonts w:cs="Arial"/>
          <w:sz w:val="26"/>
          <w:szCs w:val="26"/>
        </w:rPr>
      </w:pPr>
    </w:p>
    <w:p w14:paraId="4733CCFD" w14:textId="5AA7EC23" w:rsidR="00911430" w:rsidRPr="00B74199" w:rsidRDefault="00911430" w:rsidP="00911430">
      <w:pPr>
        <w:pStyle w:val="corte4fondo"/>
        <w:numPr>
          <w:ilvl w:val="0"/>
          <w:numId w:val="1"/>
        </w:numPr>
        <w:ind w:left="0" w:hanging="567"/>
        <w:rPr>
          <w:rFonts w:cs="Arial"/>
          <w:sz w:val="26"/>
          <w:szCs w:val="26"/>
          <w:lang w:val="es-ES"/>
        </w:rPr>
      </w:pPr>
      <w:r w:rsidRPr="00B74199">
        <w:rPr>
          <w:rFonts w:cs="Arial"/>
          <w:sz w:val="26"/>
          <w:szCs w:val="26"/>
          <w:lang w:val="es-ES"/>
        </w:rPr>
        <w:t xml:space="preserve">Por oficio presentado vía electrónica el veinticuatro de junio de dos mil veinticinco, </w:t>
      </w:r>
      <w:r w:rsidR="005119AA">
        <w:rPr>
          <w:rFonts w:cs="Arial"/>
          <w:sz w:val="26"/>
          <w:szCs w:val="26"/>
          <w:lang w:val="es-ES"/>
        </w:rPr>
        <w:t xml:space="preserve">la </w:t>
      </w:r>
      <w:r w:rsidRPr="00B74199">
        <w:rPr>
          <w:rFonts w:cs="Arial"/>
          <w:sz w:val="26"/>
          <w:szCs w:val="26"/>
          <w:lang w:val="es-ES"/>
        </w:rPr>
        <w:t>Agente del Ministerio Público de la Federación adscrita, formuló la intervención ministeria</w:t>
      </w:r>
      <w:r w:rsidR="007828F6" w:rsidRPr="00B74199">
        <w:rPr>
          <w:rFonts w:cs="Arial"/>
          <w:sz w:val="26"/>
          <w:szCs w:val="26"/>
          <w:lang w:val="es-ES"/>
        </w:rPr>
        <w:t>l</w:t>
      </w:r>
      <w:r w:rsidRPr="00B74199">
        <w:rPr>
          <w:rFonts w:cs="Arial"/>
          <w:sz w:val="26"/>
          <w:szCs w:val="26"/>
          <w:lang w:val="es-ES"/>
        </w:rPr>
        <w:t>,</w:t>
      </w:r>
      <w:r w:rsidR="007828F6" w:rsidRPr="00B74199">
        <w:rPr>
          <w:rFonts w:cs="Arial"/>
          <w:sz w:val="26"/>
          <w:szCs w:val="26"/>
          <w:lang w:val="es-ES"/>
        </w:rPr>
        <w:t xml:space="preserve"> </w:t>
      </w:r>
      <w:r w:rsidR="00C9426E" w:rsidRPr="00B74199">
        <w:rPr>
          <w:rFonts w:cs="Arial"/>
          <w:sz w:val="26"/>
          <w:szCs w:val="26"/>
          <w:lang w:val="es-ES"/>
        </w:rPr>
        <w:t>y mediante</w:t>
      </w:r>
      <w:r w:rsidRPr="00B74199">
        <w:rPr>
          <w:rFonts w:cs="Arial"/>
          <w:sz w:val="26"/>
          <w:szCs w:val="26"/>
          <w:lang w:val="es-ES"/>
        </w:rPr>
        <w:t xml:space="preserve"> auto de veinticinco de junio siguiente, la entonces Ministra Presidenta de la extinta Primera Sala tuvo por presentadas las manifestaciones, las agregó al expediente y ordenó el envío de los autos al Ministro Ponente. </w:t>
      </w:r>
    </w:p>
    <w:p w14:paraId="294BDCC1" w14:textId="77777777" w:rsidR="00911430" w:rsidRPr="00B74199" w:rsidRDefault="00911430" w:rsidP="00911430">
      <w:pPr>
        <w:pStyle w:val="Prrafodelista"/>
        <w:rPr>
          <w:rFonts w:cs="Arial"/>
          <w:sz w:val="26"/>
          <w:szCs w:val="26"/>
        </w:rPr>
      </w:pPr>
    </w:p>
    <w:p w14:paraId="5E609F98" w14:textId="3410E8DA" w:rsidR="00911430" w:rsidRPr="00B74199" w:rsidRDefault="00911430" w:rsidP="00911430">
      <w:pPr>
        <w:pStyle w:val="corte4fondo"/>
        <w:numPr>
          <w:ilvl w:val="0"/>
          <w:numId w:val="1"/>
        </w:numPr>
        <w:ind w:left="0" w:hanging="567"/>
        <w:rPr>
          <w:rFonts w:cs="Arial"/>
          <w:sz w:val="26"/>
          <w:szCs w:val="26"/>
          <w:lang w:val="es-ES"/>
        </w:rPr>
      </w:pPr>
      <w:r w:rsidRPr="00B74199">
        <w:rPr>
          <w:rFonts w:cs="Arial"/>
          <w:sz w:val="26"/>
          <w:szCs w:val="26"/>
          <w:lang w:val="es-ES"/>
        </w:rPr>
        <w:t xml:space="preserve">Por acuerdo de </w:t>
      </w:r>
      <w:r w:rsidR="00D55F3A">
        <w:rPr>
          <w:rFonts w:cs="Arial"/>
          <w:sz w:val="26"/>
          <w:szCs w:val="26"/>
          <w:lang w:val="es-ES"/>
        </w:rPr>
        <w:t>dos</w:t>
      </w:r>
      <w:r w:rsidRPr="00B74199">
        <w:rPr>
          <w:rFonts w:cs="Arial"/>
          <w:sz w:val="26"/>
          <w:szCs w:val="26"/>
          <w:lang w:val="es-ES"/>
        </w:rPr>
        <w:t xml:space="preserve"> de septiembre de dos mil veinticinco, el asunto fue radicado en la Ponencia de la Ministra María Estela Ríos González para la elaboración del proyecto respectivo; lo anterior, </w:t>
      </w:r>
      <w:r w:rsidR="00DA2874" w:rsidRPr="00B74199">
        <w:rPr>
          <w:rFonts w:cs="Arial"/>
          <w:sz w:val="26"/>
          <w:szCs w:val="26"/>
          <w:lang w:val="es-ES"/>
        </w:rPr>
        <w:t>conforme al</w:t>
      </w:r>
      <w:r w:rsidRPr="00B74199">
        <w:rPr>
          <w:rFonts w:cs="Arial"/>
          <w:sz w:val="26"/>
          <w:szCs w:val="26"/>
          <w:lang w:val="es-ES"/>
        </w:rPr>
        <w:t xml:space="preserve"> sexto transitorio del Acuerdo General 1/2025 </w:t>
      </w:r>
      <w:r w:rsidR="00D55F3A">
        <w:rPr>
          <w:rFonts w:cs="Arial"/>
          <w:sz w:val="26"/>
          <w:szCs w:val="26"/>
          <w:lang w:val="es-ES"/>
        </w:rPr>
        <w:t xml:space="preserve">(12ª.) </w:t>
      </w:r>
      <w:r w:rsidRPr="00B74199">
        <w:rPr>
          <w:rFonts w:cs="Arial"/>
          <w:sz w:val="26"/>
          <w:szCs w:val="26"/>
          <w:lang w:val="es-ES"/>
        </w:rPr>
        <w:t>de este Pleno.</w:t>
      </w:r>
    </w:p>
    <w:p w14:paraId="3BD76EFF" w14:textId="77777777" w:rsidR="00911430" w:rsidRDefault="00911430" w:rsidP="00911430">
      <w:pPr>
        <w:pStyle w:val="corte4fondo"/>
        <w:ind w:firstLine="0"/>
        <w:rPr>
          <w:rFonts w:eastAsiaTheme="minorHAnsi" w:cs="Arial"/>
          <w:b/>
          <w:sz w:val="26"/>
          <w:szCs w:val="26"/>
          <w:lang w:val="es-MX" w:eastAsia="en-US"/>
        </w:rPr>
      </w:pPr>
    </w:p>
    <w:p w14:paraId="3CC41C9B" w14:textId="77777777" w:rsidR="00335C3F" w:rsidRDefault="00335C3F" w:rsidP="00911430">
      <w:pPr>
        <w:pStyle w:val="corte4fondo"/>
        <w:ind w:firstLine="0"/>
        <w:rPr>
          <w:rFonts w:eastAsiaTheme="minorHAnsi" w:cs="Arial"/>
          <w:b/>
          <w:sz w:val="26"/>
          <w:szCs w:val="26"/>
          <w:lang w:val="es-MX" w:eastAsia="en-US"/>
        </w:rPr>
      </w:pPr>
    </w:p>
    <w:p w14:paraId="36445289" w14:textId="77777777" w:rsidR="00335C3F" w:rsidRPr="00B74199" w:rsidRDefault="00335C3F" w:rsidP="00911430">
      <w:pPr>
        <w:pStyle w:val="corte4fondo"/>
        <w:ind w:firstLine="0"/>
        <w:rPr>
          <w:rFonts w:eastAsiaTheme="minorHAnsi" w:cs="Arial"/>
          <w:b/>
          <w:sz w:val="26"/>
          <w:szCs w:val="26"/>
          <w:lang w:val="es-MX" w:eastAsia="en-US"/>
        </w:rPr>
      </w:pPr>
    </w:p>
    <w:p w14:paraId="52CA123D" w14:textId="77777777" w:rsidR="00911430" w:rsidRPr="00B74199" w:rsidRDefault="00911430" w:rsidP="00911430">
      <w:pPr>
        <w:pStyle w:val="corte4fondo"/>
        <w:numPr>
          <w:ilvl w:val="0"/>
          <w:numId w:val="3"/>
        </w:numPr>
        <w:tabs>
          <w:tab w:val="left" w:pos="567"/>
        </w:tabs>
        <w:jc w:val="center"/>
        <w:rPr>
          <w:rFonts w:cs="Arial"/>
          <w:sz w:val="26"/>
          <w:szCs w:val="26"/>
        </w:rPr>
      </w:pPr>
      <w:r w:rsidRPr="00B74199">
        <w:rPr>
          <w:rFonts w:eastAsiaTheme="minorHAnsi" w:cs="Arial"/>
          <w:b/>
          <w:sz w:val="26"/>
          <w:szCs w:val="26"/>
          <w:lang w:val="es-MX" w:eastAsia="en-US"/>
        </w:rPr>
        <w:lastRenderedPageBreak/>
        <w:t>COMPETENCIA</w:t>
      </w:r>
    </w:p>
    <w:p w14:paraId="2D2A93B1" w14:textId="77777777" w:rsidR="00911430" w:rsidRPr="00B74199" w:rsidRDefault="00911430" w:rsidP="00911430">
      <w:pPr>
        <w:pStyle w:val="corte4fondo"/>
        <w:ind w:left="1080" w:firstLine="0"/>
        <w:rPr>
          <w:rFonts w:cs="Arial"/>
          <w:sz w:val="26"/>
          <w:szCs w:val="26"/>
        </w:rPr>
      </w:pPr>
    </w:p>
    <w:p w14:paraId="5570A57F" w14:textId="77777777" w:rsidR="00911430" w:rsidRPr="00B74199" w:rsidRDefault="00911430" w:rsidP="00911430">
      <w:pPr>
        <w:pStyle w:val="corte4fondo"/>
        <w:numPr>
          <w:ilvl w:val="0"/>
          <w:numId w:val="1"/>
        </w:numPr>
        <w:ind w:left="0" w:hanging="567"/>
        <w:rPr>
          <w:rFonts w:cs="Arial"/>
          <w:sz w:val="26"/>
          <w:szCs w:val="26"/>
        </w:rPr>
      </w:pPr>
      <w:r w:rsidRPr="00B74199">
        <w:rPr>
          <w:rFonts w:eastAsia="Arial" w:cs="Arial"/>
          <w:color w:val="000000" w:themeColor="text1"/>
          <w:sz w:val="26"/>
          <w:szCs w:val="26"/>
          <w:lang w:val="es-ES"/>
        </w:rPr>
        <w:t>El Tribunal Pleno de esta Suprema Corte de Justicia de la Nación es legalmente competente para conocer de este recurso de revisión en términos de lo dispuesto en los artículos 107</w:t>
      </w:r>
      <w:r w:rsidRPr="00B74199">
        <w:rPr>
          <w:rStyle w:val="Refdenotaalpie"/>
          <w:rFonts w:eastAsia="Arial"/>
          <w:color w:val="000000" w:themeColor="text1"/>
          <w:sz w:val="26"/>
          <w:szCs w:val="26"/>
          <w:lang w:val="es-ES"/>
        </w:rPr>
        <w:footnoteReference w:id="4"/>
      </w:r>
      <w:r w:rsidRPr="00B74199">
        <w:rPr>
          <w:rFonts w:eastAsia="Arial" w:cs="Arial"/>
          <w:color w:val="000000" w:themeColor="text1"/>
          <w:sz w:val="26"/>
          <w:szCs w:val="26"/>
          <w:lang w:val="es-ES"/>
        </w:rPr>
        <w:t>, fracción IX, de la Constitución Política de los Estados Unidos Mexicanos; 81</w:t>
      </w:r>
      <w:r w:rsidRPr="00B74199">
        <w:rPr>
          <w:rStyle w:val="Refdenotaalpie"/>
          <w:rFonts w:eastAsia="Arial"/>
          <w:color w:val="000000" w:themeColor="text1"/>
          <w:sz w:val="26"/>
          <w:szCs w:val="26"/>
          <w:lang w:val="es-ES"/>
        </w:rPr>
        <w:footnoteReference w:id="5"/>
      </w:r>
      <w:r w:rsidRPr="00B74199">
        <w:rPr>
          <w:rFonts w:eastAsia="Arial" w:cs="Arial"/>
          <w:color w:val="000000" w:themeColor="text1"/>
          <w:sz w:val="26"/>
          <w:szCs w:val="26"/>
          <w:lang w:val="es-ES"/>
        </w:rPr>
        <w:t>, fracción II y 96</w:t>
      </w:r>
      <w:r w:rsidRPr="00B74199">
        <w:rPr>
          <w:rStyle w:val="Refdenotaalpie"/>
          <w:rFonts w:eastAsia="Arial"/>
          <w:color w:val="000000" w:themeColor="text1"/>
          <w:sz w:val="26"/>
          <w:szCs w:val="26"/>
          <w:lang w:val="es-ES"/>
        </w:rPr>
        <w:footnoteReference w:id="6"/>
      </w:r>
      <w:r w:rsidRPr="00B74199">
        <w:rPr>
          <w:rFonts w:eastAsia="Arial" w:cs="Arial"/>
          <w:color w:val="000000" w:themeColor="text1"/>
          <w:sz w:val="26"/>
          <w:szCs w:val="26"/>
          <w:lang w:val="es-ES"/>
        </w:rPr>
        <w:t>, de la Ley de Amparo; y, 16, fracción IV, de la Ley Orgánica del Poder Judicial de la Federación</w:t>
      </w:r>
      <w:r w:rsidRPr="00B74199">
        <w:rPr>
          <w:rStyle w:val="Refdenotaalpie"/>
          <w:rFonts w:eastAsia="Arial"/>
          <w:color w:val="000000" w:themeColor="text1"/>
          <w:sz w:val="26"/>
          <w:szCs w:val="26"/>
          <w:lang w:val="es-ES"/>
        </w:rPr>
        <w:footnoteReference w:id="7"/>
      </w:r>
      <w:r w:rsidRPr="00B74199">
        <w:rPr>
          <w:rFonts w:eastAsia="Arial" w:cs="Arial"/>
          <w:color w:val="000000" w:themeColor="text1"/>
          <w:sz w:val="26"/>
          <w:szCs w:val="26"/>
          <w:lang w:val="es-ES"/>
        </w:rPr>
        <w:t xml:space="preserve">. </w:t>
      </w:r>
    </w:p>
    <w:p w14:paraId="2A48A259" w14:textId="77777777" w:rsidR="00AA6895" w:rsidRPr="00B74199" w:rsidRDefault="00AA6895" w:rsidP="00911430">
      <w:pPr>
        <w:pStyle w:val="corte4fondo"/>
        <w:ind w:firstLine="0"/>
        <w:rPr>
          <w:rFonts w:cs="Arial"/>
          <w:sz w:val="26"/>
          <w:szCs w:val="26"/>
        </w:rPr>
      </w:pPr>
    </w:p>
    <w:p w14:paraId="0CC2C33C" w14:textId="77777777" w:rsidR="00911430" w:rsidRPr="00B74199" w:rsidRDefault="00911430" w:rsidP="00911430">
      <w:pPr>
        <w:pStyle w:val="corte4fondo"/>
        <w:numPr>
          <w:ilvl w:val="0"/>
          <w:numId w:val="3"/>
        </w:numPr>
        <w:tabs>
          <w:tab w:val="left" w:pos="567"/>
        </w:tabs>
        <w:ind w:left="0" w:firstLine="0"/>
        <w:jc w:val="center"/>
        <w:rPr>
          <w:rFonts w:cs="Arial"/>
          <w:b/>
          <w:sz w:val="26"/>
          <w:szCs w:val="26"/>
        </w:rPr>
      </w:pPr>
      <w:r w:rsidRPr="00B74199">
        <w:rPr>
          <w:rFonts w:cs="Arial"/>
          <w:b/>
          <w:sz w:val="26"/>
          <w:szCs w:val="26"/>
        </w:rPr>
        <w:t>OPORTUNIDAD</w:t>
      </w:r>
    </w:p>
    <w:p w14:paraId="26C89443" w14:textId="77777777" w:rsidR="00911430" w:rsidRPr="00B74199" w:rsidRDefault="00911430" w:rsidP="00911430">
      <w:pPr>
        <w:pStyle w:val="corte4fondo"/>
        <w:rPr>
          <w:rFonts w:cs="Arial"/>
          <w:b/>
          <w:sz w:val="26"/>
          <w:szCs w:val="26"/>
        </w:rPr>
      </w:pPr>
    </w:p>
    <w:p w14:paraId="6BF2B57C" w14:textId="15798BCD" w:rsidR="00911430" w:rsidRPr="00B74199" w:rsidRDefault="00911430" w:rsidP="00DA2874">
      <w:pPr>
        <w:pStyle w:val="corte4fondo"/>
        <w:numPr>
          <w:ilvl w:val="0"/>
          <w:numId w:val="1"/>
        </w:numPr>
        <w:ind w:left="0" w:hanging="567"/>
        <w:rPr>
          <w:rFonts w:cs="Arial"/>
          <w:sz w:val="26"/>
          <w:szCs w:val="26"/>
        </w:rPr>
      </w:pPr>
      <w:r w:rsidRPr="00B74199">
        <w:rPr>
          <w:rFonts w:cs="Arial"/>
          <w:sz w:val="26"/>
          <w:szCs w:val="26"/>
          <w:lang w:eastAsia="es-ES"/>
        </w:rPr>
        <w:t xml:space="preserve">La sentencia de amparo </w:t>
      </w:r>
      <w:r w:rsidRPr="00B74199">
        <w:rPr>
          <w:rFonts w:cs="Arial"/>
          <w:b/>
          <w:bCs/>
          <w:sz w:val="26"/>
          <w:szCs w:val="26"/>
          <w:lang w:eastAsia="es-ES"/>
        </w:rPr>
        <w:t xml:space="preserve">se notificó por lista </w:t>
      </w:r>
      <w:r w:rsidRPr="00B74199">
        <w:rPr>
          <w:rFonts w:cs="Arial"/>
          <w:sz w:val="26"/>
          <w:szCs w:val="26"/>
          <w:lang w:eastAsia="es-ES"/>
        </w:rPr>
        <w:t>a las partes el</w:t>
      </w:r>
      <w:r w:rsidRPr="00B74199">
        <w:rPr>
          <w:rFonts w:cs="Arial"/>
          <w:b/>
          <w:bCs/>
          <w:sz w:val="26"/>
          <w:szCs w:val="26"/>
          <w:lang w:eastAsia="es-ES"/>
        </w:rPr>
        <w:t xml:space="preserve"> quince de abril de dos mil veinticinco</w:t>
      </w:r>
      <w:r w:rsidRPr="00B74199">
        <w:rPr>
          <w:rFonts w:cs="Arial"/>
          <w:sz w:val="26"/>
          <w:szCs w:val="26"/>
          <w:lang w:eastAsia="es-ES"/>
        </w:rPr>
        <w:t xml:space="preserve">, la cual surtió efectos el día </w:t>
      </w:r>
      <w:r w:rsidR="00022181">
        <w:rPr>
          <w:rFonts w:cs="Arial"/>
          <w:sz w:val="26"/>
          <w:szCs w:val="26"/>
          <w:lang w:eastAsia="es-ES"/>
        </w:rPr>
        <w:t>veintiuno</w:t>
      </w:r>
      <w:r w:rsidRPr="00B74199">
        <w:rPr>
          <w:rFonts w:cs="Arial"/>
          <w:sz w:val="26"/>
          <w:szCs w:val="26"/>
          <w:lang w:eastAsia="es-ES"/>
        </w:rPr>
        <w:t xml:space="preserve"> siguiente.</w:t>
      </w:r>
      <w:r w:rsidRPr="00B74199">
        <w:rPr>
          <w:rFonts w:cs="Arial"/>
          <w:sz w:val="26"/>
          <w:szCs w:val="26"/>
        </w:rPr>
        <w:t xml:space="preserve"> </w:t>
      </w:r>
      <w:r w:rsidRPr="00B74199">
        <w:rPr>
          <w:rFonts w:cs="Arial"/>
          <w:sz w:val="26"/>
          <w:szCs w:val="26"/>
          <w:lang w:eastAsia="es-ES"/>
        </w:rPr>
        <w:t xml:space="preserve">Así, el plazo de diez días que señala el artículo 86 de la Ley de Amparo, corrió del </w:t>
      </w:r>
      <w:r w:rsidR="00675E31">
        <w:rPr>
          <w:rFonts w:cs="Arial"/>
          <w:b/>
          <w:sz w:val="26"/>
          <w:szCs w:val="26"/>
          <w:lang w:eastAsia="es-ES"/>
        </w:rPr>
        <w:t>veintidós de abril al siete de mayo</w:t>
      </w:r>
      <w:r w:rsidRPr="00B74199">
        <w:rPr>
          <w:rFonts w:cs="Arial"/>
          <w:b/>
          <w:sz w:val="26"/>
          <w:szCs w:val="26"/>
          <w:lang w:eastAsia="es-ES"/>
        </w:rPr>
        <w:t xml:space="preserve"> de dos mil veinticinco</w:t>
      </w:r>
      <w:r w:rsidRPr="00B74199">
        <w:rPr>
          <w:rFonts w:cs="Arial"/>
          <w:sz w:val="26"/>
          <w:szCs w:val="26"/>
          <w:lang w:eastAsia="es-ES"/>
        </w:rPr>
        <w:t xml:space="preserve">, sin contar los días </w:t>
      </w:r>
      <w:r w:rsidR="00137696" w:rsidRPr="00137696">
        <w:rPr>
          <w:rFonts w:cs="Arial"/>
          <w:b/>
          <w:bCs/>
          <w:sz w:val="26"/>
          <w:szCs w:val="26"/>
          <w:lang w:eastAsia="es-ES"/>
        </w:rPr>
        <w:t>diecinueve, veinte, veintiséis y veintisiete de abril, tres y cuatro de mayo por corresponder a sábados y domingos así como dieciséis, diecisiete, y dieciocho de abril, primero y cinco de mayo por ser días inhábiles</w:t>
      </w:r>
      <w:r w:rsidR="00137696" w:rsidRPr="00137696">
        <w:rPr>
          <w:rFonts w:cs="Arial"/>
          <w:sz w:val="26"/>
          <w:szCs w:val="26"/>
          <w:lang w:eastAsia="es-ES"/>
        </w:rPr>
        <w:t xml:space="preserve"> en términos</w:t>
      </w:r>
      <w:r w:rsidRPr="00B74199">
        <w:rPr>
          <w:rFonts w:cs="Arial"/>
          <w:sz w:val="26"/>
          <w:szCs w:val="26"/>
          <w:lang w:eastAsia="es-ES"/>
        </w:rPr>
        <w:t xml:space="preserve"> en términos del artículo 19 de la Ley de Amparo.</w:t>
      </w:r>
      <w:r w:rsidR="00DA2874" w:rsidRPr="00B74199">
        <w:rPr>
          <w:rFonts w:cs="Arial"/>
          <w:sz w:val="26"/>
          <w:szCs w:val="26"/>
          <w:lang w:eastAsia="es-ES"/>
        </w:rPr>
        <w:t xml:space="preserve"> </w:t>
      </w:r>
      <w:r w:rsidRPr="00B74199">
        <w:rPr>
          <w:rFonts w:cs="Arial"/>
          <w:sz w:val="26"/>
          <w:szCs w:val="26"/>
          <w:lang w:eastAsia="es-ES"/>
        </w:rPr>
        <w:t xml:space="preserve">En consecuencia, si el recurso </w:t>
      </w:r>
      <w:r w:rsidRPr="00B74199">
        <w:rPr>
          <w:rFonts w:cs="Arial"/>
          <w:sz w:val="26"/>
          <w:szCs w:val="26"/>
          <w:lang w:eastAsia="es-ES"/>
        </w:rPr>
        <w:lastRenderedPageBreak/>
        <w:t>de revisión se presentó de manera electrónica a través del Sistema Integral de Seguimiento de Expedientes</w:t>
      </w:r>
      <w:r w:rsidRPr="00B74199">
        <w:rPr>
          <w:rFonts w:cs="Arial"/>
          <w:sz w:val="26"/>
          <w:szCs w:val="26"/>
        </w:rPr>
        <w:t xml:space="preserve">, el </w:t>
      </w:r>
      <w:r w:rsidRPr="00B74199">
        <w:rPr>
          <w:rFonts w:cs="Arial"/>
          <w:b/>
          <w:bCs/>
          <w:sz w:val="26"/>
          <w:szCs w:val="26"/>
        </w:rPr>
        <w:t>veintinueve de abril de dos mil veinticinco</w:t>
      </w:r>
      <w:r w:rsidRPr="00B74199">
        <w:rPr>
          <w:rFonts w:cs="Arial"/>
          <w:sz w:val="26"/>
          <w:szCs w:val="26"/>
          <w:lang w:eastAsia="es-ES"/>
        </w:rPr>
        <w:t xml:space="preserve">, es evidente que el medio de impugnación se interpuso de forma </w:t>
      </w:r>
      <w:r w:rsidRPr="00B74199">
        <w:rPr>
          <w:rFonts w:cs="Arial"/>
          <w:b/>
          <w:sz w:val="26"/>
          <w:szCs w:val="26"/>
          <w:lang w:eastAsia="es-ES"/>
        </w:rPr>
        <w:t>oportuna</w:t>
      </w:r>
      <w:r w:rsidRPr="00B74199">
        <w:rPr>
          <w:rFonts w:cs="Arial"/>
          <w:sz w:val="26"/>
          <w:szCs w:val="26"/>
          <w:lang w:eastAsia="es-ES"/>
        </w:rPr>
        <w:t>.</w:t>
      </w:r>
    </w:p>
    <w:p w14:paraId="592934C1" w14:textId="77777777" w:rsidR="00911430" w:rsidRPr="00B74199" w:rsidRDefault="00911430" w:rsidP="00911430">
      <w:pPr>
        <w:pStyle w:val="Prrafodelista"/>
        <w:spacing w:before="240"/>
        <w:rPr>
          <w:rFonts w:ascii="Arial" w:hAnsi="Arial" w:cs="Arial"/>
          <w:sz w:val="26"/>
          <w:szCs w:val="26"/>
        </w:rPr>
      </w:pPr>
    </w:p>
    <w:p w14:paraId="1CD9C0BC" w14:textId="77777777" w:rsidR="00911430" w:rsidRPr="00B74199" w:rsidRDefault="00911430" w:rsidP="00911430">
      <w:pPr>
        <w:pStyle w:val="corte4fondo"/>
        <w:numPr>
          <w:ilvl w:val="0"/>
          <w:numId w:val="3"/>
        </w:numPr>
        <w:tabs>
          <w:tab w:val="left" w:pos="567"/>
        </w:tabs>
        <w:ind w:left="0" w:firstLine="0"/>
        <w:jc w:val="center"/>
        <w:rPr>
          <w:rFonts w:cs="Arial"/>
          <w:b/>
          <w:sz w:val="26"/>
          <w:szCs w:val="26"/>
        </w:rPr>
      </w:pPr>
      <w:r w:rsidRPr="00B74199">
        <w:rPr>
          <w:rFonts w:cs="Arial"/>
          <w:b/>
          <w:sz w:val="26"/>
          <w:szCs w:val="26"/>
        </w:rPr>
        <w:t>LEGITIMACIÓN</w:t>
      </w:r>
    </w:p>
    <w:p w14:paraId="68C39FFF" w14:textId="77777777" w:rsidR="00911430" w:rsidRPr="00B74199" w:rsidRDefault="00911430" w:rsidP="00911430">
      <w:pPr>
        <w:pStyle w:val="corte4fondo"/>
        <w:ind w:left="1080" w:firstLine="0"/>
        <w:rPr>
          <w:rFonts w:cs="Arial"/>
          <w:b/>
          <w:sz w:val="26"/>
          <w:szCs w:val="26"/>
        </w:rPr>
      </w:pPr>
    </w:p>
    <w:p w14:paraId="33DDE037" w14:textId="693E09BF" w:rsidR="00911430" w:rsidRPr="00B74199" w:rsidRDefault="00911430" w:rsidP="00911430">
      <w:pPr>
        <w:pStyle w:val="corte4fondo"/>
        <w:numPr>
          <w:ilvl w:val="0"/>
          <w:numId w:val="1"/>
        </w:numPr>
        <w:ind w:left="0" w:hanging="567"/>
        <w:rPr>
          <w:rFonts w:cs="Arial"/>
          <w:sz w:val="26"/>
          <w:szCs w:val="26"/>
        </w:rPr>
      </w:pPr>
      <w:r w:rsidRPr="00B74199">
        <w:rPr>
          <w:rFonts w:cs="Arial"/>
          <w:bCs/>
          <w:sz w:val="26"/>
          <w:szCs w:val="26"/>
          <w:lang w:eastAsia="es-ES"/>
        </w:rPr>
        <w:t>El recurso de revisión se interpuso por parte legitimada, pues lo hace valer la quejosa</w:t>
      </w:r>
      <w:r w:rsidRPr="00B74199">
        <w:rPr>
          <w:rFonts w:cs="Arial"/>
          <w:sz w:val="26"/>
          <w:szCs w:val="26"/>
          <w:lang w:val="es-ES" w:eastAsia="es-ES"/>
        </w:rPr>
        <w:t>.</w:t>
      </w:r>
      <w:r w:rsidRPr="00B74199">
        <w:rPr>
          <w:rFonts w:cs="Arial"/>
          <w:sz w:val="26"/>
          <w:szCs w:val="26"/>
        </w:rPr>
        <w:t xml:space="preserve"> </w:t>
      </w:r>
      <w:r w:rsidRPr="00B74199">
        <w:rPr>
          <w:rFonts w:cs="Arial"/>
          <w:sz w:val="26"/>
          <w:szCs w:val="26"/>
          <w:lang w:val="es-ES" w:eastAsia="es-ES"/>
        </w:rPr>
        <w:t xml:space="preserve">Asimismo, actúa por conducto de su autorizado, quien </w:t>
      </w:r>
      <w:r w:rsidRPr="00B74199">
        <w:rPr>
          <w:rFonts w:cs="Arial"/>
          <w:sz w:val="26"/>
          <w:szCs w:val="26"/>
          <w:lang w:eastAsia="es-ES"/>
        </w:rPr>
        <w:t xml:space="preserve">tiene reconocida su personalidad mediante el auto dictado el trece de agosto de dos mil veinticuatro, por el Magistrado Presidente del Primer Tribunal Colegiado en el Vigésimo Sexto Circuito, en el juicio de amparo </w:t>
      </w:r>
      <w:r w:rsidR="00335C3F">
        <w:rPr>
          <w:rFonts w:cs="Arial"/>
          <w:b/>
          <w:bCs/>
          <w:color w:val="FF0000"/>
          <w:sz w:val="26"/>
          <w:szCs w:val="26"/>
          <w:lang w:eastAsia="es-ES"/>
        </w:rPr>
        <w:t>**********</w:t>
      </w:r>
      <w:r w:rsidRPr="00B74199">
        <w:rPr>
          <w:rFonts w:cs="Arial"/>
          <w:sz w:val="26"/>
          <w:szCs w:val="26"/>
          <w:lang w:eastAsia="es-ES"/>
        </w:rPr>
        <w:t>.</w:t>
      </w:r>
    </w:p>
    <w:p w14:paraId="61EF6B01" w14:textId="77777777" w:rsidR="00911430" w:rsidRPr="00B74199" w:rsidRDefault="00911430" w:rsidP="00911430">
      <w:pPr>
        <w:pStyle w:val="corte4fondo"/>
        <w:spacing w:before="240"/>
        <w:ind w:firstLine="0"/>
        <w:rPr>
          <w:rFonts w:cs="Arial"/>
          <w:sz w:val="26"/>
          <w:szCs w:val="26"/>
        </w:rPr>
      </w:pPr>
    </w:p>
    <w:p w14:paraId="38E8FB14" w14:textId="7A4BDCA5" w:rsidR="00911430" w:rsidRPr="00B74199" w:rsidRDefault="00911430" w:rsidP="00911430">
      <w:pPr>
        <w:pStyle w:val="corte4fondo"/>
        <w:numPr>
          <w:ilvl w:val="0"/>
          <w:numId w:val="3"/>
        </w:numPr>
        <w:tabs>
          <w:tab w:val="left" w:pos="567"/>
        </w:tabs>
        <w:ind w:left="0" w:firstLine="0"/>
        <w:jc w:val="center"/>
        <w:rPr>
          <w:rFonts w:cs="Arial"/>
          <w:b/>
          <w:sz w:val="26"/>
          <w:szCs w:val="26"/>
        </w:rPr>
      </w:pPr>
      <w:r w:rsidRPr="00B74199">
        <w:rPr>
          <w:rFonts w:cs="Arial"/>
          <w:b/>
          <w:sz w:val="26"/>
          <w:szCs w:val="26"/>
        </w:rPr>
        <w:t>PROCEDENCIA</w:t>
      </w:r>
    </w:p>
    <w:p w14:paraId="5CF4EF74" w14:textId="77777777" w:rsidR="00911430" w:rsidRPr="00B74199" w:rsidRDefault="00911430" w:rsidP="00911430">
      <w:pPr>
        <w:pStyle w:val="corte4fondo"/>
        <w:ind w:left="1080" w:firstLine="0"/>
        <w:rPr>
          <w:rFonts w:cs="Arial"/>
          <w:b/>
          <w:sz w:val="26"/>
          <w:szCs w:val="26"/>
        </w:rPr>
      </w:pPr>
    </w:p>
    <w:p w14:paraId="16BA4BB1" w14:textId="77777777" w:rsidR="00B57CCE" w:rsidRPr="00B57CCE" w:rsidRDefault="001D4200" w:rsidP="00B57CCE">
      <w:pPr>
        <w:pStyle w:val="corte4fondo"/>
        <w:numPr>
          <w:ilvl w:val="0"/>
          <w:numId w:val="1"/>
        </w:numPr>
        <w:ind w:left="0" w:hanging="567"/>
        <w:rPr>
          <w:rFonts w:cs="Arial"/>
          <w:sz w:val="26"/>
          <w:szCs w:val="26"/>
        </w:rPr>
      </w:pPr>
      <w:r w:rsidRPr="00B74199">
        <w:rPr>
          <w:rFonts w:eastAsia="Arial" w:cs="Arial"/>
          <w:sz w:val="26"/>
          <w:szCs w:val="26"/>
        </w:rPr>
        <w:t xml:space="preserve">Resulta necesario determinar si procede o no admitir a trámite el recurso de revisión interpuesto en el juicio de amparo directo, </w:t>
      </w:r>
      <w:r w:rsidR="00CB6D97" w:rsidRPr="00B74199">
        <w:rPr>
          <w:rFonts w:eastAsia="Arial" w:cs="Arial"/>
          <w:sz w:val="26"/>
          <w:szCs w:val="26"/>
        </w:rPr>
        <w:t>conforme a los</w:t>
      </w:r>
      <w:r w:rsidRPr="00B74199">
        <w:rPr>
          <w:rFonts w:eastAsia="Arial" w:cs="Arial"/>
          <w:sz w:val="26"/>
          <w:szCs w:val="26"/>
        </w:rPr>
        <w:t xml:space="preserve"> artículo</w:t>
      </w:r>
      <w:r w:rsidR="00CB6D97" w:rsidRPr="00B74199">
        <w:rPr>
          <w:rFonts w:eastAsia="Arial" w:cs="Arial"/>
          <w:sz w:val="26"/>
          <w:szCs w:val="26"/>
        </w:rPr>
        <w:t>s</w:t>
      </w:r>
      <w:r w:rsidRPr="00B74199">
        <w:rPr>
          <w:rFonts w:eastAsia="Arial" w:cs="Arial"/>
          <w:sz w:val="26"/>
          <w:szCs w:val="26"/>
        </w:rPr>
        <w:t xml:space="preserve"> 107, fracción IX, de la Constitución Política de los Estados Unidos Mexicanos; 81, fracción II, y 96 de la Ley de Amparo; así como 16, fracción IV, de la Ley Orgánica del Poder Judicial de la Federación, a fin de verificar si el asunto plantea un problema de constitucionalidad o de derechos humanos</w:t>
      </w:r>
      <w:r w:rsidR="0023283C" w:rsidRPr="00B74199">
        <w:rPr>
          <w:rFonts w:eastAsia="Arial" w:cs="Arial"/>
          <w:sz w:val="26"/>
          <w:szCs w:val="26"/>
        </w:rPr>
        <w:t xml:space="preserve"> y que </w:t>
      </w:r>
      <w:r w:rsidRPr="00B74199">
        <w:rPr>
          <w:rFonts w:eastAsia="Arial" w:cs="Arial"/>
          <w:sz w:val="26"/>
          <w:szCs w:val="26"/>
        </w:rPr>
        <w:t>amerite un pronunciamiento con interés excepcional por parte de esta Suprema Corte de Justicia de la Nación.</w:t>
      </w:r>
    </w:p>
    <w:p w14:paraId="21677D43" w14:textId="77777777" w:rsidR="00B57CCE" w:rsidRDefault="00B57CCE" w:rsidP="00B57CCE">
      <w:pPr>
        <w:pStyle w:val="corte4fondo"/>
        <w:ind w:firstLine="0"/>
        <w:rPr>
          <w:rFonts w:cs="Arial"/>
          <w:sz w:val="26"/>
          <w:szCs w:val="26"/>
        </w:rPr>
      </w:pPr>
    </w:p>
    <w:p w14:paraId="4499BE5A" w14:textId="77777777" w:rsidR="00B57CCE" w:rsidRDefault="00911430" w:rsidP="00B57CCE">
      <w:pPr>
        <w:pStyle w:val="corte4fondo"/>
        <w:numPr>
          <w:ilvl w:val="0"/>
          <w:numId w:val="1"/>
        </w:numPr>
        <w:ind w:left="0" w:hanging="567"/>
        <w:rPr>
          <w:rFonts w:cs="Arial"/>
          <w:sz w:val="26"/>
          <w:szCs w:val="26"/>
        </w:rPr>
      </w:pPr>
      <w:r w:rsidRPr="00B57CCE">
        <w:rPr>
          <w:rFonts w:cs="Arial"/>
          <w:sz w:val="26"/>
          <w:szCs w:val="26"/>
          <w:lang w:val="es-ES"/>
        </w:rPr>
        <w:t>En la demanda de amparo se plantearon dos cuestiones de constitucionalidad: (i) el hecho de no aplicar la presunción de filiación a hijos nacidos dentro del concubinato</w:t>
      </w:r>
      <w:r w:rsidR="00F00610" w:rsidRPr="00B57CCE">
        <w:rPr>
          <w:rFonts w:cs="Arial"/>
          <w:sz w:val="26"/>
          <w:szCs w:val="26"/>
          <w:lang w:val="es-ES"/>
        </w:rPr>
        <w:t>, así como</w:t>
      </w:r>
      <w:r w:rsidRPr="00B57CCE">
        <w:rPr>
          <w:rFonts w:cs="Arial"/>
          <w:sz w:val="26"/>
          <w:szCs w:val="26"/>
          <w:lang w:val="es-ES"/>
        </w:rPr>
        <w:t xml:space="preserve"> la investigación de paternidad a un caso de </w:t>
      </w:r>
      <w:proofErr w:type="spellStart"/>
      <w:r w:rsidRPr="00B57CCE">
        <w:rPr>
          <w:rFonts w:cs="Arial"/>
          <w:sz w:val="26"/>
          <w:szCs w:val="26"/>
          <w:lang w:val="es-ES"/>
        </w:rPr>
        <w:t>comaternidad</w:t>
      </w:r>
      <w:proofErr w:type="spellEnd"/>
      <w:r w:rsidRPr="00B57CCE">
        <w:rPr>
          <w:rFonts w:cs="Arial"/>
          <w:sz w:val="26"/>
          <w:szCs w:val="26"/>
          <w:lang w:val="es-ES"/>
        </w:rPr>
        <w:t xml:space="preserve">, </w:t>
      </w:r>
      <w:r w:rsidR="00832F91" w:rsidRPr="00B57CCE">
        <w:rPr>
          <w:rFonts w:cs="Arial"/>
          <w:sz w:val="26"/>
          <w:szCs w:val="26"/>
          <w:lang w:val="es-ES"/>
        </w:rPr>
        <w:t xml:space="preserve">implica </w:t>
      </w:r>
      <w:r w:rsidRPr="00B57CCE">
        <w:rPr>
          <w:rFonts w:cs="Arial"/>
          <w:sz w:val="26"/>
          <w:szCs w:val="26"/>
          <w:lang w:val="es-ES"/>
        </w:rPr>
        <w:t xml:space="preserve">que los artículos 401 </w:t>
      </w:r>
      <w:r w:rsidR="00202C15" w:rsidRPr="00B57CCE">
        <w:rPr>
          <w:rFonts w:cs="Arial"/>
          <w:sz w:val="26"/>
          <w:szCs w:val="26"/>
          <w:lang w:val="es-ES"/>
        </w:rPr>
        <w:t>a</w:t>
      </w:r>
      <w:r w:rsidRPr="00B57CCE">
        <w:rPr>
          <w:rFonts w:cs="Arial"/>
          <w:sz w:val="26"/>
          <w:szCs w:val="26"/>
          <w:lang w:val="es-ES"/>
        </w:rPr>
        <w:t xml:space="preserve"> 404 del Código Civil local son </w:t>
      </w:r>
      <w:proofErr w:type="spellStart"/>
      <w:r w:rsidRPr="00B57CCE">
        <w:rPr>
          <w:rFonts w:cs="Arial"/>
          <w:sz w:val="26"/>
          <w:szCs w:val="26"/>
          <w:lang w:val="es-ES"/>
        </w:rPr>
        <w:t>heteronormados</w:t>
      </w:r>
      <w:proofErr w:type="spellEnd"/>
      <w:r w:rsidRPr="00B57CCE">
        <w:rPr>
          <w:rFonts w:cs="Arial"/>
          <w:sz w:val="26"/>
          <w:szCs w:val="26"/>
          <w:lang w:val="es-ES"/>
        </w:rPr>
        <w:t xml:space="preserve"> y contienen una discriminación indirecta que afecta a familias homoparentales; (</w:t>
      </w:r>
      <w:proofErr w:type="spellStart"/>
      <w:r w:rsidRPr="00B57CCE">
        <w:rPr>
          <w:rFonts w:cs="Arial"/>
          <w:sz w:val="26"/>
          <w:szCs w:val="26"/>
          <w:lang w:val="es-ES"/>
        </w:rPr>
        <w:t>ii</w:t>
      </w:r>
      <w:proofErr w:type="spellEnd"/>
      <w:r w:rsidRPr="00B57CCE">
        <w:rPr>
          <w:rFonts w:cs="Arial"/>
          <w:sz w:val="26"/>
          <w:szCs w:val="26"/>
          <w:lang w:val="es-ES"/>
        </w:rPr>
        <w:t xml:space="preserve">) se viola el derecho de protección a la familia e interés superior de la niñez por no reconocer la relación de </w:t>
      </w:r>
      <w:proofErr w:type="spellStart"/>
      <w:r w:rsidRPr="00B57CCE">
        <w:rPr>
          <w:rFonts w:cs="Arial"/>
          <w:sz w:val="26"/>
          <w:szCs w:val="26"/>
          <w:lang w:val="es-ES"/>
        </w:rPr>
        <w:t>comaternidad</w:t>
      </w:r>
      <w:proofErr w:type="spellEnd"/>
      <w:r w:rsidRPr="00B57CCE">
        <w:rPr>
          <w:rFonts w:cs="Arial"/>
          <w:sz w:val="26"/>
          <w:szCs w:val="26"/>
          <w:lang w:val="es-ES"/>
        </w:rPr>
        <w:t xml:space="preserve"> por el simple hecho de que la relación de concubinato terminó</w:t>
      </w:r>
      <w:r w:rsidR="00DA2874" w:rsidRPr="00B57CCE">
        <w:rPr>
          <w:rFonts w:cs="Arial"/>
          <w:sz w:val="26"/>
          <w:szCs w:val="26"/>
          <w:lang w:val="es-ES"/>
        </w:rPr>
        <w:t>, todo ello en contravención del artículo 4o. de la Constitución Política de los Estados Unidos Mexicanos.</w:t>
      </w:r>
    </w:p>
    <w:p w14:paraId="592869B8" w14:textId="77777777" w:rsidR="00B57CCE" w:rsidRDefault="00B57CCE" w:rsidP="00B57CCE">
      <w:pPr>
        <w:pStyle w:val="Prrafodelista"/>
        <w:rPr>
          <w:rFonts w:cs="Arial"/>
          <w:sz w:val="26"/>
          <w:szCs w:val="26"/>
        </w:rPr>
      </w:pPr>
    </w:p>
    <w:p w14:paraId="0DD53193" w14:textId="77777777" w:rsidR="00B57CCE" w:rsidRDefault="00911430" w:rsidP="00B57CCE">
      <w:pPr>
        <w:pStyle w:val="corte4fondo"/>
        <w:numPr>
          <w:ilvl w:val="0"/>
          <w:numId w:val="1"/>
        </w:numPr>
        <w:ind w:left="0" w:hanging="567"/>
        <w:rPr>
          <w:rFonts w:cs="Arial"/>
          <w:sz w:val="26"/>
          <w:szCs w:val="26"/>
        </w:rPr>
      </w:pPr>
      <w:r w:rsidRPr="00B57CCE">
        <w:rPr>
          <w:rFonts w:cs="Arial"/>
          <w:sz w:val="26"/>
          <w:szCs w:val="26"/>
        </w:rPr>
        <w:t xml:space="preserve">Por su parte, el tribunal colegiado estableció que </w:t>
      </w:r>
      <w:r w:rsidRPr="00B57CCE">
        <w:rPr>
          <w:rFonts w:cs="Arial"/>
          <w:sz w:val="26"/>
          <w:szCs w:val="26"/>
          <w:u w:val="single"/>
        </w:rPr>
        <w:t>la presunción</w:t>
      </w:r>
      <w:r w:rsidRPr="00B57CCE">
        <w:rPr>
          <w:rFonts w:cs="Arial"/>
          <w:sz w:val="26"/>
          <w:szCs w:val="26"/>
        </w:rPr>
        <w:t xml:space="preserve"> y </w:t>
      </w:r>
      <w:r w:rsidRPr="00B57CCE">
        <w:rPr>
          <w:rFonts w:cs="Arial"/>
          <w:sz w:val="26"/>
          <w:szCs w:val="26"/>
          <w:u w:val="single"/>
        </w:rPr>
        <w:t>la investigación de paternidad (figura de posesión de estado de hijo o hija)</w:t>
      </w:r>
      <w:r w:rsidRPr="00B57CCE">
        <w:rPr>
          <w:rFonts w:cs="Arial"/>
          <w:sz w:val="26"/>
          <w:szCs w:val="26"/>
        </w:rPr>
        <w:t xml:space="preserve"> no eran aplicables al caso porque se trata de acciones encaminadas a dilucidar el vínculo biológico y </w:t>
      </w:r>
      <w:r w:rsidRPr="00B57CCE">
        <w:rPr>
          <w:rFonts w:cs="Arial"/>
          <w:sz w:val="26"/>
          <w:szCs w:val="26"/>
        </w:rPr>
        <w:lastRenderedPageBreak/>
        <w:t>en el caso, no era aplicable simplemente por la imposibilidad y porque para todos era conocido quién era el padre biológico de la niña y que se veían ocasionalmente.</w:t>
      </w:r>
    </w:p>
    <w:p w14:paraId="46DB9ECE" w14:textId="77777777" w:rsidR="00B57CCE" w:rsidRDefault="00B57CCE" w:rsidP="00B57CCE">
      <w:pPr>
        <w:pStyle w:val="Prrafodelista"/>
        <w:rPr>
          <w:rFonts w:cs="Arial"/>
          <w:sz w:val="26"/>
          <w:szCs w:val="26"/>
          <w:lang w:val="es-ES"/>
        </w:rPr>
      </w:pPr>
    </w:p>
    <w:p w14:paraId="11E41F34" w14:textId="77777777" w:rsidR="00B57CCE" w:rsidRDefault="00911430" w:rsidP="00B57CCE">
      <w:pPr>
        <w:pStyle w:val="corte4fondo"/>
        <w:numPr>
          <w:ilvl w:val="0"/>
          <w:numId w:val="1"/>
        </w:numPr>
        <w:ind w:left="0" w:hanging="567"/>
        <w:rPr>
          <w:rFonts w:cs="Arial"/>
          <w:sz w:val="26"/>
          <w:szCs w:val="26"/>
        </w:rPr>
      </w:pPr>
      <w:r w:rsidRPr="00B57CCE">
        <w:rPr>
          <w:rFonts w:cs="Arial"/>
          <w:sz w:val="26"/>
          <w:szCs w:val="26"/>
          <w:lang w:val="es-ES"/>
        </w:rPr>
        <w:t>Dicho lo anterior, precisó que en realidad, la pretensión de la quejosa se materializaba en una acción de reconocimiento</w:t>
      </w:r>
      <w:r w:rsidR="00AA4321" w:rsidRPr="00B57CCE">
        <w:rPr>
          <w:rFonts w:cs="Arial"/>
          <w:sz w:val="26"/>
          <w:szCs w:val="26"/>
          <w:lang w:val="es-ES"/>
        </w:rPr>
        <w:t xml:space="preserve"> </w:t>
      </w:r>
      <w:r w:rsidR="007840F0" w:rsidRPr="00B57CCE">
        <w:rPr>
          <w:rFonts w:cs="Arial"/>
          <w:sz w:val="26"/>
          <w:szCs w:val="26"/>
          <w:lang w:val="es-ES"/>
        </w:rPr>
        <w:t>por realidad social</w:t>
      </w:r>
      <w:r w:rsidRPr="00B57CCE">
        <w:rPr>
          <w:rFonts w:cs="Arial"/>
          <w:sz w:val="26"/>
          <w:szCs w:val="26"/>
          <w:lang w:val="es-ES"/>
        </w:rPr>
        <w:t xml:space="preserve">; sin embargo, consideró que no podía decretar el vínculo jurídico con la persona menor de edad por tres cuestiones: (i) por una parte, la </w:t>
      </w:r>
      <w:proofErr w:type="spellStart"/>
      <w:r w:rsidRPr="00B57CCE">
        <w:rPr>
          <w:rFonts w:cs="Arial"/>
          <w:sz w:val="26"/>
          <w:szCs w:val="26"/>
          <w:lang w:val="es-ES"/>
        </w:rPr>
        <w:t>comaternidad</w:t>
      </w:r>
      <w:proofErr w:type="spellEnd"/>
      <w:r w:rsidRPr="00B57CCE">
        <w:rPr>
          <w:rFonts w:cs="Arial"/>
          <w:sz w:val="26"/>
          <w:szCs w:val="26"/>
          <w:lang w:val="es-ES"/>
        </w:rPr>
        <w:t xml:space="preserve"> alegada había terminado un año antes de que presentara la acción y desde ese momento hasta que se desahogó la pericial en psicología a la niña, se advirtió que su realidad social cambió, de forma que ahora reconocía como padre a la nueva pareja de su madre; (</w:t>
      </w:r>
      <w:proofErr w:type="spellStart"/>
      <w:r w:rsidRPr="00B57CCE">
        <w:rPr>
          <w:rFonts w:cs="Arial"/>
          <w:sz w:val="26"/>
          <w:szCs w:val="26"/>
          <w:lang w:val="es-ES"/>
        </w:rPr>
        <w:t>ii</w:t>
      </w:r>
      <w:proofErr w:type="spellEnd"/>
      <w:r w:rsidRPr="00B57CCE">
        <w:rPr>
          <w:rFonts w:cs="Arial"/>
          <w:sz w:val="26"/>
          <w:szCs w:val="26"/>
          <w:lang w:val="es-ES"/>
        </w:rPr>
        <w:t>) de la pericial en psicología y la comparecencia de la niña, se advirtió que no reconoció a la quejosa como su madre; y (</w:t>
      </w:r>
      <w:proofErr w:type="spellStart"/>
      <w:r w:rsidRPr="00B57CCE">
        <w:rPr>
          <w:rFonts w:cs="Arial"/>
          <w:sz w:val="26"/>
          <w:szCs w:val="26"/>
          <w:lang w:val="es-ES"/>
        </w:rPr>
        <w:t>iii</w:t>
      </w:r>
      <w:proofErr w:type="spellEnd"/>
      <w:r w:rsidRPr="00B57CCE">
        <w:rPr>
          <w:rFonts w:cs="Arial"/>
          <w:sz w:val="26"/>
          <w:szCs w:val="26"/>
          <w:lang w:val="es-ES"/>
        </w:rPr>
        <w:t>) de la pericial en psicología también se advirtió que la niña mostraba confusión sobre sus lazos afectivos y su rol en la familia, por lo que un nuevo cambio de situación podría poner en riesgo su psique al grado de seguir con la confusión e, incluso, afectar su identidad.</w:t>
      </w:r>
    </w:p>
    <w:p w14:paraId="778DBCDE" w14:textId="77777777" w:rsidR="00B57CCE" w:rsidRDefault="00B57CCE" w:rsidP="00B57CCE">
      <w:pPr>
        <w:pStyle w:val="Prrafodelista"/>
        <w:rPr>
          <w:rFonts w:cs="Arial"/>
          <w:sz w:val="26"/>
          <w:szCs w:val="26"/>
        </w:rPr>
      </w:pPr>
    </w:p>
    <w:p w14:paraId="75253432" w14:textId="749EF9DA" w:rsidR="004B76CA" w:rsidRPr="00B57CCE" w:rsidRDefault="00A653F3" w:rsidP="00B57CCE">
      <w:pPr>
        <w:pStyle w:val="corte4fondo"/>
        <w:numPr>
          <w:ilvl w:val="0"/>
          <w:numId w:val="1"/>
        </w:numPr>
        <w:ind w:left="0" w:hanging="567"/>
        <w:rPr>
          <w:rFonts w:cs="Arial"/>
          <w:sz w:val="26"/>
          <w:szCs w:val="26"/>
        </w:rPr>
      </w:pPr>
      <w:r w:rsidRPr="00B57CCE">
        <w:rPr>
          <w:rFonts w:cs="Arial"/>
          <w:sz w:val="26"/>
          <w:szCs w:val="26"/>
        </w:rPr>
        <w:t>Ahora bien, en relación con el</w:t>
      </w:r>
      <w:r w:rsidR="00BD485E" w:rsidRPr="00B57CCE">
        <w:rPr>
          <w:rFonts w:cs="Arial"/>
          <w:sz w:val="26"/>
          <w:szCs w:val="26"/>
        </w:rPr>
        <w:t xml:space="preserve"> primer</w:t>
      </w:r>
      <w:r w:rsidRPr="00B57CCE">
        <w:rPr>
          <w:rFonts w:cs="Arial"/>
          <w:sz w:val="26"/>
          <w:szCs w:val="26"/>
        </w:rPr>
        <w:t xml:space="preserve"> tema de constitucionalidad planteado en la demanda de amparo, la recurrente sostiene que se omitió su estudio. Para atender ese planteamiento, conviene destacar el contenido de los artículos 401 </w:t>
      </w:r>
      <w:r w:rsidR="0083556F" w:rsidRPr="00B57CCE">
        <w:rPr>
          <w:rFonts w:cs="Arial"/>
          <w:sz w:val="26"/>
          <w:szCs w:val="26"/>
        </w:rPr>
        <w:t>a</w:t>
      </w:r>
      <w:r w:rsidRPr="00B57CCE">
        <w:rPr>
          <w:rFonts w:cs="Arial"/>
          <w:sz w:val="26"/>
          <w:szCs w:val="26"/>
        </w:rPr>
        <w:t xml:space="preserve"> 404 del Código Civil </w:t>
      </w:r>
      <w:r w:rsidR="00C75523" w:rsidRPr="00B57CCE">
        <w:rPr>
          <w:rFonts w:cs="Arial"/>
          <w:sz w:val="26"/>
          <w:szCs w:val="26"/>
          <w:lang w:val="es-MX"/>
        </w:rPr>
        <w:t>para el Estado Libre y Soberano de</w:t>
      </w:r>
      <w:r w:rsidRPr="00B57CCE">
        <w:rPr>
          <w:rFonts w:cs="Arial"/>
          <w:sz w:val="26"/>
          <w:szCs w:val="26"/>
        </w:rPr>
        <w:t xml:space="preserve"> Baja California Sur, que disponen</w:t>
      </w:r>
      <w:r w:rsidR="00E72FFD" w:rsidRPr="00B57CCE">
        <w:rPr>
          <w:rFonts w:cs="Arial"/>
          <w:sz w:val="26"/>
          <w:szCs w:val="26"/>
        </w:rPr>
        <w:t>:</w:t>
      </w:r>
    </w:p>
    <w:p w14:paraId="3010B72E" w14:textId="77777777" w:rsidR="00036C66" w:rsidRPr="00B74199" w:rsidRDefault="00036C66" w:rsidP="00520C40">
      <w:pPr>
        <w:pStyle w:val="Prrafodelista"/>
        <w:rPr>
          <w:rFonts w:ascii="Arial" w:hAnsi="Arial" w:cs="Arial"/>
          <w:i/>
          <w:iCs/>
          <w:sz w:val="24"/>
          <w:szCs w:val="24"/>
        </w:rPr>
      </w:pPr>
    </w:p>
    <w:p w14:paraId="180312FB"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Artículo 401.- La investigación de la paternidad de los hijos nacidos fuera del matrimonio, sólo está permitida:</w:t>
      </w:r>
    </w:p>
    <w:p w14:paraId="48FBDF44" w14:textId="77777777" w:rsidR="00036C66" w:rsidRPr="00B74199" w:rsidRDefault="00036C66" w:rsidP="0064246A">
      <w:pPr>
        <w:pStyle w:val="Prrafodelista"/>
        <w:ind w:right="616"/>
        <w:jc w:val="both"/>
        <w:rPr>
          <w:rFonts w:ascii="Arial" w:hAnsi="Arial" w:cs="Arial"/>
          <w:i/>
          <w:iCs/>
          <w:sz w:val="24"/>
          <w:szCs w:val="24"/>
        </w:rPr>
      </w:pPr>
    </w:p>
    <w:p w14:paraId="01B11F1E"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I.- En los casos de incesto, estupro o violación de la madre cuando la época del delito coincida con la concepción;</w:t>
      </w:r>
    </w:p>
    <w:p w14:paraId="030370CF" w14:textId="77777777" w:rsidR="00036C66" w:rsidRPr="00B74199" w:rsidRDefault="00036C66" w:rsidP="0064246A">
      <w:pPr>
        <w:pStyle w:val="Prrafodelista"/>
        <w:ind w:right="616"/>
        <w:jc w:val="both"/>
        <w:rPr>
          <w:rFonts w:ascii="Arial" w:hAnsi="Arial" w:cs="Arial"/>
          <w:i/>
          <w:iCs/>
          <w:sz w:val="24"/>
          <w:szCs w:val="24"/>
        </w:rPr>
      </w:pPr>
    </w:p>
    <w:p w14:paraId="360B5D70"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II.- Cuando se alegue la posesión de estado de hijo del presunto padre;</w:t>
      </w:r>
    </w:p>
    <w:p w14:paraId="6D0C70EA" w14:textId="77777777" w:rsidR="00036C66" w:rsidRPr="00B74199" w:rsidRDefault="00036C66" w:rsidP="0064246A">
      <w:pPr>
        <w:pStyle w:val="Prrafodelista"/>
        <w:ind w:right="616"/>
        <w:jc w:val="both"/>
        <w:rPr>
          <w:rFonts w:ascii="Arial" w:hAnsi="Arial" w:cs="Arial"/>
          <w:i/>
          <w:iCs/>
          <w:sz w:val="24"/>
          <w:szCs w:val="24"/>
        </w:rPr>
      </w:pPr>
    </w:p>
    <w:p w14:paraId="1154B467"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III.- Cuando el hijo haya sido concebido durante el tiempo en que la madre habitaba públicamente bajo el mismo techo con el pretendido padre; y</w:t>
      </w:r>
    </w:p>
    <w:p w14:paraId="79997C67" w14:textId="77777777" w:rsidR="00036C66" w:rsidRPr="00B74199" w:rsidRDefault="00036C66" w:rsidP="0064246A">
      <w:pPr>
        <w:pStyle w:val="Prrafodelista"/>
        <w:ind w:right="616"/>
        <w:jc w:val="both"/>
        <w:rPr>
          <w:rFonts w:ascii="Arial" w:hAnsi="Arial" w:cs="Arial"/>
          <w:i/>
          <w:iCs/>
          <w:sz w:val="24"/>
          <w:szCs w:val="24"/>
        </w:rPr>
      </w:pPr>
    </w:p>
    <w:p w14:paraId="104662F9"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IV.- Cuando el hijo tenga a su favor un principio de prueba contra el supuesto padre.</w:t>
      </w:r>
    </w:p>
    <w:p w14:paraId="774F9F21" w14:textId="77777777" w:rsidR="00036C66" w:rsidRPr="00B74199" w:rsidRDefault="00036C66" w:rsidP="0064246A">
      <w:pPr>
        <w:pStyle w:val="Prrafodelista"/>
        <w:ind w:right="616"/>
        <w:jc w:val="both"/>
        <w:rPr>
          <w:rFonts w:ascii="Arial" w:hAnsi="Arial" w:cs="Arial"/>
          <w:i/>
          <w:iCs/>
          <w:sz w:val="24"/>
          <w:szCs w:val="24"/>
        </w:rPr>
      </w:pPr>
    </w:p>
    <w:p w14:paraId="4498A96D" w14:textId="77777777" w:rsidR="00036C66" w:rsidRPr="00B74199" w:rsidRDefault="00036C66" w:rsidP="0064246A">
      <w:pPr>
        <w:pStyle w:val="Prrafodelista"/>
        <w:ind w:right="616"/>
        <w:jc w:val="both"/>
        <w:rPr>
          <w:rFonts w:ascii="Arial" w:hAnsi="Arial" w:cs="Arial"/>
          <w:i/>
          <w:iCs/>
          <w:sz w:val="24"/>
          <w:szCs w:val="24"/>
        </w:rPr>
      </w:pPr>
    </w:p>
    <w:p w14:paraId="2FA89EEE"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(REFORMADO, B.O. 7 DE ENERO DE 2002)</w:t>
      </w:r>
    </w:p>
    <w:p w14:paraId="72E5CC40"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Artículo 402.- Se presumen hijos del concubino y la concubina, los nacidos después de iniciado el concubinato y los nacidos dentro de los trescientos días siguientes al de su disolución.</w:t>
      </w:r>
    </w:p>
    <w:p w14:paraId="74D9B180" w14:textId="77777777" w:rsidR="00036C66" w:rsidRPr="00B74199" w:rsidRDefault="00036C66" w:rsidP="0064246A">
      <w:pPr>
        <w:pStyle w:val="Prrafodelista"/>
        <w:ind w:right="616"/>
        <w:jc w:val="both"/>
        <w:rPr>
          <w:rFonts w:ascii="Arial" w:hAnsi="Arial" w:cs="Arial"/>
          <w:i/>
          <w:iCs/>
          <w:sz w:val="24"/>
          <w:szCs w:val="24"/>
        </w:rPr>
      </w:pPr>
    </w:p>
    <w:p w14:paraId="5E7B7E40" w14:textId="77777777" w:rsidR="00036C66" w:rsidRPr="00B74199" w:rsidRDefault="00036C66" w:rsidP="0064246A">
      <w:pPr>
        <w:pStyle w:val="Prrafodelista"/>
        <w:ind w:right="616"/>
        <w:jc w:val="both"/>
        <w:rPr>
          <w:rFonts w:ascii="Arial" w:hAnsi="Arial" w:cs="Arial"/>
          <w:i/>
          <w:iCs/>
          <w:sz w:val="24"/>
          <w:szCs w:val="24"/>
        </w:rPr>
      </w:pPr>
    </w:p>
    <w:p w14:paraId="42A735BE"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Artículo 403.- La posesión de estado, se justificará demostrando por los medios ordinarios de prueba, que una persona ha sido tratada como hijo por el presunto padre o por su familia, y que éste ha proveído a su subsistencia, educación y establecimiento.</w:t>
      </w:r>
    </w:p>
    <w:p w14:paraId="23C5815B" w14:textId="77777777" w:rsidR="00036C66" w:rsidRPr="00B74199" w:rsidRDefault="00036C66" w:rsidP="0064246A">
      <w:pPr>
        <w:pStyle w:val="Prrafodelista"/>
        <w:ind w:right="616"/>
        <w:jc w:val="both"/>
        <w:rPr>
          <w:rFonts w:ascii="Arial" w:hAnsi="Arial" w:cs="Arial"/>
          <w:i/>
          <w:iCs/>
          <w:sz w:val="24"/>
          <w:szCs w:val="24"/>
        </w:rPr>
      </w:pPr>
    </w:p>
    <w:p w14:paraId="6B0056E6" w14:textId="77777777" w:rsidR="00036C66" w:rsidRPr="00B74199" w:rsidRDefault="00036C66" w:rsidP="0064246A">
      <w:pPr>
        <w:pStyle w:val="Prrafodelista"/>
        <w:ind w:right="616"/>
        <w:jc w:val="both"/>
        <w:rPr>
          <w:rFonts w:ascii="Arial" w:hAnsi="Arial" w:cs="Arial"/>
          <w:i/>
          <w:iCs/>
          <w:sz w:val="24"/>
          <w:szCs w:val="24"/>
        </w:rPr>
      </w:pPr>
    </w:p>
    <w:p w14:paraId="0712A367" w14:textId="77777777" w:rsidR="00036C66" w:rsidRPr="00B74199" w:rsidRDefault="00036C66" w:rsidP="0064246A">
      <w:pPr>
        <w:pStyle w:val="Prrafodelista"/>
        <w:ind w:right="616"/>
        <w:jc w:val="both"/>
        <w:rPr>
          <w:rFonts w:ascii="Arial" w:hAnsi="Arial" w:cs="Arial"/>
          <w:i/>
          <w:iCs/>
          <w:sz w:val="24"/>
          <w:szCs w:val="24"/>
        </w:rPr>
      </w:pPr>
      <w:r w:rsidRPr="00B74199">
        <w:rPr>
          <w:rFonts w:ascii="Arial" w:hAnsi="Arial" w:cs="Arial"/>
          <w:i/>
          <w:iCs/>
          <w:sz w:val="24"/>
          <w:szCs w:val="24"/>
        </w:rPr>
        <w:t xml:space="preserve">Artículo 404.- El hecho de dar alimentos no constituye por </w:t>
      </w:r>
      <w:proofErr w:type="spellStart"/>
      <w:r w:rsidRPr="00B74199">
        <w:rPr>
          <w:rFonts w:ascii="Arial" w:hAnsi="Arial" w:cs="Arial"/>
          <w:i/>
          <w:iCs/>
          <w:sz w:val="24"/>
          <w:szCs w:val="24"/>
        </w:rPr>
        <w:t>si</w:t>
      </w:r>
      <w:proofErr w:type="spellEnd"/>
      <w:r w:rsidRPr="00B74199">
        <w:rPr>
          <w:rFonts w:ascii="Arial" w:hAnsi="Arial" w:cs="Arial"/>
          <w:i/>
          <w:iCs/>
          <w:sz w:val="24"/>
          <w:szCs w:val="24"/>
        </w:rPr>
        <w:t xml:space="preserve"> solo prueba de la paternidad o maternidad. Tampoco puede alegarse como razón para investigar éstas.</w:t>
      </w:r>
    </w:p>
    <w:p w14:paraId="401A99A6" w14:textId="77777777" w:rsidR="008C4DD3" w:rsidRDefault="008C4DD3" w:rsidP="005C1271">
      <w:pPr>
        <w:rPr>
          <w:rFonts w:ascii="Arial" w:hAnsi="Arial" w:cs="Arial"/>
          <w:i/>
          <w:iCs/>
          <w:sz w:val="24"/>
          <w:szCs w:val="24"/>
        </w:rPr>
      </w:pPr>
    </w:p>
    <w:p w14:paraId="630BDDC4" w14:textId="77777777" w:rsidR="00B57CCE" w:rsidRDefault="00185FA4" w:rsidP="00B57CCE">
      <w:pPr>
        <w:pStyle w:val="corte4fondo"/>
        <w:numPr>
          <w:ilvl w:val="0"/>
          <w:numId w:val="1"/>
        </w:numPr>
        <w:ind w:left="0" w:hanging="567"/>
        <w:rPr>
          <w:rFonts w:cs="Arial"/>
          <w:sz w:val="26"/>
          <w:szCs w:val="26"/>
        </w:rPr>
      </w:pPr>
      <w:r w:rsidRPr="00B57CCE">
        <w:rPr>
          <w:rFonts w:cs="Arial"/>
          <w:sz w:val="26"/>
          <w:szCs w:val="26"/>
        </w:rPr>
        <w:t>Al respecto, del análisis de las constancias de autos se concluye que e</w:t>
      </w:r>
      <w:r w:rsidR="00520C40" w:rsidRPr="00B57CCE">
        <w:rPr>
          <w:rFonts w:cs="Arial"/>
          <w:sz w:val="26"/>
          <w:szCs w:val="26"/>
        </w:rPr>
        <w:t xml:space="preserve">l </w:t>
      </w:r>
      <w:r w:rsidR="00632B83" w:rsidRPr="00B57CCE">
        <w:rPr>
          <w:rFonts w:cs="Arial"/>
          <w:sz w:val="26"/>
          <w:szCs w:val="26"/>
        </w:rPr>
        <w:t>t</w:t>
      </w:r>
      <w:r w:rsidR="00520C40" w:rsidRPr="00B57CCE">
        <w:rPr>
          <w:rFonts w:cs="Arial"/>
          <w:sz w:val="26"/>
          <w:szCs w:val="26"/>
        </w:rPr>
        <w:t xml:space="preserve">ribunal </w:t>
      </w:r>
      <w:r w:rsidR="00632B83" w:rsidRPr="00B57CCE">
        <w:rPr>
          <w:rFonts w:cs="Arial"/>
          <w:sz w:val="26"/>
          <w:szCs w:val="26"/>
        </w:rPr>
        <w:t>c</w:t>
      </w:r>
      <w:r w:rsidR="00520C40" w:rsidRPr="00B57CCE">
        <w:rPr>
          <w:rFonts w:cs="Arial"/>
          <w:sz w:val="26"/>
          <w:szCs w:val="26"/>
        </w:rPr>
        <w:t xml:space="preserve">olegiado no condicionó el reconocimiento de la filiación a un modelo heterosexual ni aplicó estándares diferenciados por orientación sexual. Su razonamiento se sustentó en la estructura normativa de los artículos 401 </w:t>
      </w:r>
      <w:r w:rsidR="00CD6788" w:rsidRPr="00B57CCE">
        <w:rPr>
          <w:rFonts w:cs="Arial"/>
          <w:sz w:val="26"/>
          <w:szCs w:val="26"/>
        </w:rPr>
        <w:t>a</w:t>
      </w:r>
      <w:r w:rsidR="00520C40" w:rsidRPr="00B57CCE">
        <w:rPr>
          <w:rFonts w:cs="Arial"/>
          <w:sz w:val="26"/>
          <w:szCs w:val="26"/>
        </w:rPr>
        <w:t xml:space="preserve"> 404 del Código Civil </w:t>
      </w:r>
      <w:r w:rsidR="00C75523" w:rsidRPr="00B57CCE">
        <w:rPr>
          <w:rFonts w:cs="Arial"/>
          <w:sz w:val="26"/>
          <w:szCs w:val="26"/>
        </w:rPr>
        <w:t xml:space="preserve">para el Estado Libre y Soberano </w:t>
      </w:r>
      <w:r w:rsidR="00520C40" w:rsidRPr="00B57CCE">
        <w:rPr>
          <w:rFonts w:cs="Arial"/>
          <w:sz w:val="26"/>
          <w:szCs w:val="26"/>
        </w:rPr>
        <w:t xml:space="preserve">de Baja California Sur, cuyo contenido regula hipótesis de filiación basadas en elementos estrictamente biológicos. La inaplicabilidad de esas figuras no obedeció a un criterio </w:t>
      </w:r>
      <w:proofErr w:type="spellStart"/>
      <w:r w:rsidR="00520C40" w:rsidRPr="00B57CCE">
        <w:rPr>
          <w:rFonts w:cs="Arial"/>
          <w:sz w:val="26"/>
          <w:szCs w:val="26"/>
        </w:rPr>
        <w:t>heteronormado</w:t>
      </w:r>
      <w:proofErr w:type="spellEnd"/>
      <w:r w:rsidR="00520C40" w:rsidRPr="00B57CCE">
        <w:rPr>
          <w:rFonts w:cs="Arial"/>
          <w:sz w:val="26"/>
          <w:szCs w:val="26"/>
        </w:rPr>
        <w:t xml:space="preserve">, sino a que la pretensión de la quejosa no buscaba acreditar un vínculo biológico, sino constituir un vínculo jurídico derivado de una relación afectiva ya concluida. En consecuencia, el Tribunal explicó que dichos preceptos no podían aplicarse porque atienden a supuestos fácticos ajenos al caso y resultaban incompatibles con la vía intentada. De ello se </w:t>
      </w:r>
      <w:r w:rsidR="003743F9" w:rsidRPr="00B57CCE">
        <w:rPr>
          <w:rFonts w:cs="Arial"/>
          <w:sz w:val="26"/>
          <w:szCs w:val="26"/>
        </w:rPr>
        <w:t xml:space="preserve">advierte </w:t>
      </w:r>
      <w:r w:rsidR="00520C40" w:rsidRPr="00B57CCE">
        <w:rPr>
          <w:rFonts w:cs="Arial"/>
          <w:sz w:val="26"/>
          <w:szCs w:val="26"/>
        </w:rPr>
        <w:t>que la decisión no plantea un problema de constitucionalidad ni exige un examen adicional de naturaleza discriminatoria.</w:t>
      </w:r>
    </w:p>
    <w:p w14:paraId="2BE3BD2A" w14:textId="77777777" w:rsidR="00B57CCE" w:rsidRDefault="00B57CCE" w:rsidP="00B57CCE">
      <w:pPr>
        <w:pStyle w:val="corte4fondo"/>
        <w:ind w:firstLine="0"/>
        <w:rPr>
          <w:rFonts w:cs="Arial"/>
          <w:sz w:val="26"/>
          <w:szCs w:val="26"/>
        </w:rPr>
      </w:pPr>
    </w:p>
    <w:p w14:paraId="6D70CA86" w14:textId="77777777" w:rsidR="00B57CCE" w:rsidRDefault="00406944" w:rsidP="00B57CCE">
      <w:pPr>
        <w:pStyle w:val="corte4fondo"/>
        <w:numPr>
          <w:ilvl w:val="0"/>
          <w:numId w:val="1"/>
        </w:numPr>
        <w:ind w:left="0" w:hanging="567"/>
        <w:rPr>
          <w:rFonts w:cs="Arial"/>
          <w:sz w:val="26"/>
          <w:szCs w:val="26"/>
        </w:rPr>
      </w:pPr>
      <w:r w:rsidRPr="00B57CCE">
        <w:rPr>
          <w:rFonts w:cs="Arial"/>
          <w:sz w:val="26"/>
          <w:szCs w:val="26"/>
          <w:lang w:val="es-ES"/>
        </w:rPr>
        <w:t>Por otra parte,</w:t>
      </w:r>
      <w:r w:rsidR="00C408A5" w:rsidRPr="00B57CCE">
        <w:rPr>
          <w:rFonts w:cs="Arial"/>
          <w:sz w:val="26"/>
          <w:szCs w:val="26"/>
          <w:lang w:val="es-ES"/>
        </w:rPr>
        <w:t xml:space="preserve"> el asunto</w:t>
      </w:r>
      <w:r w:rsidR="00881D96" w:rsidRPr="00B57CCE">
        <w:rPr>
          <w:rFonts w:cs="Arial"/>
          <w:sz w:val="26"/>
          <w:szCs w:val="26"/>
          <w:lang w:val="es-ES"/>
        </w:rPr>
        <w:t xml:space="preserve"> t</w:t>
      </w:r>
      <w:r w:rsidR="005A2AFD" w:rsidRPr="00B57CCE">
        <w:rPr>
          <w:rFonts w:cs="Arial"/>
          <w:sz w:val="26"/>
          <w:szCs w:val="26"/>
          <w:lang w:val="es-ES"/>
        </w:rPr>
        <w:t>ampoco</w:t>
      </w:r>
      <w:r w:rsidR="00C408A5" w:rsidRPr="00B57CCE">
        <w:rPr>
          <w:rFonts w:cs="Arial"/>
          <w:sz w:val="26"/>
          <w:szCs w:val="26"/>
          <w:lang w:val="es-ES"/>
        </w:rPr>
        <w:t xml:space="preserve"> cumple con requisito de interés excepcional</w:t>
      </w:r>
      <w:r w:rsidR="00185FA4" w:rsidRPr="00B57CCE">
        <w:rPr>
          <w:rFonts w:cs="Arial"/>
          <w:sz w:val="26"/>
          <w:szCs w:val="26"/>
          <w:lang w:val="es-ES"/>
        </w:rPr>
        <w:t>. L</w:t>
      </w:r>
      <w:r w:rsidR="00CE758B" w:rsidRPr="00B57CCE">
        <w:rPr>
          <w:rFonts w:cs="Arial"/>
          <w:sz w:val="26"/>
          <w:szCs w:val="26"/>
        </w:rPr>
        <w:t xml:space="preserve">os argumentos de la recurrente parten de una premisa incorrecta, pues asume que la negativa al reconocimiento de la </w:t>
      </w:r>
      <w:proofErr w:type="spellStart"/>
      <w:r w:rsidR="00CE758B" w:rsidRPr="00B57CCE">
        <w:rPr>
          <w:rFonts w:cs="Arial"/>
          <w:sz w:val="26"/>
          <w:szCs w:val="26"/>
        </w:rPr>
        <w:t>comaternidad</w:t>
      </w:r>
      <w:proofErr w:type="spellEnd"/>
      <w:r w:rsidR="00CE758B" w:rsidRPr="00B57CCE">
        <w:rPr>
          <w:rFonts w:cs="Arial"/>
          <w:sz w:val="26"/>
          <w:szCs w:val="26"/>
        </w:rPr>
        <w:t xml:space="preserve"> obedeció exclusivamente a que la relación de concubinato había concluido. Si bien el </w:t>
      </w:r>
      <w:r w:rsidR="00632B83" w:rsidRPr="00B57CCE">
        <w:rPr>
          <w:rFonts w:cs="Arial"/>
          <w:sz w:val="26"/>
          <w:szCs w:val="26"/>
        </w:rPr>
        <w:t>t</w:t>
      </w:r>
      <w:r w:rsidR="00CE758B" w:rsidRPr="00B57CCE">
        <w:rPr>
          <w:rFonts w:cs="Arial"/>
          <w:sz w:val="26"/>
          <w:szCs w:val="26"/>
        </w:rPr>
        <w:t xml:space="preserve">ribunal </w:t>
      </w:r>
      <w:r w:rsidR="00632B83" w:rsidRPr="00B57CCE">
        <w:rPr>
          <w:rFonts w:cs="Arial"/>
          <w:sz w:val="26"/>
          <w:szCs w:val="26"/>
        </w:rPr>
        <w:t>c</w:t>
      </w:r>
      <w:r w:rsidR="00CE758B" w:rsidRPr="00B57CCE">
        <w:rPr>
          <w:rFonts w:cs="Arial"/>
          <w:sz w:val="26"/>
          <w:szCs w:val="26"/>
        </w:rPr>
        <w:t xml:space="preserve">olegiado señaló que la relación sentimental entre las partes —y, en su caso, la posibilidad de una </w:t>
      </w:r>
      <w:proofErr w:type="spellStart"/>
      <w:r w:rsidR="00CE758B" w:rsidRPr="00B57CCE">
        <w:rPr>
          <w:rFonts w:cs="Arial"/>
          <w:sz w:val="26"/>
          <w:szCs w:val="26"/>
        </w:rPr>
        <w:t>comaternidad</w:t>
      </w:r>
      <w:proofErr w:type="spellEnd"/>
      <w:r w:rsidR="00CE758B" w:rsidRPr="00B57CCE">
        <w:rPr>
          <w:rFonts w:cs="Arial"/>
          <w:sz w:val="26"/>
          <w:szCs w:val="26"/>
        </w:rPr>
        <w:t xml:space="preserve"> consensuada— terminó un año antes de que se promoviera la demanda</w:t>
      </w:r>
      <w:r w:rsidR="003F290B" w:rsidRPr="00B57CCE">
        <w:rPr>
          <w:rFonts w:cs="Arial"/>
          <w:sz w:val="26"/>
          <w:szCs w:val="26"/>
        </w:rPr>
        <w:t xml:space="preserve">, </w:t>
      </w:r>
      <w:r w:rsidR="00CE758B" w:rsidRPr="00B57CCE">
        <w:rPr>
          <w:rFonts w:cs="Arial"/>
          <w:sz w:val="26"/>
          <w:szCs w:val="26"/>
        </w:rPr>
        <w:t xml:space="preserve">no utilizó ese dato como una forma de caducidad o extinción de derechos, sino para destacar que, al momento de solicitar el reconocimiento, </w:t>
      </w:r>
      <w:r w:rsidR="001C041B" w:rsidRPr="00B57CCE">
        <w:rPr>
          <w:rFonts w:cs="Arial"/>
          <w:sz w:val="26"/>
          <w:szCs w:val="26"/>
        </w:rPr>
        <w:t xml:space="preserve">la realidad familiar y emocional de la persona menor de edad ya se encontraba configurada en un entorno distinto, con vínculos y estructuras afectivas plenamente consolidadas, lo que hacía imposible </w:t>
      </w:r>
      <w:r w:rsidR="009B15FD" w:rsidRPr="00B57CCE">
        <w:rPr>
          <w:rFonts w:cs="Arial"/>
          <w:sz w:val="26"/>
          <w:szCs w:val="26"/>
        </w:rPr>
        <w:t>sostener que subsist</w:t>
      </w:r>
      <w:r w:rsidR="00185FA4" w:rsidRPr="00B57CCE">
        <w:rPr>
          <w:rFonts w:cs="Arial"/>
          <w:sz w:val="26"/>
          <w:szCs w:val="26"/>
        </w:rPr>
        <w:t>ier</w:t>
      </w:r>
      <w:r w:rsidR="009B15FD" w:rsidRPr="00B57CCE">
        <w:rPr>
          <w:rFonts w:cs="Arial"/>
          <w:sz w:val="26"/>
          <w:szCs w:val="26"/>
        </w:rPr>
        <w:t>a una voluntad conjunta para asumir la maternidad</w:t>
      </w:r>
      <w:r w:rsidR="00185FA4" w:rsidRPr="00B57CCE">
        <w:rPr>
          <w:rFonts w:cs="Arial"/>
          <w:sz w:val="26"/>
          <w:szCs w:val="26"/>
        </w:rPr>
        <w:t xml:space="preserve"> de la menor.</w:t>
      </w:r>
    </w:p>
    <w:p w14:paraId="1B166653" w14:textId="77777777" w:rsidR="00B57CCE" w:rsidRDefault="00B57CCE" w:rsidP="00B57CCE">
      <w:pPr>
        <w:pStyle w:val="Prrafodelista"/>
        <w:rPr>
          <w:rFonts w:cs="Arial"/>
          <w:sz w:val="26"/>
          <w:szCs w:val="26"/>
        </w:rPr>
      </w:pPr>
    </w:p>
    <w:p w14:paraId="4FCC90A0" w14:textId="25F5B6E4" w:rsidR="00B57CCE" w:rsidRDefault="00A02567" w:rsidP="00B57CCE">
      <w:pPr>
        <w:pStyle w:val="corte4fondo"/>
        <w:numPr>
          <w:ilvl w:val="0"/>
          <w:numId w:val="1"/>
        </w:numPr>
        <w:ind w:left="0" w:hanging="567"/>
        <w:rPr>
          <w:rFonts w:cs="Arial"/>
          <w:sz w:val="26"/>
          <w:szCs w:val="26"/>
        </w:rPr>
      </w:pPr>
      <w:r w:rsidRPr="00B57CCE">
        <w:rPr>
          <w:rFonts w:cs="Arial"/>
          <w:sz w:val="26"/>
          <w:szCs w:val="26"/>
        </w:rPr>
        <w:t xml:space="preserve">Además, resulta indispensable incorporar el </w:t>
      </w:r>
      <w:r w:rsidRPr="00B57CCE">
        <w:rPr>
          <w:rFonts w:cs="Arial"/>
          <w:b/>
          <w:bCs/>
          <w:sz w:val="26"/>
          <w:szCs w:val="26"/>
        </w:rPr>
        <w:t>enfoque de curso de vida</w:t>
      </w:r>
      <w:r w:rsidR="00185FA4" w:rsidRPr="00B57CCE">
        <w:rPr>
          <w:rFonts w:cs="Arial"/>
          <w:b/>
          <w:bCs/>
          <w:sz w:val="26"/>
          <w:szCs w:val="26"/>
        </w:rPr>
        <w:t>,</w:t>
      </w:r>
      <w:r w:rsidRPr="00B57CCE">
        <w:rPr>
          <w:rFonts w:cs="Arial"/>
          <w:sz w:val="26"/>
          <w:szCs w:val="26"/>
        </w:rPr>
        <w:t xml:space="preserve"> desarrollado por la Corte Constitucional de Colombia en la Sentencia T-350</w:t>
      </w:r>
      <w:r w:rsidR="007B3EFE">
        <w:rPr>
          <w:rFonts w:cs="Arial"/>
          <w:sz w:val="26"/>
          <w:szCs w:val="26"/>
        </w:rPr>
        <w:t>/2025</w:t>
      </w:r>
      <w:r w:rsidRPr="00B74199">
        <w:rPr>
          <w:rStyle w:val="Refdenotaalpie"/>
          <w:rFonts w:cs="Arial"/>
          <w:sz w:val="26"/>
          <w:szCs w:val="26"/>
        </w:rPr>
        <w:footnoteReference w:id="8"/>
      </w:r>
      <w:r w:rsidRPr="00B57CCE">
        <w:rPr>
          <w:rFonts w:cs="Arial"/>
          <w:sz w:val="26"/>
          <w:szCs w:val="26"/>
        </w:rPr>
        <w:t>, según el cual las experiencias, vínculos afectivos y condiciones que atraviesa una persona menor de edad en cada una de sus etapas de desarrollo</w:t>
      </w:r>
      <w:r w:rsidR="00185FA4" w:rsidRPr="00B57CCE">
        <w:rPr>
          <w:rFonts w:cs="Arial"/>
          <w:sz w:val="26"/>
          <w:szCs w:val="26"/>
        </w:rPr>
        <w:t>,</w:t>
      </w:r>
      <w:r w:rsidRPr="00B57CCE">
        <w:rPr>
          <w:rFonts w:cs="Arial"/>
          <w:sz w:val="26"/>
          <w:szCs w:val="26"/>
        </w:rPr>
        <w:t xml:space="preserve"> no constituyen </w:t>
      </w:r>
      <w:r w:rsidRPr="00B57CCE">
        <w:rPr>
          <w:rFonts w:cs="Arial"/>
          <w:sz w:val="26"/>
          <w:szCs w:val="26"/>
        </w:rPr>
        <w:lastRenderedPageBreak/>
        <w:t xml:space="preserve">hechos aislados, sino que se integran y proyectan en su construcción emocional, cognitiva y relacional. </w:t>
      </w:r>
    </w:p>
    <w:p w14:paraId="75D52443" w14:textId="77777777" w:rsidR="00B57CCE" w:rsidRDefault="00B57CCE" w:rsidP="00B57CCE">
      <w:pPr>
        <w:pStyle w:val="Prrafodelista"/>
        <w:rPr>
          <w:rFonts w:cs="Arial"/>
          <w:sz w:val="26"/>
          <w:szCs w:val="26"/>
        </w:rPr>
      </w:pPr>
    </w:p>
    <w:p w14:paraId="6130F29F" w14:textId="77777777" w:rsidR="00B57CCE" w:rsidRDefault="00A02567" w:rsidP="00B57CCE">
      <w:pPr>
        <w:pStyle w:val="corte4fondo"/>
        <w:numPr>
          <w:ilvl w:val="0"/>
          <w:numId w:val="1"/>
        </w:numPr>
        <w:ind w:left="0" w:hanging="567"/>
        <w:rPr>
          <w:rFonts w:cs="Arial"/>
          <w:sz w:val="26"/>
          <w:szCs w:val="26"/>
        </w:rPr>
      </w:pPr>
      <w:r w:rsidRPr="00B57CCE">
        <w:rPr>
          <w:rFonts w:cs="Arial"/>
          <w:sz w:val="26"/>
          <w:szCs w:val="26"/>
        </w:rPr>
        <w:t xml:space="preserve">Bajo esta perspectiva, </w:t>
      </w:r>
      <w:r w:rsidR="00185FA4" w:rsidRPr="00B57CCE">
        <w:rPr>
          <w:rFonts w:cs="Arial"/>
          <w:sz w:val="26"/>
          <w:szCs w:val="26"/>
        </w:rPr>
        <w:t xml:space="preserve">tal y como acertadamente lo hizo el </w:t>
      </w:r>
      <w:r w:rsidR="00632B83" w:rsidRPr="00B57CCE">
        <w:rPr>
          <w:rFonts w:cs="Arial"/>
          <w:sz w:val="26"/>
          <w:szCs w:val="26"/>
        </w:rPr>
        <w:t>t</w:t>
      </w:r>
      <w:r w:rsidR="00185FA4" w:rsidRPr="00B57CCE">
        <w:rPr>
          <w:rFonts w:cs="Arial"/>
          <w:sz w:val="26"/>
          <w:szCs w:val="26"/>
        </w:rPr>
        <w:t xml:space="preserve">ribunal </w:t>
      </w:r>
      <w:r w:rsidR="00632B83" w:rsidRPr="00B57CCE">
        <w:rPr>
          <w:rFonts w:cs="Arial"/>
          <w:sz w:val="26"/>
          <w:szCs w:val="26"/>
        </w:rPr>
        <w:t>c</w:t>
      </w:r>
      <w:r w:rsidR="00185FA4" w:rsidRPr="00B57CCE">
        <w:rPr>
          <w:rFonts w:cs="Arial"/>
          <w:sz w:val="26"/>
          <w:szCs w:val="26"/>
        </w:rPr>
        <w:t xml:space="preserve">olegiado, </w:t>
      </w:r>
      <w:r w:rsidRPr="00B57CCE">
        <w:rPr>
          <w:rFonts w:cs="Arial"/>
          <w:sz w:val="26"/>
          <w:szCs w:val="26"/>
        </w:rPr>
        <w:t xml:space="preserve">el análisis no </w:t>
      </w:r>
      <w:r w:rsidR="00185FA4" w:rsidRPr="00B57CCE">
        <w:rPr>
          <w:rFonts w:cs="Arial"/>
          <w:sz w:val="26"/>
          <w:szCs w:val="26"/>
        </w:rPr>
        <w:t>debe</w:t>
      </w:r>
      <w:r w:rsidRPr="00B57CCE">
        <w:rPr>
          <w:rFonts w:cs="Arial"/>
          <w:sz w:val="26"/>
          <w:szCs w:val="26"/>
        </w:rPr>
        <w:t xml:space="preserve"> limitarse a revisar de manera fragmentada episodios de convivencia pasados,</w:t>
      </w:r>
      <w:r w:rsidR="00185FA4" w:rsidRPr="00B57CCE">
        <w:rPr>
          <w:rFonts w:cs="Arial"/>
          <w:sz w:val="26"/>
          <w:szCs w:val="26"/>
        </w:rPr>
        <w:t xml:space="preserve"> </w:t>
      </w:r>
      <w:r w:rsidRPr="00B57CCE">
        <w:rPr>
          <w:rFonts w:cs="Arial"/>
          <w:sz w:val="26"/>
          <w:szCs w:val="26"/>
        </w:rPr>
        <w:t>sino que debe atender</w:t>
      </w:r>
      <w:r w:rsidR="00185FA4" w:rsidRPr="00B57CCE">
        <w:rPr>
          <w:rFonts w:cs="Arial"/>
          <w:sz w:val="26"/>
          <w:szCs w:val="26"/>
        </w:rPr>
        <w:t xml:space="preserve"> a</w:t>
      </w:r>
      <w:r w:rsidRPr="00B57CCE">
        <w:rPr>
          <w:rFonts w:cs="Arial"/>
          <w:sz w:val="26"/>
          <w:szCs w:val="26"/>
        </w:rPr>
        <w:t xml:space="preserve"> la forma en que la </w:t>
      </w:r>
      <w:r w:rsidR="00185FA4" w:rsidRPr="00B57CCE">
        <w:rPr>
          <w:rFonts w:cs="Arial"/>
          <w:sz w:val="26"/>
          <w:szCs w:val="26"/>
        </w:rPr>
        <w:t>menor</w:t>
      </w:r>
      <w:r w:rsidRPr="00B57CCE">
        <w:rPr>
          <w:rFonts w:cs="Arial"/>
          <w:sz w:val="26"/>
          <w:szCs w:val="26"/>
        </w:rPr>
        <w:t xml:space="preserve"> ha configurado su identidad familiar actual. </w:t>
      </w:r>
    </w:p>
    <w:p w14:paraId="2DD8A9BC" w14:textId="77777777" w:rsidR="00B57CCE" w:rsidRDefault="00B57CCE" w:rsidP="00B57CCE">
      <w:pPr>
        <w:pStyle w:val="Prrafodelista"/>
        <w:rPr>
          <w:rFonts w:cs="Arial"/>
          <w:sz w:val="26"/>
          <w:szCs w:val="26"/>
          <w:lang w:val="es-MX"/>
        </w:rPr>
      </w:pPr>
    </w:p>
    <w:p w14:paraId="3C1C1E58" w14:textId="5D0CE742" w:rsidR="00B57CCE" w:rsidRDefault="00D9290F" w:rsidP="00B57CCE">
      <w:pPr>
        <w:pStyle w:val="corte4fondo"/>
        <w:numPr>
          <w:ilvl w:val="0"/>
          <w:numId w:val="1"/>
        </w:numPr>
        <w:ind w:left="0" w:hanging="567"/>
        <w:rPr>
          <w:rFonts w:cs="Arial"/>
          <w:sz w:val="26"/>
          <w:szCs w:val="26"/>
        </w:rPr>
      </w:pPr>
      <w:r w:rsidRPr="00B57CCE">
        <w:rPr>
          <w:rFonts w:cs="Arial"/>
          <w:sz w:val="26"/>
          <w:szCs w:val="26"/>
          <w:lang w:val="es-MX"/>
        </w:rPr>
        <w:t>En el caso, la evidencia psicológica y la comparecencia de la menor acreditan que se asume como integrante de un núcleo conformado por su madre biológica, el esposo de ésta y la hija menor de ambos, a quienes identifica como madre, padre y hermana, respectivamente, sin reconocer a la quejosa como figura materna. Esta constatación adquiere un carácter decisivo a la luz del principio del interés superior de la niñez, previsto expresamente en el artículo 4o. constitucional, el cual dispone que en todas las decisiones y actuaciones del Estado debe velarse por dicho principio y garantizar de manera plena los derechos de niñas y niños</w:t>
      </w:r>
      <w:r w:rsidR="003A38D3">
        <w:rPr>
          <w:rFonts w:cs="Arial"/>
          <w:sz w:val="26"/>
          <w:szCs w:val="26"/>
          <w:lang w:val="es-MX"/>
        </w:rPr>
        <w:t xml:space="preserve">, así como </w:t>
      </w:r>
      <w:r w:rsidRPr="00B57CCE">
        <w:rPr>
          <w:rFonts w:cs="Arial"/>
          <w:sz w:val="26"/>
          <w:szCs w:val="26"/>
          <w:lang w:val="es-MX"/>
        </w:rPr>
        <w:t xml:space="preserve">su desarrollo integral. </w:t>
      </w:r>
    </w:p>
    <w:p w14:paraId="1DC4F9A0" w14:textId="77777777" w:rsidR="00B57CCE" w:rsidRDefault="00B57CCE" w:rsidP="00B57CCE">
      <w:pPr>
        <w:pStyle w:val="Prrafodelista"/>
        <w:rPr>
          <w:rFonts w:cs="Arial"/>
          <w:sz w:val="26"/>
          <w:szCs w:val="26"/>
        </w:rPr>
      </w:pPr>
    </w:p>
    <w:p w14:paraId="746BF4AE" w14:textId="77777777" w:rsidR="00B57CCE" w:rsidRDefault="00D9290F" w:rsidP="00B57CCE">
      <w:pPr>
        <w:pStyle w:val="corte4fondo"/>
        <w:numPr>
          <w:ilvl w:val="0"/>
          <w:numId w:val="1"/>
        </w:numPr>
        <w:ind w:left="0" w:hanging="567"/>
        <w:rPr>
          <w:rFonts w:cs="Arial"/>
          <w:sz w:val="26"/>
          <w:szCs w:val="26"/>
        </w:rPr>
      </w:pPr>
      <w:r w:rsidRPr="00B57CCE">
        <w:rPr>
          <w:rFonts w:cs="Arial"/>
          <w:sz w:val="26"/>
          <w:szCs w:val="26"/>
        </w:rPr>
        <w:t>En concordancia con este mandato, el artículo 3 de la Convención sobre los Derechos del Niño y el artículo 19 de la Convención Americana sobre Derechos Humanos exigen tratar el interés superior de la infancia como consideración primordial y asegurar una protección reforzada. De igual forma, la Ley General de los Derechos de Niñas, Niños y Adolescentes obligan a privilegiar su bienestar físico y emocional y a adoptar decisiones que favorezcan su desarrollo integral.</w:t>
      </w:r>
    </w:p>
    <w:p w14:paraId="6C96AA4C" w14:textId="77777777" w:rsidR="00B57CCE" w:rsidRDefault="00B57CCE" w:rsidP="00B57CCE">
      <w:pPr>
        <w:pStyle w:val="Prrafodelista"/>
        <w:rPr>
          <w:rFonts w:cs="Arial"/>
          <w:sz w:val="26"/>
          <w:szCs w:val="26"/>
          <w:lang w:val="es-MX"/>
        </w:rPr>
      </w:pPr>
    </w:p>
    <w:p w14:paraId="185A66B1" w14:textId="77777777" w:rsidR="00B57CCE" w:rsidRDefault="00D9290F" w:rsidP="00B57CCE">
      <w:pPr>
        <w:pStyle w:val="corte4fondo"/>
        <w:numPr>
          <w:ilvl w:val="0"/>
          <w:numId w:val="1"/>
        </w:numPr>
        <w:ind w:left="0" w:hanging="567"/>
        <w:rPr>
          <w:rFonts w:cs="Arial"/>
          <w:sz w:val="26"/>
          <w:szCs w:val="26"/>
        </w:rPr>
      </w:pPr>
      <w:r w:rsidRPr="00B57CCE">
        <w:rPr>
          <w:rFonts w:cs="Arial"/>
          <w:sz w:val="26"/>
          <w:szCs w:val="26"/>
          <w:lang w:val="es-MX"/>
        </w:rPr>
        <w:t>Conforme a este marco, resulta necesario privilegiar la estabilidad afectiva de la menor y la continuidad de los vínculos significativos construidos en su entorno familiar actual, así como descartar la creación de relaciones jurídicas que no reflejen su realidad emocional ni favorezcan su desarrollo integral.</w:t>
      </w:r>
    </w:p>
    <w:p w14:paraId="5F2246BA" w14:textId="77777777" w:rsidR="00B57CCE" w:rsidRDefault="00B57CCE" w:rsidP="00B57CCE">
      <w:pPr>
        <w:pStyle w:val="Prrafodelista"/>
        <w:rPr>
          <w:sz w:val="26"/>
          <w:szCs w:val="26"/>
        </w:rPr>
      </w:pPr>
    </w:p>
    <w:p w14:paraId="3A7DD3E6" w14:textId="1E342AC7" w:rsidR="00B57CCE" w:rsidRDefault="0042559E" w:rsidP="00B57CCE">
      <w:pPr>
        <w:pStyle w:val="corte4fondo"/>
        <w:numPr>
          <w:ilvl w:val="0"/>
          <w:numId w:val="1"/>
        </w:numPr>
        <w:ind w:left="0" w:hanging="567"/>
        <w:rPr>
          <w:rFonts w:cs="Arial"/>
          <w:sz w:val="26"/>
          <w:szCs w:val="26"/>
        </w:rPr>
      </w:pPr>
      <w:r w:rsidRPr="00B57CCE">
        <w:rPr>
          <w:sz w:val="26"/>
          <w:szCs w:val="26"/>
        </w:rPr>
        <w:t xml:space="preserve">En relación con </w:t>
      </w:r>
      <w:r w:rsidR="00555ED4" w:rsidRPr="00B57CCE">
        <w:rPr>
          <w:sz w:val="26"/>
          <w:szCs w:val="26"/>
        </w:rPr>
        <w:t>el argumento</w:t>
      </w:r>
      <w:r w:rsidRPr="00B57CCE">
        <w:rPr>
          <w:sz w:val="26"/>
          <w:szCs w:val="26"/>
        </w:rPr>
        <w:t xml:space="preserve"> consistente en que el Tribunal no expuso con claridad por qué no se trataba de una acción de investigación de paternidad, la sentencia contiene una motivación suficiente. </w:t>
      </w:r>
      <w:r w:rsidR="008439AE" w:rsidRPr="00B57CCE">
        <w:rPr>
          <w:sz w:val="26"/>
          <w:szCs w:val="26"/>
        </w:rPr>
        <w:t xml:space="preserve">El </w:t>
      </w:r>
      <w:r w:rsidR="00632B83" w:rsidRPr="00B57CCE">
        <w:rPr>
          <w:sz w:val="26"/>
          <w:szCs w:val="26"/>
        </w:rPr>
        <w:t>t</w:t>
      </w:r>
      <w:r w:rsidR="008725B7" w:rsidRPr="00B57CCE">
        <w:rPr>
          <w:sz w:val="26"/>
          <w:szCs w:val="26"/>
        </w:rPr>
        <w:t xml:space="preserve">ribunal </w:t>
      </w:r>
      <w:r w:rsidR="00632B83" w:rsidRPr="00B57CCE">
        <w:rPr>
          <w:sz w:val="26"/>
          <w:szCs w:val="26"/>
        </w:rPr>
        <w:t>c</w:t>
      </w:r>
      <w:r w:rsidR="008725B7" w:rsidRPr="00B57CCE">
        <w:rPr>
          <w:sz w:val="26"/>
          <w:szCs w:val="26"/>
        </w:rPr>
        <w:t>olegiado</w:t>
      </w:r>
      <w:r w:rsidRPr="00B57CCE">
        <w:rPr>
          <w:sz w:val="26"/>
          <w:szCs w:val="26"/>
        </w:rPr>
        <w:t xml:space="preserve"> </w:t>
      </w:r>
      <w:r w:rsidR="008725B7" w:rsidRPr="00B57CCE">
        <w:rPr>
          <w:sz w:val="26"/>
          <w:szCs w:val="26"/>
        </w:rPr>
        <w:t>concluyó</w:t>
      </w:r>
      <w:r w:rsidRPr="00B57CCE">
        <w:rPr>
          <w:sz w:val="26"/>
          <w:szCs w:val="26"/>
        </w:rPr>
        <w:t xml:space="preserve"> que la investigación de paternidad —y en su caso, de maternidad— presupone incertidumbre sobre el origen biológico de</w:t>
      </w:r>
      <w:r w:rsidR="00A40678">
        <w:rPr>
          <w:sz w:val="26"/>
          <w:szCs w:val="26"/>
        </w:rPr>
        <w:t xml:space="preserve"> la</w:t>
      </w:r>
      <w:r w:rsidRPr="00B57CCE">
        <w:rPr>
          <w:sz w:val="26"/>
          <w:szCs w:val="26"/>
        </w:rPr>
        <w:t xml:space="preserve"> menor, hipótesis descartada en este caso porque todas las partes reconocieron la maternidad gestante y la existencia del padre biológico. La pretensión de la quejosa se ubica en un plano distinto: establecer una maternidad jurídica derivada de una relación afectiva pasada</w:t>
      </w:r>
      <w:r w:rsidR="00B5424F" w:rsidRPr="00B57CCE">
        <w:rPr>
          <w:sz w:val="26"/>
          <w:szCs w:val="26"/>
        </w:rPr>
        <w:t>.</w:t>
      </w:r>
    </w:p>
    <w:p w14:paraId="0836E72A" w14:textId="77777777" w:rsidR="00B57CCE" w:rsidRDefault="00B57CCE" w:rsidP="00B57CCE">
      <w:pPr>
        <w:pStyle w:val="Prrafodelista"/>
        <w:rPr>
          <w:sz w:val="26"/>
          <w:szCs w:val="26"/>
        </w:rPr>
      </w:pPr>
    </w:p>
    <w:p w14:paraId="37602A34" w14:textId="46135C6E" w:rsidR="00B57CCE" w:rsidRDefault="0042559E" w:rsidP="00B57CCE">
      <w:pPr>
        <w:pStyle w:val="corte4fondo"/>
        <w:numPr>
          <w:ilvl w:val="0"/>
          <w:numId w:val="1"/>
        </w:numPr>
        <w:ind w:left="0" w:hanging="567"/>
        <w:rPr>
          <w:rFonts w:cs="Arial"/>
          <w:sz w:val="26"/>
          <w:szCs w:val="26"/>
        </w:rPr>
      </w:pPr>
      <w:r w:rsidRPr="00B57CCE">
        <w:rPr>
          <w:sz w:val="26"/>
          <w:szCs w:val="26"/>
        </w:rPr>
        <w:t xml:space="preserve">En cuanto al señalamiento de que el </w:t>
      </w:r>
      <w:r w:rsidR="00A40678">
        <w:rPr>
          <w:sz w:val="26"/>
          <w:szCs w:val="26"/>
        </w:rPr>
        <w:t>t</w:t>
      </w:r>
      <w:r w:rsidRPr="00B57CCE">
        <w:rPr>
          <w:sz w:val="26"/>
          <w:szCs w:val="26"/>
        </w:rPr>
        <w:t xml:space="preserve">ribunal debió explicar la sentencia a la niña de forma acorde con su edad, dicha obligación no se actualiza en el presente caso porque la resolución </w:t>
      </w:r>
      <w:r w:rsidR="00F52432">
        <w:rPr>
          <w:sz w:val="26"/>
          <w:szCs w:val="26"/>
        </w:rPr>
        <w:t xml:space="preserve">del </w:t>
      </w:r>
      <w:r w:rsidR="00632B83" w:rsidRPr="00B57CCE">
        <w:rPr>
          <w:sz w:val="26"/>
          <w:szCs w:val="26"/>
        </w:rPr>
        <w:t>t</w:t>
      </w:r>
      <w:r w:rsidR="0007282D" w:rsidRPr="00B57CCE">
        <w:rPr>
          <w:sz w:val="26"/>
          <w:szCs w:val="26"/>
        </w:rPr>
        <w:t xml:space="preserve">ribunal </w:t>
      </w:r>
      <w:r w:rsidR="00632B83" w:rsidRPr="00B57CCE">
        <w:rPr>
          <w:sz w:val="26"/>
          <w:szCs w:val="26"/>
        </w:rPr>
        <w:t>c</w:t>
      </w:r>
      <w:r w:rsidR="0007282D" w:rsidRPr="00B57CCE">
        <w:rPr>
          <w:sz w:val="26"/>
          <w:szCs w:val="26"/>
        </w:rPr>
        <w:t>olegiado</w:t>
      </w:r>
      <w:r w:rsidRPr="00B57CCE">
        <w:rPr>
          <w:sz w:val="26"/>
          <w:szCs w:val="26"/>
        </w:rPr>
        <w:t xml:space="preserve"> no modificó su situación jurídica ni alteró su entorno familiar</w:t>
      </w:r>
      <w:r w:rsidR="00894AF8" w:rsidRPr="00B57CCE">
        <w:rPr>
          <w:sz w:val="26"/>
          <w:szCs w:val="26"/>
        </w:rPr>
        <w:t xml:space="preserve">, </w:t>
      </w:r>
      <w:r w:rsidRPr="00B57CCE">
        <w:rPr>
          <w:sz w:val="26"/>
          <w:szCs w:val="26"/>
        </w:rPr>
        <w:t xml:space="preserve">únicamente confirmó los efectos de la sentencia </w:t>
      </w:r>
      <w:r w:rsidR="00894AF8" w:rsidRPr="00B57CCE">
        <w:rPr>
          <w:sz w:val="26"/>
          <w:szCs w:val="26"/>
        </w:rPr>
        <w:t>de apelación</w:t>
      </w:r>
      <w:r w:rsidRPr="00B57CCE">
        <w:rPr>
          <w:sz w:val="26"/>
          <w:szCs w:val="26"/>
        </w:rPr>
        <w:t xml:space="preserve"> sin introducir nuevas cargas, restricciones o decisiones de fondo que incidieran directamente en los derechos personales de la menor. </w:t>
      </w:r>
    </w:p>
    <w:p w14:paraId="7F3FD8CA" w14:textId="77777777" w:rsidR="00B57CCE" w:rsidRDefault="00B57CCE" w:rsidP="00B57CCE">
      <w:pPr>
        <w:pStyle w:val="Prrafodelista"/>
        <w:rPr>
          <w:sz w:val="26"/>
          <w:szCs w:val="26"/>
        </w:rPr>
      </w:pPr>
    </w:p>
    <w:p w14:paraId="3F706451" w14:textId="77777777" w:rsidR="00B57CCE" w:rsidRDefault="0042559E" w:rsidP="00B57CCE">
      <w:pPr>
        <w:pStyle w:val="corte4fondo"/>
        <w:numPr>
          <w:ilvl w:val="0"/>
          <w:numId w:val="1"/>
        </w:numPr>
        <w:ind w:left="0" w:hanging="567"/>
        <w:rPr>
          <w:rFonts w:cs="Arial"/>
          <w:sz w:val="26"/>
          <w:szCs w:val="26"/>
        </w:rPr>
      </w:pPr>
      <w:r w:rsidRPr="00B57CCE">
        <w:rPr>
          <w:sz w:val="26"/>
          <w:szCs w:val="26"/>
        </w:rPr>
        <w:t xml:space="preserve">Finalmente, la afirmación de que la madre biológica “se encargó de que la niña olvidara a la quejosa” no presenta un problema constitucional, sino un desacuerdo con la valoración probatoria. El </w:t>
      </w:r>
      <w:r w:rsidR="00632B83" w:rsidRPr="00B57CCE">
        <w:rPr>
          <w:sz w:val="26"/>
          <w:szCs w:val="26"/>
        </w:rPr>
        <w:t>t</w:t>
      </w:r>
      <w:r w:rsidRPr="00B57CCE">
        <w:rPr>
          <w:sz w:val="26"/>
          <w:szCs w:val="26"/>
        </w:rPr>
        <w:t xml:space="preserve">ribunal </w:t>
      </w:r>
      <w:r w:rsidR="00632B83" w:rsidRPr="00B57CCE">
        <w:rPr>
          <w:sz w:val="26"/>
          <w:szCs w:val="26"/>
        </w:rPr>
        <w:t>c</w:t>
      </w:r>
      <w:r w:rsidRPr="00B57CCE">
        <w:rPr>
          <w:sz w:val="26"/>
          <w:szCs w:val="26"/>
        </w:rPr>
        <w:t xml:space="preserve">olegiado analizó la pericial psicológica y la declaración de la menor, </w:t>
      </w:r>
      <w:r w:rsidR="00B12665" w:rsidRPr="00B57CCE">
        <w:rPr>
          <w:sz w:val="26"/>
          <w:szCs w:val="26"/>
        </w:rPr>
        <w:t>y concluy</w:t>
      </w:r>
      <w:r w:rsidR="003D4DB8" w:rsidRPr="00B57CCE">
        <w:rPr>
          <w:sz w:val="26"/>
          <w:szCs w:val="26"/>
        </w:rPr>
        <w:t>ó</w:t>
      </w:r>
      <w:r w:rsidR="00B12665" w:rsidRPr="00B57CCE">
        <w:rPr>
          <w:sz w:val="26"/>
          <w:szCs w:val="26"/>
        </w:rPr>
        <w:t xml:space="preserve"> </w:t>
      </w:r>
      <w:r w:rsidRPr="00B57CCE">
        <w:rPr>
          <w:sz w:val="26"/>
          <w:szCs w:val="26"/>
        </w:rPr>
        <w:t xml:space="preserve">que los vínculos afectivos significativos de la niña se encontraban plenamente establecidos en su entorno familiar actual. </w:t>
      </w:r>
    </w:p>
    <w:p w14:paraId="55C55C5A" w14:textId="77777777" w:rsidR="00B57CCE" w:rsidRDefault="00B57CCE" w:rsidP="00B57CCE">
      <w:pPr>
        <w:pStyle w:val="Prrafodelista"/>
        <w:rPr>
          <w:rFonts w:cs="Arial"/>
          <w:sz w:val="26"/>
          <w:szCs w:val="26"/>
        </w:rPr>
      </w:pPr>
    </w:p>
    <w:p w14:paraId="5E94B919" w14:textId="77777777" w:rsidR="00B57CCE" w:rsidRDefault="00AA3BF3" w:rsidP="00B57CCE">
      <w:pPr>
        <w:pStyle w:val="corte4fondo"/>
        <w:numPr>
          <w:ilvl w:val="0"/>
          <w:numId w:val="1"/>
        </w:numPr>
        <w:ind w:left="0" w:hanging="567"/>
        <w:rPr>
          <w:rFonts w:cs="Arial"/>
          <w:sz w:val="26"/>
          <w:szCs w:val="26"/>
        </w:rPr>
      </w:pPr>
      <w:r w:rsidRPr="00B57CCE">
        <w:rPr>
          <w:rFonts w:cs="Arial"/>
          <w:sz w:val="26"/>
          <w:szCs w:val="26"/>
        </w:rPr>
        <w:t xml:space="preserve">Así pues, los agravios resultan inoperantes porque no controvierten los motivos determinantes de la sentencia impugnada y parten de premisas incorrectas, lo cual impide identificar un problema de constitucionalidad </w:t>
      </w:r>
      <w:r w:rsidR="003D4DB8" w:rsidRPr="00B57CCE">
        <w:rPr>
          <w:rFonts w:cs="Arial"/>
          <w:sz w:val="26"/>
          <w:szCs w:val="26"/>
        </w:rPr>
        <w:t>y</w:t>
      </w:r>
      <w:r w:rsidRPr="00B57CCE">
        <w:rPr>
          <w:rFonts w:cs="Arial"/>
          <w:sz w:val="26"/>
          <w:szCs w:val="26"/>
        </w:rPr>
        <w:t xml:space="preserve"> de </w:t>
      </w:r>
      <w:r w:rsidR="00400D4D" w:rsidRPr="00B57CCE">
        <w:rPr>
          <w:rFonts w:cs="Arial"/>
          <w:sz w:val="26"/>
          <w:szCs w:val="26"/>
        </w:rPr>
        <w:t xml:space="preserve">interés excepcional </w:t>
      </w:r>
      <w:r w:rsidRPr="00B57CCE">
        <w:rPr>
          <w:rFonts w:cs="Arial"/>
          <w:sz w:val="26"/>
          <w:szCs w:val="26"/>
        </w:rPr>
        <w:t xml:space="preserve">que requiera la intervención de esta Suprema Corte. </w:t>
      </w:r>
    </w:p>
    <w:p w14:paraId="0A8DCC34" w14:textId="77777777" w:rsidR="00B57CCE" w:rsidRDefault="00B57CCE" w:rsidP="00B57CCE">
      <w:pPr>
        <w:pStyle w:val="Prrafodelista"/>
        <w:rPr>
          <w:rFonts w:cs="Arial"/>
          <w:sz w:val="26"/>
          <w:szCs w:val="26"/>
        </w:rPr>
      </w:pPr>
    </w:p>
    <w:p w14:paraId="78EEF66E" w14:textId="0A351708" w:rsidR="002D417B" w:rsidRPr="00B57CCE" w:rsidRDefault="00AA3BF3" w:rsidP="00B57CCE">
      <w:pPr>
        <w:pStyle w:val="corte4fondo"/>
        <w:numPr>
          <w:ilvl w:val="0"/>
          <w:numId w:val="1"/>
        </w:numPr>
        <w:ind w:left="0" w:hanging="567"/>
        <w:rPr>
          <w:rFonts w:cs="Arial"/>
          <w:sz w:val="26"/>
          <w:szCs w:val="26"/>
        </w:rPr>
      </w:pPr>
      <w:r w:rsidRPr="00B57CCE">
        <w:rPr>
          <w:rFonts w:cs="Arial"/>
          <w:sz w:val="26"/>
          <w:szCs w:val="26"/>
        </w:rPr>
        <w:t xml:space="preserve">En consecuencia, al no satisfacerse </w:t>
      </w:r>
      <w:r w:rsidR="00E401A5" w:rsidRPr="00B57CCE">
        <w:rPr>
          <w:rFonts w:cs="Arial"/>
          <w:sz w:val="26"/>
          <w:szCs w:val="26"/>
        </w:rPr>
        <w:t xml:space="preserve">los requisitos exigidos </w:t>
      </w:r>
      <w:r w:rsidRPr="00B57CCE">
        <w:rPr>
          <w:rFonts w:cs="Arial"/>
          <w:sz w:val="26"/>
          <w:szCs w:val="26"/>
        </w:rPr>
        <w:t xml:space="preserve">previstos en los artículos 107, fracción IX, de la Constitución Federal; 81, fracción II, y 96 de la Ley de Amparo; así como 16, fracción IV, de la Ley Orgánica del Poder Judicial de la Federación, </w:t>
      </w:r>
      <w:r w:rsidRPr="00B57CCE">
        <w:rPr>
          <w:rFonts w:cs="Arial"/>
          <w:b/>
          <w:bCs/>
          <w:sz w:val="26"/>
          <w:szCs w:val="26"/>
        </w:rPr>
        <w:t>resulta improcedente admitir a trámite el recurso de revisión interpuesto</w:t>
      </w:r>
      <w:r w:rsidRPr="00B57CCE">
        <w:rPr>
          <w:rFonts w:cs="Arial"/>
          <w:sz w:val="26"/>
          <w:szCs w:val="26"/>
        </w:rPr>
        <w:t>.</w:t>
      </w:r>
      <w:r w:rsidR="006A0E7C">
        <w:rPr>
          <w:rFonts w:cs="Arial"/>
          <w:sz w:val="26"/>
          <w:szCs w:val="26"/>
        </w:rPr>
        <w:t xml:space="preserve"> </w:t>
      </w:r>
      <w:r w:rsidR="006A0E7C" w:rsidRPr="006A0E7C">
        <w:rPr>
          <w:rFonts w:cs="Arial"/>
          <w:sz w:val="26"/>
          <w:szCs w:val="26"/>
        </w:rPr>
        <w:t>Sin que sea obstáculo para lo anterior que, por acuerdo de doce de mayo de dos mil veinticinco, se haya admitido el asunto que nos ocupa, pues tal decisión no causa estado, en virtud de que solo corresponde a un examen preliminar del asunto y no al definitivo que ha realizado este Alto Tribunal</w:t>
      </w:r>
    </w:p>
    <w:p w14:paraId="6387E5AA" w14:textId="77777777" w:rsidR="00911430" w:rsidRPr="00B74199" w:rsidRDefault="00911430" w:rsidP="00911430">
      <w:pPr>
        <w:rPr>
          <w:rFonts w:cs="Arial"/>
          <w:sz w:val="26"/>
          <w:szCs w:val="26"/>
        </w:rPr>
      </w:pPr>
    </w:p>
    <w:p w14:paraId="6F82A470" w14:textId="77777777" w:rsidR="00911430" w:rsidRPr="00B74199" w:rsidRDefault="00911430" w:rsidP="00911430">
      <w:pPr>
        <w:pStyle w:val="corte4fondo"/>
        <w:numPr>
          <w:ilvl w:val="0"/>
          <w:numId w:val="3"/>
        </w:numPr>
        <w:tabs>
          <w:tab w:val="left" w:pos="567"/>
        </w:tabs>
        <w:jc w:val="center"/>
        <w:rPr>
          <w:rFonts w:cs="Arial"/>
          <w:b/>
          <w:bCs/>
          <w:sz w:val="26"/>
          <w:szCs w:val="26"/>
          <w:lang w:val="es-MX" w:eastAsia="en-US"/>
        </w:rPr>
      </w:pPr>
      <w:r w:rsidRPr="00B74199">
        <w:rPr>
          <w:rFonts w:cs="Arial"/>
          <w:b/>
          <w:bCs/>
          <w:sz w:val="26"/>
          <w:szCs w:val="26"/>
          <w:lang w:val="es-MX" w:eastAsia="en-US"/>
        </w:rPr>
        <w:t>DECISIÓN</w:t>
      </w:r>
    </w:p>
    <w:p w14:paraId="01EB5C4B" w14:textId="77777777" w:rsidR="00911430" w:rsidRPr="00B74199" w:rsidRDefault="00911430" w:rsidP="00911430">
      <w:pPr>
        <w:pStyle w:val="Prrafodelista"/>
        <w:rPr>
          <w:rFonts w:cs="Arial"/>
          <w:sz w:val="26"/>
          <w:szCs w:val="26"/>
        </w:rPr>
      </w:pPr>
    </w:p>
    <w:p w14:paraId="2F62C729" w14:textId="77777777" w:rsidR="00911430" w:rsidRPr="00B74199" w:rsidRDefault="00911430" w:rsidP="00911430">
      <w:pPr>
        <w:spacing w:line="360" w:lineRule="auto"/>
        <w:ind w:right="-93"/>
        <w:jc w:val="both"/>
        <w:rPr>
          <w:rFonts w:ascii="Arial" w:hAnsi="Arial" w:cs="Arial"/>
          <w:sz w:val="26"/>
          <w:szCs w:val="26"/>
          <w:lang w:eastAsia="en-US"/>
        </w:rPr>
      </w:pPr>
      <w:r w:rsidRPr="00B74199">
        <w:rPr>
          <w:rFonts w:ascii="Arial" w:hAnsi="Arial" w:cs="Arial"/>
          <w:sz w:val="26"/>
          <w:szCs w:val="26"/>
          <w:lang w:eastAsia="en-US"/>
        </w:rPr>
        <w:t>Por todo lo expuesto y fundado, se resuelve:</w:t>
      </w:r>
    </w:p>
    <w:p w14:paraId="7B7F4AA1" w14:textId="77777777" w:rsidR="00911430" w:rsidRPr="00B74199" w:rsidRDefault="00911430" w:rsidP="00911430">
      <w:pPr>
        <w:spacing w:line="360" w:lineRule="auto"/>
        <w:ind w:right="-93"/>
        <w:jc w:val="both"/>
        <w:rPr>
          <w:rFonts w:ascii="Arial" w:hAnsi="Arial" w:cs="Arial"/>
          <w:sz w:val="26"/>
          <w:szCs w:val="26"/>
          <w:lang w:val="es-MX" w:eastAsia="en-US"/>
        </w:rPr>
      </w:pPr>
    </w:p>
    <w:p w14:paraId="5D5F016A" w14:textId="77777777" w:rsidR="00911430" w:rsidRPr="00B74199" w:rsidRDefault="00911430" w:rsidP="00911430">
      <w:pPr>
        <w:spacing w:line="360" w:lineRule="auto"/>
        <w:ind w:right="51" w:firstLine="709"/>
        <w:jc w:val="both"/>
        <w:rPr>
          <w:rFonts w:ascii="Arial" w:hAnsi="Arial" w:cs="Arial"/>
          <w:sz w:val="26"/>
          <w:szCs w:val="26"/>
          <w:lang w:val="es-ES"/>
        </w:rPr>
      </w:pPr>
      <w:r w:rsidRPr="00B74199">
        <w:rPr>
          <w:rFonts w:ascii="Arial" w:hAnsi="Arial" w:cs="Arial"/>
          <w:b/>
          <w:bCs/>
          <w:sz w:val="26"/>
          <w:szCs w:val="26"/>
          <w:lang w:val="es-ES"/>
        </w:rPr>
        <w:t>PRIMERO.</w:t>
      </w:r>
      <w:r w:rsidRPr="00B74199">
        <w:rPr>
          <w:rFonts w:ascii="Arial" w:hAnsi="Arial" w:cs="Arial"/>
          <w:sz w:val="26"/>
          <w:szCs w:val="26"/>
          <w:lang w:val="es-ES"/>
        </w:rPr>
        <w:t xml:space="preserve"> Se desecha el recurso de revisión a que este toca se refiere.</w:t>
      </w:r>
    </w:p>
    <w:p w14:paraId="20C63453" w14:textId="77777777" w:rsidR="00911430" w:rsidRPr="00B74199" w:rsidRDefault="00911430" w:rsidP="00911430">
      <w:pPr>
        <w:spacing w:line="360" w:lineRule="auto"/>
        <w:ind w:right="51" w:firstLine="709"/>
        <w:jc w:val="both"/>
        <w:rPr>
          <w:rFonts w:ascii="Arial" w:hAnsi="Arial" w:cs="Arial"/>
          <w:sz w:val="26"/>
          <w:szCs w:val="26"/>
        </w:rPr>
      </w:pPr>
    </w:p>
    <w:p w14:paraId="1C38539D" w14:textId="3FE9EDBF" w:rsidR="00985B4D" w:rsidRPr="00B74199" w:rsidRDefault="00911430" w:rsidP="00B86B65">
      <w:pPr>
        <w:spacing w:line="360" w:lineRule="auto"/>
        <w:ind w:right="51" w:firstLine="709"/>
        <w:jc w:val="both"/>
        <w:rPr>
          <w:rFonts w:ascii="Arial" w:hAnsi="Arial" w:cs="Arial"/>
          <w:sz w:val="26"/>
          <w:szCs w:val="26"/>
        </w:rPr>
      </w:pPr>
      <w:r w:rsidRPr="00B74199">
        <w:rPr>
          <w:rFonts w:ascii="Arial" w:hAnsi="Arial" w:cs="Arial"/>
          <w:b/>
          <w:sz w:val="26"/>
          <w:szCs w:val="26"/>
        </w:rPr>
        <w:t xml:space="preserve">SEGUNDO. </w:t>
      </w:r>
      <w:r w:rsidRPr="00B74199">
        <w:rPr>
          <w:rFonts w:ascii="Arial" w:hAnsi="Arial" w:cs="Arial"/>
          <w:sz w:val="26"/>
          <w:szCs w:val="26"/>
        </w:rPr>
        <w:t>Queda firme la sentencia recurrida.</w:t>
      </w:r>
    </w:p>
    <w:p w14:paraId="08B8817E" w14:textId="77777777" w:rsidR="00A76204" w:rsidRPr="00B74199" w:rsidRDefault="00A76204" w:rsidP="00B86B65">
      <w:pPr>
        <w:spacing w:line="360" w:lineRule="auto"/>
        <w:ind w:right="51" w:firstLine="709"/>
        <w:jc w:val="both"/>
        <w:rPr>
          <w:rFonts w:ascii="Arial" w:hAnsi="Arial" w:cs="Arial"/>
          <w:sz w:val="26"/>
          <w:szCs w:val="26"/>
        </w:rPr>
      </w:pPr>
    </w:p>
    <w:p w14:paraId="51F9BF2F" w14:textId="7AACD609" w:rsidR="00DA5665" w:rsidRDefault="00F5473B" w:rsidP="00DA5665">
      <w:pPr>
        <w:pStyle w:val="Textoindependiente"/>
        <w:spacing w:line="360" w:lineRule="auto"/>
        <w:ind w:left="142" w:right="89" w:hanging="29"/>
        <w:jc w:val="both"/>
        <w:rPr>
          <w:rFonts w:cs="Arial"/>
          <w:b/>
          <w:lang w:val="es-ES_tradnl"/>
        </w:rPr>
      </w:pPr>
      <w:r w:rsidRPr="00F5473B">
        <w:rPr>
          <w:rFonts w:cs="Arial"/>
          <w:b/>
          <w:bCs/>
          <w:lang w:val="es-ES_tradnl"/>
        </w:rPr>
        <w:t xml:space="preserve">Notifíquese </w:t>
      </w:r>
      <w:r w:rsidRPr="00F5473B">
        <w:rPr>
          <w:rFonts w:cs="Arial"/>
          <w:bCs/>
          <w:lang w:val="es-ES_tradnl"/>
        </w:rPr>
        <w:t>conforme a derecho corresponda; y en su oportunidad archívese el toca como asunto concluido.</w:t>
      </w:r>
    </w:p>
    <w:p w14:paraId="7CD51689" w14:textId="77777777" w:rsidR="00F5473B" w:rsidRDefault="00F5473B" w:rsidP="00DA5665">
      <w:pPr>
        <w:pStyle w:val="Textoindependiente"/>
        <w:spacing w:line="360" w:lineRule="auto"/>
        <w:ind w:left="142" w:right="89" w:hanging="29"/>
        <w:jc w:val="both"/>
        <w:rPr>
          <w:rFonts w:cs="Arial"/>
          <w:spacing w:val="-1"/>
        </w:rPr>
      </w:pPr>
    </w:p>
    <w:p w14:paraId="5071961C" w14:textId="77777777" w:rsidR="00DA5665" w:rsidRDefault="00DA5665" w:rsidP="00DA5665">
      <w:pPr>
        <w:pStyle w:val="Textoindependiente"/>
        <w:spacing w:line="360" w:lineRule="auto"/>
        <w:ind w:left="142" w:right="89" w:hanging="29"/>
        <w:jc w:val="both"/>
        <w:rPr>
          <w:rFonts w:cs="Arial"/>
          <w:spacing w:val="-1"/>
        </w:rPr>
      </w:pPr>
      <w:r w:rsidRPr="00DA5665">
        <w:rPr>
          <w:rFonts w:cs="Arial"/>
          <w:spacing w:val="-1"/>
        </w:rPr>
        <w:lastRenderedPageBreak/>
        <w:t>Así lo resolvió el Pleno de la Suprema Corte de Justicia de la Nación por mayoría de cinco votos de las personas Ministras Ríos González, Esquivel Mossa en contra de algunas consideraciones, Batres Guadarrama, Figueroa Mejía y Presidente Aguilar Ortiz. Las personas Ministras Herrerias Guerra, Espinosa Betanzo, Ortiz Ahlf y Guerrero García votaron en contra. Las personas Ministras Herrerias Guerra, Espinosa Betanzo y Ortiz Ahlf anunciaron sendos votos particulares.</w:t>
      </w:r>
    </w:p>
    <w:p w14:paraId="678BBFE8" w14:textId="77777777" w:rsidR="00DA5665" w:rsidRDefault="00DA5665" w:rsidP="00DA5665">
      <w:pPr>
        <w:pStyle w:val="Textoindependiente"/>
        <w:spacing w:line="360" w:lineRule="auto"/>
        <w:ind w:left="142" w:right="89" w:hanging="29"/>
        <w:jc w:val="both"/>
        <w:rPr>
          <w:rFonts w:cs="Arial"/>
          <w:spacing w:val="-1"/>
        </w:rPr>
      </w:pPr>
    </w:p>
    <w:p w14:paraId="772FBD37" w14:textId="774E0C6E" w:rsidR="00A76204" w:rsidRDefault="00DA5665" w:rsidP="00DA5665">
      <w:pPr>
        <w:pStyle w:val="Textoindependiente"/>
        <w:spacing w:line="360" w:lineRule="auto"/>
        <w:ind w:left="142" w:right="89" w:hanging="29"/>
        <w:jc w:val="both"/>
        <w:rPr>
          <w:rFonts w:cs="Arial"/>
          <w:spacing w:val="-1"/>
        </w:rPr>
      </w:pPr>
      <w:r w:rsidRPr="00DA5665">
        <w:rPr>
          <w:rFonts w:cs="Arial"/>
          <w:spacing w:val="-1"/>
        </w:rPr>
        <w:t>El señor Ministro Presidente Aguilar Ortiz declaró que el asunto se resolvió en los términos propuestos</w:t>
      </w:r>
      <w:r>
        <w:rPr>
          <w:rFonts w:cs="Arial"/>
          <w:spacing w:val="-1"/>
        </w:rPr>
        <w:t>.</w:t>
      </w:r>
    </w:p>
    <w:p w14:paraId="60A12539" w14:textId="77777777" w:rsidR="00DA5665" w:rsidRDefault="00DA5665" w:rsidP="00A76204">
      <w:pPr>
        <w:pStyle w:val="Textoindependiente"/>
        <w:spacing w:line="360" w:lineRule="auto"/>
        <w:ind w:left="0" w:right="89" w:firstLine="0"/>
        <w:jc w:val="both"/>
        <w:rPr>
          <w:rFonts w:cs="Arial"/>
          <w:spacing w:val="-1"/>
        </w:rPr>
      </w:pPr>
    </w:p>
    <w:p w14:paraId="5D0E75EC" w14:textId="77777777" w:rsidR="00B659F6" w:rsidRPr="00455E35" w:rsidRDefault="00B659F6" w:rsidP="00B659F6">
      <w:pPr>
        <w:pStyle w:val="Textoindependiente"/>
        <w:spacing w:line="360" w:lineRule="auto"/>
        <w:ind w:left="142" w:right="89" w:hanging="29"/>
        <w:jc w:val="both"/>
        <w:rPr>
          <w:rFonts w:cs="Arial"/>
          <w:spacing w:val="-1"/>
        </w:rPr>
      </w:pPr>
      <w:r w:rsidRPr="00455E35">
        <w:rPr>
          <w:rFonts w:eastAsiaTheme="minorHAnsi" w:cs="Arial"/>
          <w:lang w:val="es-ES"/>
        </w:rPr>
        <w:t>Firman el señor Ministro Presidente y la señora Ministra Ponente con el Secretario General de Acuerdos, quien da fe.</w:t>
      </w:r>
    </w:p>
    <w:p w14:paraId="0ECEC8FC" w14:textId="77777777" w:rsidR="00B659F6" w:rsidRPr="00455E35" w:rsidRDefault="00B659F6" w:rsidP="00B659F6">
      <w:pPr>
        <w:spacing w:line="360" w:lineRule="auto"/>
        <w:jc w:val="both"/>
        <w:rPr>
          <w:rFonts w:ascii="Arial" w:eastAsiaTheme="minorHAnsi" w:hAnsi="Arial" w:cs="Arial"/>
          <w:sz w:val="26"/>
          <w:szCs w:val="26"/>
          <w:lang w:val="es-ES"/>
        </w:rPr>
      </w:pPr>
    </w:p>
    <w:p w14:paraId="2E0134C1" w14:textId="77777777" w:rsidR="00B659F6" w:rsidRPr="00455E35" w:rsidRDefault="00B659F6" w:rsidP="00B659F6">
      <w:pPr>
        <w:spacing w:line="360" w:lineRule="auto"/>
        <w:jc w:val="center"/>
        <w:rPr>
          <w:rFonts w:ascii="Arial" w:hAnsi="Arial" w:cs="Arial"/>
          <w:b/>
          <w:bCs/>
          <w:sz w:val="26"/>
          <w:szCs w:val="26"/>
        </w:rPr>
      </w:pPr>
      <w:r w:rsidRPr="00455E35">
        <w:rPr>
          <w:rFonts w:ascii="Arial" w:hAnsi="Arial" w:cs="Arial"/>
          <w:b/>
          <w:bCs/>
          <w:sz w:val="26"/>
          <w:szCs w:val="26"/>
        </w:rPr>
        <w:t>PRESIDENTE</w:t>
      </w:r>
    </w:p>
    <w:p w14:paraId="77DB4AE0" w14:textId="77777777" w:rsidR="00B659F6" w:rsidRPr="00455E35" w:rsidRDefault="00B659F6" w:rsidP="006A0E7C">
      <w:pPr>
        <w:spacing w:line="360" w:lineRule="auto"/>
        <w:rPr>
          <w:rFonts w:ascii="Arial" w:hAnsi="Arial" w:cs="Arial"/>
          <w:b/>
          <w:bCs/>
          <w:sz w:val="26"/>
          <w:szCs w:val="26"/>
        </w:rPr>
      </w:pPr>
    </w:p>
    <w:p w14:paraId="18B0E58E" w14:textId="37B5F6B7" w:rsidR="00B659F6" w:rsidRPr="00455E35" w:rsidRDefault="00B659F6" w:rsidP="006A0E7C">
      <w:pPr>
        <w:spacing w:line="360" w:lineRule="auto"/>
        <w:jc w:val="center"/>
        <w:rPr>
          <w:rFonts w:ascii="Arial" w:hAnsi="Arial" w:cs="Arial"/>
          <w:b/>
          <w:bCs/>
          <w:sz w:val="26"/>
          <w:szCs w:val="26"/>
        </w:rPr>
      </w:pPr>
      <w:r w:rsidRPr="00455E35">
        <w:rPr>
          <w:rFonts w:ascii="Arial" w:hAnsi="Arial" w:cs="Arial"/>
          <w:b/>
          <w:bCs/>
          <w:sz w:val="26"/>
          <w:szCs w:val="26"/>
        </w:rPr>
        <w:t>MINISTRO HUGO AGUILAR ORTIZ</w:t>
      </w:r>
    </w:p>
    <w:p w14:paraId="55632A30" w14:textId="77777777" w:rsidR="00B659F6" w:rsidRDefault="00B659F6" w:rsidP="00B659F6">
      <w:pPr>
        <w:spacing w:line="360" w:lineRule="auto"/>
        <w:jc w:val="center"/>
        <w:rPr>
          <w:rFonts w:ascii="Arial" w:hAnsi="Arial" w:cs="Arial"/>
          <w:b/>
          <w:bCs/>
          <w:sz w:val="26"/>
          <w:szCs w:val="26"/>
        </w:rPr>
      </w:pPr>
    </w:p>
    <w:p w14:paraId="38D8DF08" w14:textId="77777777" w:rsidR="006A0E7C" w:rsidRPr="00455E35" w:rsidRDefault="006A0E7C" w:rsidP="00B659F6">
      <w:pPr>
        <w:spacing w:line="360" w:lineRule="auto"/>
        <w:jc w:val="center"/>
        <w:rPr>
          <w:rFonts w:ascii="Arial" w:hAnsi="Arial" w:cs="Arial"/>
          <w:b/>
          <w:bCs/>
          <w:sz w:val="26"/>
          <w:szCs w:val="26"/>
        </w:rPr>
      </w:pPr>
    </w:p>
    <w:p w14:paraId="585656B7" w14:textId="77777777" w:rsidR="00B659F6" w:rsidRPr="00455E35" w:rsidRDefault="00B659F6" w:rsidP="00B659F6">
      <w:pPr>
        <w:spacing w:line="360" w:lineRule="auto"/>
        <w:jc w:val="center"/>
        <w:rPr>
          <w:rFonts w:ascii="Arial" w:hAnsi="Arial" w:cs="Arial"/>
          <w:b/>
          <w:bCs/>
          <w:sz w:val="26"/>
          <w:szCs w:val="26"/>
        </w:rPr>
      </w:pPr>
      <w:r w:rsidRPr="00455E35">
        <w:rPr>
          <w:rFonts w:ascii="Arial" w:hAnsi="Arial" w:cs="Arial"/>
          <w:b/>
          <w:bCs/>
          <w:sz w:val="26"/>
          <w:szCs w:val="26"/>
        </w:rPr>
        <w:t>PONENTE</w:t>
      </w:r>
    </w:p>
    <w:p w14:paraId="03499E2C" w14:textId="77777777" w:rsidR="00B659F6" w:rsidRPr="00455E35" w:rsidRDefault="00B659F6" w:rsidP="00B659F6">
      <w:pPr>
        <w:spacing w:line="360" w:lineRule="auto"/>
        <w:jc w:val="center"/>
        <w:rPr>
          <w:rFonts w:ascii="Arial" w:hAnsi="Arial" w:cs="Arial"/>
          <w:b/>
          <w:bCs/>
          <w:sz w:val="26"/>
          <w:szCs w:val="26"/>
        </w:rPr>
      </w:pPr>
    </w:p>
    <w:p w14:paraId="3A45C2D8" w14:textId="77777777" w:rsidR="00B659F6" w:rsidRPr="00455E35" w:rsidRDefault="00B659F6" w:rsidP="00B659F6">
      <w:pPr>
        <w:spacing w:line="360" w:lineRule="auto"/>
        <w:jc w:val="center"/>
        <w:rPr>
          <w:rFonts w:ascii="Arial" w:hAnsi="Arial" w:cs="Arial"/>
          <w:b/>
          <w:bCs/>
          <w:sz w:val="26"/>
          <w:szCs w:val="26"/>
        </w:rPr>
      </w:pPr>
      <w:r w:rsidRPr="00455E35">
        <w:rPr>
          <w:rFonts w:ascii="Arial" w:hAnsi="Arial" w:cs="Arial"/>
          <w:b/>
          <w:bCs/>
          <w:sz w:val="26"/>
          <w:szCs w:val="26"/>
        </w:rPr>
        <w:t>MINISTRA MARÍA ESTELA RÍOS GONZÁLEZ</w:t>
      </w:r>
    </w:p>
    <w:p w14:paraId="2F6B0E29" w14:textId="77777777" w:rsidR="00B659F6" w:rsidRDefault="00B659F6" w:rsidP="006A0E7C">
      <w:pPr>
        <w:spacing w:line="360" w:lineRule="auto"/>
        <w:rPr>
          <w:rFonts w:ascii="Arial" w:hAnsi="Arial" w:cs="Arial"/>
          <w:b/>
          <w:bCs/>
          <w:sz w:val="26"/>
          <w:szCs w:val="26"/>
        </w:rPr>
      </w:pPr>
    </w:p>
    <w:p w14:paraId="21A5EA36" w14:textId="77777777" w:rsidR="006A0E7C" w:rsidRPr="00455E35" w:rsidRDefault="006A0E7C" w:rsidP="006A0E7C">
      <w:pPr>
        <w:spacing w:line="360" w:lineRule="auto"/>
        <w:rPr>
          <w:rFonts w:ascii="Arial" w:hAnsi="Arial" w:cs="Arial"/>
          <w:b/>
          <w:bCs/>
          <w:sz w:val="26"/>
          <w:szCs w:val="26"/>
        </w:rPr>
      </w:pPr>
    </w:p>
    <w:p w14:paraId="390B0A3F" w14:textId="77777777" w:rsidR="00B659F6" w:rsidRPr="00455E35" w:rsidRDefault="00B659F6" w:rsidP="00B659F6">
      <w:pPr>
        <w:spacing w:line="360" w:lineRule="auto"/>
        <w:jc w:val="center"/>
        <w:rPr>
          <w:rFonts w:ascii="Arial" w:hAnsi="Arial" w:cs="Arial"/>
          <w:b/>
          <w:bCs/>
          <w:sz w:val="26"/>
          <w:szCs w:val="26"/>
        </w:rPr>
      </w:pPr>
      <w:r w:rsidRPr="00455E35">
        <w:rPr>
          <w:rFonts w:ascii="Arial" w:hAnsi="Arial" w:cs="Arial"/>
          <w:b/>
          <w:bCs/>
          <w:sz w:val="26"/>
          <w:szCs w:val="26"/>
        </w:rPr>
        <w:t>SECRETARIO GENERAL DE ACUERDOS</w:t>
      </w:r>
    </w:p>
    <w:p w14:paraId="7794D412" w14:textId="77777777" w:rsidR="00B659F6" w:rsidRPr="00455E35" w:rsidRDefault="00B659F6" w:rsidP="00B659F6">
      <w:pPr>
        <w:spacing w:line="360" w:lineRule="auto"/>
        <w:jc w:val="center"/>
        <w:rPr>
          <w:rFonts w:ascii="Arial" w:hAnsi="Arial" w:cs="Arial"/>
          <w:b/>
          <w:bCs/>
          <w:sz w:val="26"/>
          <w:szCs w:val="26"/>
        </w:rPr>
      </w:pPr>
    </w:p>
    <w:p w14:paraId="774041F8" w14:textId="7EC63ED1" w:rsidR="00A76204" w:rsidRDefault="00B659F6" w:rsidP="006A0E7C">
      <w:pPr>
        <w:spacing w:line="360" w:lineRule="auto"/>
        <w:jc w:val="center"/>
        <w:rPr>
          <w:rFonts w:ascii="Arial" w:hAnsi="Arial" w:cs="Arial"/>
          <w:b/>
          <w:bCs/>
          <w:sz w:val="26"/>
          <w:szCs w:val="26"/>
        </w:rPr>
      </w:pPr>
      <w:r w:rsidRPr="00455E35">
        <w:rPr>
          <w:rFonts w:ascii="Arial" w:hAnsi="Arial" w:cs="Arial"/>
          <w:b/>
          <w:bCs/>
          <w:sz w:val="26"/>
          <w:szCs w:val="26"/>
        </w:rPr>
        <w:t>LICENCIADO RAFAEL COELLO CETINA</w:t>
      </w:r>
    </w:p>
    <w:p w14:paraId="58582446" w14:textId="77777777" w:rsidR="00335C3F" w:rsidRDefault="00335C3F" w:rsidP="006A0E7C">
      <w:pPr>
        <w:spacing w:line="360" w:lineRule="auto"/>
        <w:jc w:val="center"/>
        <w:rPr>
          <w:rFonts w:ascii="Arial" w:hAnsi="Arial" w:cs="Arial"/>
          <w:b/>
          <w:bCs/>
          <w:sz w:val="26"/>
          <w:szCs w:val="26"/>
        </w:rPr>
      </w:pPr>
    </w:p>
    <w:p w14:paraId="3BB4AEE9" w14:textId="77777777" w:rsidR="00335C3F" w:rsidRPr="00335C3F" w:rsidRDefault="00335C3F" w:rsidP="00335C3F">
      <w:pPr>
        <w:jc w:val="both"/>
        <w:rPr>
          <w:rFonts w:ascii="Arial" w:hAnsi="Arial" w:cs="Arial"/>
          <w:i/>
          <w:iCs/>
          <w:sz w:val="24"/>
          <w:szCs w:val="24"/>
          <w:lang w:val="es-MX"/>
        </w:rPr>
      </w:pPr>
      <w:r w:rsidRPr="00335C3F">
        <w:rPr>
          <w:rFonts w:ascii="Arial" w:hAnsi="Arial" w:cs="Arial"/>
          <w:i/>
          <w:iCs/>
          <w:sz w:val="24"/>
          <w:szCs w:val="24"/>
          <w:lang w:val="es-MX"/>
        </w:rPr>
        <w:t>En términos de los artículos 112 y 115 de la Ley General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p>
    <w:p w14:paraId="391B1B82" w14:textId="77777777" w:rsidR="00335C3F" w:rsidRPr="006A0E7C" w:rsidRDefault="00335C3F" w:rsidP="00335C3F">
      <w:pPr>
        <w:spacing w:line="360" w:lineRule="auto"/>
        <w:jc w:val="both"/>
        <w:rPr>
          <w:rFonts w:ascii="Arial" w:hAnsi="Arial" w:cs="Arial"/>
          <w:b/>
          <w:bCs/>
          <w:sz w:val="26"/>
          <w:szCs w:val="26"/>
        </w:rPr>
      </w:pPr>
    </w:p>
    <w:sectPr w:rsidR="00335C3F" w:rsidRPr="006A0E7C" w:rsidSect="00A174D2">
      <w:headerReference w:type="even" r:id="rId14"/>
      <w:headerReference w:type="default" r:id="rId15"/>
      <w:headerReference w:type="first" r:id="rId16"/>
      <w:footerReference w:type="first" r:id="rId17"/>
      <w:pgSz w:w="12240" w:h="20160" w:code="5"/>
      <w:pgMar w:top="1985" w:right="1134" w:bottom="1701"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8C2F" w14:textId="77777777" w:rsidR="00FD23DB" w:rsidRDefault="00FD23DB" w:rsidP="00911430">
      <w:r>
        <w:separator/>
      </w:r>
    </w:p>
  </w:endnote>
  <w:endnote w:type="continuationSeparator" w:id="0">
    <w:p w14:paraId="22FDE909" w14:textId="77777777" w:rsidR="00FD23DB" w:rsidRDefault="00FD23DB" w:rsidP="00911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AF0C" w14:textId="77777777" w:rsidR="00911430" w:rsidRDefault="00911430" w:rsidP="007D6C31">
    <w:pPr>
      <w:pStyle w:val="Piedepgina"/>
      <w:jc w:val="right"/>
      <w:rPr>
        <w:rFonts w:ascii="Arial" w:hAnsi="Arial" w:cs="Arial"/>
        <w:b/>
        <w:bCs/>
        <w:sz w:val="24"/>
        <w:szCs w:val="24"/>
      </w:rPr>
    </w:pPr>
  </w:p>
  <w:sdt>
    <w:sdtPr>
      <w:rPr>
        <w:rFonts w:ascii="Arial" w:hAnsi="Arial" w:cs="Arial"/>
        <w:b/>
        <w:bCs/>
        <w:sz w:val="24"/>
        <w:szCs w:val="24"/>
      </w:rPr>
      <w:id w:val="208841908"/>
      <w:docPartObj>
        <w:docPartGallery w:val="Page Numbers (Bottom of Page)"/>
        <w:docPartUnique/>
      </w:docPartObj>
    </w:sdtPr>
    <w:sdtEndPr/>
    <w:sdtContent>
      <w:p w14:paraId="79F9275D" w14:textId="77777777" w:rsidR="00911430" w:rsidRDefault="00911430" w:rsidP="00F91F47">
        <w:pPr>
          <w:pStyle w:val="Piedepgina"/>
          <w:jc w:val="right"/>
          <w:rPr>
            <w:rFonts w:ascii="Arial" w:hAnsi="Arial" w:cs="Arial"/>
            <w:b/>
            <w:bCs/>
            <w:sz w:val="24"/>
            <w:szCs w:val="24"/>
          </w:rPr>
        </w:pPr>
        <w:r w:rsidRPr="002517BB">
          <w:rPr>
            <w:rFonts w:ascii="Arial" w:hAnsi="Arial" w:cs="Arial"/>
            <w:b/>
            <w:bCs/>
            <w:sz w:val="24"/>
            <w:szCs w:val="24"/>
          </w:rPr>
          <w:fldChar w:fldCharType="begin"/>
        </w:r>
        <w:r w:rsidRPr="002517BB">
          <w:rPr>
            <w:rFonts w:ascii="Arial" w:hAnsi="Arial" w:cs="Arial"/>
            <w:b/>
            <w:bCs/>
            <w:sz w:val="24"/>
            <w:szCs w:val="24"/>
          </w:rPr>
          <w:instrText>PAGE   \* MERGEFORMAT</w:instrText>
        </w:r>
        <w:r w:rsidRPr="002517BB">
          <w:rPr>
            <w:rFonts w:ascii="Arial" w:hAnsi="Arial" w:cs="Arial"/>
            <w:b/>
            <w:bCs/>
            <w:sz w:val="24"/>
            <w:szCs w:val="24"/>
          </w:rPr>
          <w:fldChar w:fldCharType="separate"/>
        </w:r>
        <w:r w:rsidRPr="002517BB">
          <w:rPr>
            <w:rFonts w:ascii="Arial" w:hAnsi="Arial" w:cs="Arial"/>
            <w:b/>
            <w:bCs/>
            <w:sz w:val="24"/>
            <w:szCs w:val="24"/>
            <w:lang w:val="es-ES"/>
          </w:rPr>
          <w:t>2</w:t>
        </w:r>
        <w:r w:rsidRPr="002517BB">
          <w:rPr>
            <w:rFonts w:ascii="Arial" w:hAnsi="Arial" w:cs="Arial"/>
            <w:b/>
            <w:bCs/>
            <w:sz w:val="24"/>
            <w:szCs w:val="24"/>
          </w:rPr>
          <w:fldChar w:fldCharType="end"/>
        </w:r>
      </w:p>
      <w:p w14:paraId="666809FA" w14:textId="77777777" w:rsidR="00911430" w:rsidRPr="002517BB" w:rsidRDefault="00FD23DB" w:rsidP="00FA35B5">
        <w:pPr>
          <w:pStyle w:val="Piedepgina"/>
          <w:jc w:val="right"/>
          <w:rPr>
            <w:rFonts w:ascii="Arial" w:hAnsi="Arial" w:cs="Arial"/>
            <w:b/>
            <w:bCs/>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24"/>
        <w:szCs w:val="24"/>
      </w:rPr>
      <w:id w:val="-668247220"/>
      <w:docPartObj>
        <w:docPartGallery w:val="Page Numbers (Bottom of Page)"/>
        <w:docPartUnique/>
      </w:docPartObj>
    </w:sdtPr>
    <w:sdtEndPr/>
    <w:sdtContent>
      <w:p w14:paraId="64D1A156" w14:textId="77777777" w:rsidR="00911430" w:rsidRPr="004F2B4F" w:rsidRDefault="00911430" w:rsidP="0062779F">
        <w:pPr>
          <w:pStyle w:val="Piedepgina"/>
          <w:jc w:val="center"/>
          <w:rPr>
            <w:rFonts w:ascii="Arial" w:hAnsi="Arial" w:cs="Arial"/>
            <w:b/>
            <w:bCs/>
            <w:sz w:val="24"/>
            <w:szCs w:val="24"/>
          </w:rPr>
        </w:pPr>
      </w:p>
      <w:p w14:paraId="59274C83" w14:textId="77777777" w:rsidR="00911430" w:rsidRPr="004F2B4F" w:rsidRDefault="00911430" w:rsidP="00A174D2">
        <w:pPr>
          <w:pStyle w:val="Piedepgina"/>
          <w:rPr>
            <w:rFonts w:ascii="Arial" w:hAnsi="Arial" w:cs="Arial"/>
            <w:b/>
            <w:bCs/>
            <w:sz w:val="24"/>
            <w:szCs w:val="24"/>
          </w:rPr>
        </w:pPr>
        <w:r w:rsidRPr="004F2B4F">
          <w:rPr>
            <w:rFonts w:ascii="Arial" w:hAnsi="Arial" w:cs="Arial"/>
            <w:b/>
            <w:bCs/>
            <w:sz w:val="24"/>
            <w:szCs w:val="24"/>
          </w:rPr>
          <w:fldChar w:fldCharType="begin"/>
        </w:r>
        <w:r w:rsidRPr="004F2B4F">
          <w:rPr>
            <w:rFonts w:ascii="Arial" w:hAnsi="Arial" w:cs="Arial"/>
            <w:b/>
            <w:bCs/>
            <w:sz w:val="24"/>
            <w:szCs w:val="24"/>
          </w:rPr>
          <w:instrText>PAGE   \* MERGEFORMAT</w:instrText>
        </w:r>
        <w:r w:rsidRPr="004F2B4F">
          <w:rPr>
            <w:rFonts w:ascii="Arial" w:hAnsi="Arial" w:cs="Arial"/>
            <w:b/>
            <w:bCs/>
            <w:sz w:val="24"/>
            <w:szCs w:val="24"/>
          </w:rPr>
          <w:fldChar w:fldCharType="separate"/>
        </w:r>
        <w:r w:rsidRPr="004F2B4F">
          <w:rPr>
            <w:rFonts w:ascii="Arial" w:hAnsi="Arial" w:cs="Arial"/>
            <w:b/>
            <w:bCs/>
            <w:noProof/>
            <w:sz w:val="24"/>
            <w:szCs w:val="24"/>
            <w:lang w:val="es-ES"/>
          </w:rPr>
          <w:t>20</w:t>
        </w:r>
        <w:r w:rsidRPr="004F2B4F">
          <w:rPr>
            <w:rFonts w:ascii="Arial" w:hAnsi="Arial" w:cs="Arial"/>
            <w:b/>
            <w:bCs/>
            <w:sz w:val="24"/>
            <w:szCs w:val="24"/>
          </w:rPr>
          <w:fldChar w:fldCharType="end"/>
        </w:r>
      </w:p>
      <w:p w14:paraId="53AF297C" w14:textId="77777777" w:rsidR="00911430" w:rsidRPr="0062779F" w:rsidRDefault="00FD23DB" w:rsidP="0062779F">
        <w:pPr>
          <w:pStyle w:val="Piedepgina"/>
          <w:rPr>
            <w:rFonts w:ascii="Arial" w:hAnsi="Arial" w:cs="Arial"/>
            <w:b/>
            <w:bCs/>
            <w:sz w:val="24"/>
            <w:szCs w:val="24"/>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8870" w14:textId="77777777" w:rsidR="00911430" w:rsidRPr="004F2B4F" w:rsidRDefault="00911430" w:rsidP="004F2B4F">
    <w:pPr>
      <w:pStyle w:val="Piedepgina"/>
      <w:jc w:val="center"/>
      <w:rPr>
        <w:rFonts w:ascii="Arial" w:hAnsi="Arial" w:cs="Arial"/>
        <w:b/>
        <w:bCs/>
        <w:sz w:val="24"/>
        <w:szCs w:val="24"/>
      </w:rPr>
    </w:pPr>
  </w:p>
  <w:p w14:paraId="7224E296" w14:textId="77777777" w:rsidR="00911430" w:rsidRPr="004F2B4F" w:rsidRDefault="00911430" w:rsidP="004F2B4F">
    <w:pPr>
      <w:pStyle w:val="Piedepgina"/>
      <w:jc w:val="center"/>
      <w:rPr>
        <w:rFonts w:ascii="Arial" w:hAnsi="Arial" w:cs="Arial"/>
        <w:b/>
        <w:bCs/>
        <w:sz w:val="24"/>
        <w:szCs w:val="24"/>
      </w:rPr>
    </w:pPr>
  </w:p>
  <w:p w14:paraId="0C1593A6" w14:textId="77777777" w:rsidR="00911430" w:rsidRPr="004F2B4F" w:rsidRDefault="00911430" w:rsidP="004F2B4F">
    <w:pPr>
      <w:pStyle w:val="Piedepgina"/>
      <w:jc w:val="center"/>
      <w:rPr>
        <w:rFonts w:ascii="Arial" w:hAnsi="Arial" w:cs="Arial"/>
        <w:b/>
        <w:bCs/>
        <w:sz w:val="24"/>
        <w:szCs w:val="24"/>
      </w:rPr>
    </w:pPr>
  </w:p>
  <w:p w14:paraId="32CE0439" w14:textId="77777777" w:rsidR="00911430" w:rsidRPr="004F2B4F" w:rsidRDefault="00911430" w:rsidP="00A174D2">
    <w:pPr>
      <w:pStyle w:val="Piedepgina"/>
      <w:rPr>
        <w:rFonts w:ascii="Arial" w:hAnsi="Arial" w:cs="Arial"/>
        <w:b/>
        <w:bCs/>
        <w:sz w:val="24"/>
        <w:szCs w:val="24"/>
      </w:rPr>
    </w:pPr>
  </w:p>
  <w:p w14:paraId="2484CC09" w14:textId="77777777" w:rsidR="00911430" w:rsidRPr="004F2B4F" w:rsidRDefault="00911430" w:rsidP="004F2B4F">
    <w:pPr>
      <w:pStyle w:val="Piedepgina"/>
      <w:jc w:val="center"/>
      <w:rPr>
        <w:rFonts w:ascii="Arial" w:hAnsi="Arial" w:cs="Arial"/>
        <w:b/>
        <w:bCs/>
        <w:sz w:val="24"/>
        <w:szCs w:val="24"/>
      </w:rPr>
    </w:pPr>
  </w:p>
  <w:p w14:paraId="15943A22" w14:textId="77777777" w:rsidR="00911430" w:rsidRPr="004F2B4F" w:rsidRDefault="00911430" w:rsidP="004F2B4F">
    <w:pPr>
      <w:pStyle w:val="Piedepgina"/>
      <w:jc w:val="center"/>
      <w:rPr>
        <w:rFonts w:ascii="Arial" w:hAnsi="Arial" w:cs="Arial"/>
        <w:b/>
        <w:bCs/>
        <w:sz w:val="24"/>
        <w:szCs w:val="24"/>
      </w:rPr>
    </w:pPr>
  </w:p>
  <w:p w14:paraId="7286DB0D" w14:textId="77777777" w:rsidR="00911430" w:rsidRPr="004F2B4F" w:rsidRDefault="00911430" w:rsidP="004F2B4F">
    <w:pPr>
      <w:pStyle w:val="Piedepgina"/>
      <w:jc w:val="center"/>
      <w:rPr>
        <w:rFonts w:ascii="Arial" w:hAnsi="Arial" w:cs="Arial"/>
        <w:b/>
        <w:bCs/>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EE73" w14:textId="77777777" w:rsidR="00911430" w:rsidRPr="004F2B4F" w:rsidRDefault="00911430" w:rsidP="004F2B4F">
    <w:pPr>
      <w:pStyle w:val="Piedepgina"/>
      <w:rPr>
        <w:rFonts w:ascii="Arial" w:hAnsi="Arial" w:cs="Arial"/>
        <w:b/>
        <w:bCs/>
        <w:sz w:val="24"/>
        <w:szCs w:val="24"/>
      </w:rPr>
    </w:pPr>
  </w:p>
  <w:p w14:paraId="3BD4791C" w14:textId="77777777" w:rsidR="00911430" w:rsidRPr="004F2B4F" w:rsidRDefault="00911430" w:rsidP="004F2B4F">
    <w:pPr>
      <w:pStyle w:val="Piedepgina"/>
      <w:rPr>
        <w:rFonts w:ascii="Arial" w:hAnsi="Arial" w:cs="Arial"/>
        <w:b/>
        <w:bCs/>
        <w:sz w:val="24"/>
        <w:szCs w:val="24"/>
      </w:rPr>
    </w:pPr>
  </w:p>
  <w:p w14:paraId="6136FE03" w14:textId="77777777" w:rsidR="00911430" w:rsidRPr="004F2B4F" w:rsidRDefault="00911430" w:rsidP="004F2B4F">
    <w:pPr>
      <w:pStyle w:val="Piedepgina"/>
      <w:rPr>
        <w:rFonts w:ascii="Arial" w:hAnsi="Arial" w:cs="Arial"/>
        <w:b/>
        <w:bCs/>
        <w:sz w:val="24"/>
        <w:szCs w:val="24"/>
      </w:rPr>
    </w:pPr>
  </w:p>
  <w:p w14:paraId="15BBA6F0" w14:textId="77777777" w:rsidR="00911430" w:rsidRPr="004F2B4F" w:rsidRDefault="00911430" w:rsidP="004F2B4F">
    <w:pPr>
      <w:pStyle w:val="Piedepgina"/>
      <w:rPr>
        <w:rFonts w:ascii="Arial" w:hAnsi="Arial" w:cs="Arial"/>
        <w:b/>
        <w:bCs/>
        <w:sz w:val="24"/>
        <w:szCs w:val="24"/>
      </w:rPr>
    </w:pPr>
  </w:p>
  <w:p w14:paraId="5B00039A" w14:textId="77777777" w:rsidR="00911430" w:rsidRPr="004F2B4F" w:rsidRDefault="00911430" w:rsidP="004F2B4F">
    <w:pPr>
      <w:pStyle w:val="Piedepgina"/>
      <w:rPr>
        <w:rFonts w:ascii="Arial" w:hAnsi="Arial" w:cs="Arial"/>
        <w:b/>
        <w:bCs/>
        <w:sz w:val="24"/>
        <w:szCs w:val="24"/>
      </w:rPr>
    </w:pPr>
  </w:p>
  <w:p w14:paraId="2A97108D" w14:textId="77777777" w:rsidR="00911430" w:rsidRPr="004F2B4F" w:rsidRDefault="00911430" w:rsidP="004F2B4F">
    <w:pPr>
      <w:pStyle w:val="Piedepgina"/>
      <w:rPr>
        <w:rFonts w:ascii="Arial" w:hAnsi="Arial" w:cs="Arial"/>
        <w:b/>
        <w:bCs/>
        <w:sz w:val="24"/>
        <w:szCs w:val="24"/>
      </w:rPr>
    </w:pPr>
  </w:p>
  <w:p w14:paraId="0062B064" w14:textId="77777777" w:rsidR="00911430" w:rsidRPr="004F2B4F" w:rsidRDefault="00911430" w:rsidP="004F2B4F">
    <w:pPr>
      <w:pStyle w:val="Piedepgina"/>
      <w:rPr>
        <w:rFonts w:ascii="Arial" w:hAnsi="Arial" w:cs="Arial"/>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63C25" w14:textId="77777777" w:rsidR="00FD23DB" w:rsidRDefault="00FD23DB" w:rsidP="00911430">
      <w:r>
        <w:separator/>
      </w:r>
    </w:p>
  </w:footnote>
  <w:footnote w:type="continuationSeparator" w:id="0">
    <w:p w14:paraId="5AE70FA0" w14:textId="77777777" w:rsidR="00FD23DB" w:rsidRDefault="00FD23DB" w:rsidP="00911430">
      <w:r>
        <w:continuationSeparator/>
      </w:r>
    </w:p>
  </w:footnote>
  <w:footnote w:id="1">
    <w:p w14:paraId="2C69A5BB" w14:textId="77777777" w:rsidR="001E150C" w:rsidRPr="001E150C" w:rsidRDefault="00CF4572" w:rsidP="001E150C">
      <w:pPr>
        <w:pStyle w:val="Estilo"/>
        <w:rPr>
          <w:i/>
          <w:iCs/>
          <w:sz w:val="20"/>
          <w:szCs w:val="20"/>
        </w:rPr>
      </w:pPr>
      <w:r>
        <w:rPr>
          <w:rStyle w:val="Refdenotaalpie"/>
        </w:rPr>
        <w:footnoteRef/>
      </w:r>
      <w:r>
        <w:t xml:space="preserve"> </w:t>
      </w:r>
      <w:r w:rsidR="001E150C" w:rsidRPr="001E150C">
        <w:rPr>
          <w:i/>
          <w:iCs/>
          <w:sz w:val="20"/>
          <w:szCs w:val="20"/>
        </w:rPr>
        <w:t>Artículo 330.- El concubinato es a (sic) unión entre dos personas libres, de impedimentos de parentesco y ligamen matrimonial, con el propósito tácito de integrar una familia, en donde ambos se procuran respeto, igualdad y ayuda mutua, mediante la cohabitación doméstica y sexual.</w:t>
      </w:r>
    </w:p>
    <w:p w14:paraId="6C07BDE3" w14:textId="77777777" w:rsidR="001E150C" w:rsidRPr="001E150C" w:rsidRDefault="001E150C" w:rsidP="001E150C">
      <w:pPr>
        <w:pStyle w:val="Estilo"/>
        <w:rPr>
          <w:i/>
          <w:iCs/>
          <w:sz w:val="20"/>
          <w:szCs w:val="20"/>
        </w:rPr>
      </w:pPr>
    </w:p>
    <w:p w14:paraId="000CAE32" w14:textId="77777777" w:rsidR="001E150C" w:rsidRPr="001E150C" w:rsidRDefault="001E150C" w:rsidP="001E150C">
      <w:pPr>
        <w:jc w:val="both"/>
        <w:rPr>
          <w:i/>
          <w:iCs/>
        </w:rPr>
      </w:pPr>
    </w:p>
    <w:p w14:paraId="01836A0B" w14:textId="77777777" w:rsidR="001E150C" w:rsidRPr="001E150C" w:rsidRDefault="001E150C" w:rsidP="001E150C">
      <w:pPr>
        <w:pStyle w:val="Estilo"/>
        <w:rPr>
          <w:i/>
          <w:iCs/>
          <w:sz w:val="20"/>
          <w:szCs w:val="20"/>
        </w:rPr>
      </w:pPr>
      <w:r w:rsidRPr="001E150C">
        <w:rPr>
          <w:i/>
          <w:iCs/>
          <w:sz w:val="20"/>
          <w:szCs w:val="20"/>
        </w:rPr>
        <w:t>Artículo 331.- Para que exista jurídicamente el concubinato, es necesario que la manifestación de voluntad se prolongue de manera pública y permanente:</w:t>
      </w:r>
    </w:p>
    <w:p w14:paraId="2987CC1D" w14:textId="77777777" w:rsidR="001E150C" w:rsidRPr="001E150C" w:rsidRDefault="001E150C" w:rsidP="001E150C">
      <w:pPr>
        <w:pStyle w:val="Estilo"/>
        <w:rPr>
          <w:i/>
          <w:iCs/>
          <w:sz w:val="20"/>
          <w:szCs w:val="20"/>
        </w:rPr>
      </w:pPr>
    </w:p>
    <w:p w14:paraId="59AE4ACB" w14:textId="77777777" w:rsidR="001E150C" w:rsidRPr="001E150C" w:rsidRDefault="001E150C" w:rsidP="001E150C">
      <w:pPr>
        <w:pStyle w:val="Estilo"/>
        <w:rPr>
          <w:i/>
          <w:iCs/>
          <w:sz w:val="20"/>
          <w:szCs w:val="20"/>
        </w:rPr>
      </w:pPr>
      <w:r w:rsidRPr="001E150C">
        <w:rPr>
          <w:i/>
          <w:iCs/>
          <w:sz w:val="20"/>
          <w:szCs w:val="20"/>
        </w:rPr>
        <w:t>I.- Durante cinco años ininterrumpidos;</w:t>
      </w:r>
    </w:p>
    <w:p w14:paraId="0E783D3E" w14:textId="77777777" w:rsidR="001E150C" w:rsidRPr="001E150C" w:rsidRDefault="001E150C" w:rsidP="001E150C">
      <w:pPr>
        <w:pStyle w:val="Estilo"/>
        <w:rPr>
          <w:i/>
          <w:iCs/>
          <w:sz w:val="20"/>
          <w:szCs w:val="20"/>
        </w:rPr>
      </w:pPr>
    </w:p>
    <w:p w14:paraId="35D231CA" w14:textId="77777777" w:rsidR="001E150C" w:rsidRPr="001E150C" w:rsidRDefault="001E150C" w:rsidP="001E150C">
      <w:pPr>
        <w:pStyle w:val="Estilo"/>
        <w:rPr>
          <w:i/>
          <w:iCs/>
          <w:sz w:val="20"/>
          <w:szCs w:val="20"/>
        </w:rPr>
      </w:pPr>
      <w:r w:rsidRPr="001E150C">
        <w:rPr>
          <w:i/>
          <w:iCs/>
          <w:sz w:val="20"/>
          <w:szCs w:val="20"/>
        </w:rPr>
        <w:t>II.- Durante dos años si la unión se produjo por medio de rito indígena o religioso de carácter público; o</w:t>
      </w:r>
    </w:p>
    <w:p w14:paraId="5BCCEA0C" w14:textId="77777777" w:rsidR="001E150C" w:rsidRPr="001E150C" w:rsidRDefault="001E150C" w:rsidP="001E150C">
      <w:pPr>
        <w:pStyle w:val="Estilo"/>
        <w:rPr>
          <w:i/>
          <w:iCs/>
          <w:sz w:val="20"/>
          <w:szCs w:val="20"/>
        </w:rPr>
      </w:pPr>
    </w:p>
    <w:p w14:paraId="5F3BBC21" w14:textId="77777777" w:rsidR="001E150C" w:rsidRPr="001E150C" w:rsidRDefault="001E150C" w:rsidP="001E150C">
      <w:pPr>
        <w:pStyle w:val="Estilo"/>
        <w:rPr>
          <w:i/>
          <w:iCs/>
          <w:sz w:val="20"/>
          <w:szCs w:val="20"/>
        </w:rPr>
      </w:pPr>
      <w:r w:rsidRPr="001E150C">
        <w:rPr>
          <w:i/>
          <w:iCs/>
          <w:sz w:val="20"/>
          <w:szCs w:val="20"/>
        </w:rPr>
        <w:t>III.- Desde el nacimiento del primer hijo, si esto ocurre antes de los plazos anteriores;</w:t>
      </w:r>
    </w:p>
    <w:p w14:paraId="5C677FEC" w14:textId="11AD1BCD" w:rsidR="00CF4572" w:rsidRDefault="00CF4572">
      <w:pPr>
        <w:pStyle w:val="Textonotapie"/>
      </w:pPr>
    </w:p>
  </w:footnote>
  <w:footnote w:id="2">
    <w:p w14:paraId="0B267E44" w14:textId="77777777" w:rsidR="00D028BC" w:rsidRPr="00CF4572" w:rsidRDefault="00D00C6B" w:rsidP="00CF4572">
      <w:pPr>
        <w:pStyle w:val="Textonotapie"/>
        <w:jc w:val="both"/>
        <w:rPr>
          <w:rFonts w:ascii="Arial" w:hAnsi="Arial" w:cs="Arial"/>
          <w:i/>
          <w:iCs/>
        </w:rPr>
      </w:pPr>
      <w:r w:rsidRPr="00627424">
        <w:rPr>
          <w:rStyle w:val="Refdenotaalpie"/>
          <w:rFonts w:ascii="Arial" w:hAnsi="Arial" w:cs="Arial"/>
        </w:rPr>
        <w:footnoteRef/>
      </w:r>
      <w:r w:rsidRPr="00627424">
        <w:rPr>
          <w:rFonts w:ascii="Arial" w:hAnsi="Arial" w:cs="Arial"/>
        </w:rPr>
        <w:t xml:space="preserve"> </w:t>
      </w:r>
      <w:r w:rsidR="00D028BC" w:rsidRPr="00CF4572">
        <w:rPr>
          <w:rFonts w:ascii="Arial" w:hAnsi="Arial" w:cs="Arial"/>
          <w:i/>
          <w:iCs/>
        </w:rPr>
        <w:t>Artículo 402.- Se presumen hijos del concubino y la concubina, los nacidos después de iniciado el concubinato y los nacidos dentro de los trescientos días siguientes al de su disolución.</w:t>
      </w:r>
    </w:p>
    <w:p w14:paraId="5EC6B7F7" w14:textId="77777777" w:rsidR="00D028BC" w:rsidRPr="00CF4572" w:rsidRDefault="00D028BC" w:rsidP="00CF4572">
      <w:pPr>
        <w:pStyle w:val="Textonotapie"/>
        <w:jc w:val="both"/>
        <w:rPr>
          <w:rFonts w:ascii="Arial" w:hAnsi="Arial" w:cs="Arial"/>
          <w:i/>
          <w:iCs/>
        </w:rPr>
      </w:pPr>
    </w:p>
    <w:p w14:paraId="088C6097" w14:textId="77777777" w:rsidR="00D028BC" w:rsidRPr="00CF4572" w:rsidRDefault="00D028BC" w:rsidP="00CF4572">
      <w:pPr>
        <w:pStyle w:val="Textonotapie"/>
        <w:jc w:val="both"/>
        <w:rPr>
          <w:rFonts w:ascii="Arial" w:hAnsi="Arial" w:cs="Arial"/>
          <w:i/>
          <w:iCs/>
        </w:rPr>
      </w:pPr>
    </w:p>
    <w:p w14:paraId="0C623CE0" w14:textId="77777777" w:rsidR="00D028BC" w:rsidRPr="00CF4572" w:rsidRDefault="00D028BC" w:rsidP="00CF4572">
      <w:pPr>
        <w:pStyle w:val="Textonotapie"/>
        <w:jc w:val="both"/>
        <w:rPr>
          <w:rFonts w:ascii="Arial" w:hAnsi="Arial" w:cs="Arial"/>
          <w:i/>
          <w:iCs/>
        </w:rPr>
      </w:pPr>
      <w:r w:rsidRPr="00CF4572">
        <w:rPr>
          <w:rFonts w:ascii="Arial" w:hAnsi="Arial" w:cs="Arial"/>
          <w:i/>
          <w:iCs/>
        </w:rPr>
        <w:t>Artículo 403.- La posesión de estado, se justificará demostrando por los medios ordinarios de prueba, que una persona ha sido tratada como hijo por el presunto padre o por su familia, y que éste ha proveído a su subsistencia, educación y establecimiento.</w:t>
      </w:r>
    </w:p>
    <w:p w14:paraId="18958221" w14:textId="77777777" w:rsidR="00627424" w:rsidRPr="00CF4572" w:rsidRDefault="00627424" w:rsidP="00CF4572">
      <w:pPr>
        <w:pStyle w:val="Textonotapie"/>
        <w:jc w:val="both"/>
        <w:rPr>
          <w:rFonts w:ascii="Arial" w:hAnsi="Arial" w:cs="Arial"/>
          <w:i/>
          <w:iCs/>
        </w:rPr>
      </w:pPr>
    </w:p>
    <w:p w14:paraId="7FC3B9B5" w14:textId="77777777" w:rsidR="00627424" w:rsidRPr="00CF4572" w:rsidRDefault="00627424" w:rsidP="00CF4572">
      <w:pPr>
        <w:pStyle w:val="Textonotapie"/>
        <w:jc w:val="both"/>
        <w:rPr>
          <w:rFonts w:ascii="Arial" w:hAnsi="Arial" w:cs="Arial"/>
          <w:i/>
          <w:iCs/>
        </w:rPr>
      </w:pPr>
      <w:r w:rsidRPr="00CF4572">
        <w:rPr>
          <w:rFonts w:ascii="Arial" w:hAnsi="Arial" w:cs="Arial"/>
          <w:i/>
          <w:iCs/>
        </w:rPr>
        <w:t>Artículo 408.- Por el reconocimiento de la maternidad o paternidad, el hijo entra jurídicamente a formar parte de las familias consanguíneas de sus progenitores, para todos los efectos legales.</w:t>
      </w:r>
    </w:p>
    <w:p w14:paraId="12B8625F" w14:textId="77777777" w:rsidR="00627424" w:rsidRPr="00CF4572" w:rsidRDefault="00627424" w:rsidP="00CF4572">
      <w:pPr>
        <w:pStyle w:val="Textonotapie"/>
        <w:jc w:val="both"/>
        <w:rPr>
          <w:rFonts w:ascii="Arial" w:hAnsi="Arial" w:cs="Arial"/>
          <w:i/>
          <w:iCs/>
        </w:rPr>
      </w:pPr>
    </w:p>
    <w:p w14:paraId="46A295AD" w14:textId="77777777" w:rsidR="00627424" w:rsidRPr="00CF4572" w:rsidRDefault="00627424" w:rsidP="00CF4572">
      <w:pPr>
        <w:pStyle w:val="Textonotapie"/>
        <w:jc w:val="both"/>
        <w:rPr>
          <w:rFonts w:ascii="Arial" w:hAnsi="Arial" w:cs="Arial"/>
          <w:i/>
          <w:iCs/>
        </w:rPr>
      </w:pPr>
    </w:p>
    <w:p w14:paraId="6654EC68" w14:textId="77777777" w:rsidR="00627424" w:rsidRPr="00CF4572" w:rsidRDefault="00627424" w:rsidP="00CF4572">
      <w:pPr>
        <w:pStyle w:val="Textonotapie"/>
        <w:contextualSpacing/>
        <w:jc w:val="both"/>
        <w:rPr>
          <w:rFonts w:ascii="Arial" w:hAnsi="Arial" w:cs="Arial"/>
          <w:i/>
          <w:iCs/>
        </w:rPr>
      </w:pPr>
      <w:r w:rsidRPr="00CF4572">
        <w:rPr>
          <w:rFonts w:ascii="Arial" w:hAnsi="Arial" w:cs="Arial"/>
          <w:i/>
          <w:iCs/>
        </w:rPr>
        <w:t>Artículo 409.- El hijo reconocido por el padre o la madre, o por sentencia judicial, en su caso, tiene derecho:</w:t>
      </w:r>
    </w:p>
    <w:p w14:paraId="62FE3476" w14:textId="77777777" w:rsidR="00627424" w:rsidRPr="00CF4572" w:rsidRDefault="00627424" w:rsidP="00CF4572">
      <w:pPr>
        <w:pStyle w:val="Textonotapie"/>
        <w:contextualSpacing/>
        <w:jc w:val="both"/>
        <w:rPr>
          <w:rFonts w:ascii="Arial" w:hAnsi="Arial" w:cs="Arial"/>
          <w:i/>
          <w:iCs/>
        </w:rPr>
      </w:pPr>
    </w:p>
    <w:p w14:paraId="4D2F752C" w14:textId="77777777" w:rsidR="00627424" w:rsidRPr="00CF4572" w:rsidRDefault="00627424" w:rsidP="00CF4572">
      <w:pPr>
        <w:pStyle w:val="Textonotapie"/>
        <w:contextualSpacing/>
        <w:jc w:val="both"/>
        <w:rPr>
          <w:rFonts w:ascii="Arial" w:hAnsi="Arial" w:cs="Arial"/>
          <w:i/>
          <w:iCs/>
        </w:rPr>
      </w:pPr>
      <w:r w:rsidRPr="00CF4572">
        <w:rPr>
          <w:rFonts w:ascii="Arial" w:hAnsi="Arial" w:cs="Arial"/>
          <w:i/>
          <w:iCs/>
        </w:rPr>
        <w:t>I.- A llevar el primer apellido paterno o materno;</w:t>
      </w:r>
    </w:p>
    <w:p w14:paraId="30AEFED0" w14:textId="77777777" w:rsidR="00627424" w:rsidRPr="00CF4572" w:rsidRDefault="00627424" w:rsidP="00CF4572">
      <w:pPr>
        <w:pStyle w:val="Textonotapie"/>
        <w:contextualSpacing/>
        <w:jc w:val="both"/>
        <w:rPr>
          <w:rFonts w:ascii="Arial" w:hAnsi="Arial" w:cs="Arial"/>
          <w:i/>
          <w:iCs/>
        </w:rPr>
      </w:pPr>
    </w:p>
    <w:p w14:paraId="447245A2" w14:textId="77777777" w:rsidR="00627424" w:rsidRPr="00CF4572" w:rsidRDefault="00627424" w:rsidP="00CF4572">
      <w:pPr>
        <w:pStyle w:val="Textonotapie"/>
        <w:contextualSpacing/>
        <w:jc w:val="both"/>
        <w:rPr>
          <w:rFonts w:ascii="Arial" w:hAnsi="Arial" w:cs="Arial"/>
          <w:i/>
          <w:iCs/>
        </w:rPr>
      </w:pPr>
      <w:r w:rsidRPr="00CF4572">
        <w:rPr>
          <w:rFonts w:ascii="Arial" w:hAnsi="Arial" w:cs="Arial"/>
          <w:i/>
          <w:iCs/>
        </w:rPr>
        <w:t>II.- A ser alimentado por sus progenitores y demás parientes obligados;</w:t>
      </w:r>
    </w:p>
    <w:p w14:paraId="6EE62A0C" w14:textId="77777777" w:rsidR="00627424" w:rsidRPr="00CF4572" w:rsidRDefault="00627424" w:rsidP="00CF4572">
      <w:pPr>
        <w:pStyle w:val="Textonotapie"/>
        <w:contextualSpacing/>
        <w:jc w:val="both"/>
        <w:rPr>
          <w:rFonts w:ascii="Arial" w:hAnsi="Arial" w:cs="Arial"/>
          <w:i/>
          <w:iCs/>
        </w:rPr>
      </w:pPr>
    </w:p>
    <w:p w14:paraId="0EE7F22B" w14:textId="77777777" w:rsidR="00627424" w:rsidRPr="00CF4572" w:rsidRDefault="00627424" w:rsidP="00CF4572">
      <w:pPr>
        <w:pStyle w:val="Textonotapie"/>
        <w:contextualSpacing/>
        <w:jc w:val="both"/>
        <w:rPr>
          <w:rFonts w:ascii="Arial" w:hAnsi="Arial" w:cs="Arial"/>
          <w:i/>
          <w:iCs/>
        </w:rPr>
      </w:pPr>
      <w:r w:rsidRPr="00CF4572">
        <w:rPr>
          <w:rFonts w:ascii="Arial" w:hAnsi="Arial" w:cs="Arial"/>
          <w:i/>
          <w:iCs/>
        </w:rPr>
        <w:t>III.- A percibir la porción hereditaria que le corresponda; y</w:t>
      </w:r>
    </w:p>
    <w:p w14:paraId="73420CFF" w14:textId="77777777" w:rsidR="00627424" w:rsidRPr="00CF4572" w:rsidRDefault="00627424" w:rsidP="00CF4572">
      <w:pPr>
        <w:pStyle w:val="Textonotapie"/>
        <w:contextualSpacing/>
        <w:jc w:val="both"/>
        <w:rPr>
          <w:rFonts w:ascii="Arial" w:hAnsi="Arial" w:cs="Arial"/>
          <w:i/>
          <w:iCs/>
        </w:rPr>
      </w:pPr>
    </w:p>
    <w:p w14:paraId="3E8785B1" w14:textId="47F98760" w:rsidR="00627424" w:rsidRPr="00CF4572" w:rsidRDefault="00627424" w:rsidP="00CF4572">
      <w:pPr>
        <w:pStyle w:val="Textonotapie"/>
        <w:contextualSpacing/>
        <w:jc w:val="both"/>
        <w:rPr>
          <w:rFonts w:ascii="Arial" w:hAnsi="Arial" w:cs="Arial"/>
          <w:i/>
          <w:iCs/>
        </w:rPr>
      </w:pPr>
      <w:r w:rsidRPr="00CF4572">
        <w:rPr>
          <w:rFonts w:ascii="Arial" w:hAnsi="Arial" w:cs="Arial"/>
          <w:i/>
          <w:iCs/>
        </w:rPr>
        <w:t>IV.- A las demás funciones protectoras, afectivas y normativas derivadas de la patria potestad.</w:t>
      </w:r>
    </w:p>
    <w:p w14:paraId="754D3B5B" w14:textId="2FC623CF" w:rsidR="00D00C6B" w:rsidRPr="00627424" w:rsidRDefault="00D00C6B">
      <w:pPr>
        <w:pStyle w:val="Textonotapie"/>
        <w:rPr>
          <w:rFonts w:ascii="Arial" w:hAnsi="Arial" w:cs="Arial"/>
        </w:rPr>
      </w:pPr>
    </w:p>
  </w:footnote>
  <w:footnote w:id="3">
    <w:p w14:paraId="18138C12" w14:textId="77777777" w:rsidR="00911430" w:rsidRPr="00627424" w:rsidRDefault="00911430" w:rsidP="00911430">
      <w:pPr>
        <w:pStyle w:val="Textonotapie"/>
        <w:jc w:val="both"/>
        <w:rPr>
          <w:rFonts w:ascii="Arial" w:hAnsi="Arial" w:cs="Arial"/>
          <w:i/>
          <w:iCs/>
        </w:rPr>
      </w:pPr>
      <w:r w:rsidRPr="00627424">
        <w:rPr>
          <w:rStyle w:val="Refdenotaalpie"/>
          <w:rFonts w:ascii="Arial" w:hAnsi="Arial" w:cs="Arial"/>
        </w:rPr>
        <w:footnoteRef/>
      </w:r>
      <w:r w:rsidRPr="00627424">
        <w:rPr>
          <w:rFonts w:ascii="Arial" w:hAnsi="Arial" w:cs="Arial"/>
        </w:rPr>
        <w:t xml:space="preserve"> Del dictamen de la pericial en psicología practicada a la niña, el veinticinco de septiembre de dos mil veintitrés, se estableció que “</w:t>
      </w:r>
      <w:r w:rsidRPr="00627424">
        <w:rPr>
          <w:rFonts w:ascii="Arial" w:hAnsi="Arial" w:cs="Arial"/>
          <w:i/>
          <w:iCs/>
        </w:rPr>
        <w:t>En general, se presenta como una persona con un ajuste psicológico normal y en cuanto a problemas exteriorizados, sin embargo, según los resultados se manifiesta problemas interiorizados y contextuales, como sentimientos de culpabilidad, preocupaciones recurrentes o reacciones de aprehensión y temor al abandono.</w:t>
      </w:r>
    </w:p>
    <w:p w14:paraId="40F1489C" w14:textId="77777777" w:rsidR="00911430" w:rsidRPr="00627424" w:rsidRDefault="00911430" w:rsidP="00911430">
      <w:pPr>
        <w:pStyle w:val="Textonotapie"/>
        <w:jc w:val="both"/>
        <w:rPr>
          <w:rFonts w:ascii="Arial" w:hAnsi="Arial" w:cs="Arial"/>
          <w:i/>
          <w:iCs/>
        </w:rPr>
      </w:pPr>
    </w:p>
    <w:p w14:paraId="037B59C0" w14:textId="77777777" w:rsidR="00911430" w:rsidRPr="00627424" w:rsidRDefault="00911430" w:rsidP="00911430">
      <w:pPr>
        <w:pStyle w:val="Textonotapie"/>
        <w:jc w:val="both"/>
        <w:rPr>
          <w:rFonts w:ascii="Arial" w:hAnsi="Arial" w:cs="Arial"/>
          <w:i/>
          <w:iCs/>
        </w:rPr>
      </w:pPr>
      <w:r w:rsidRPr="00627424">
        <w:rPr>
          <w:rFonts w:ascii="Arial" w:hAnsi="Arial" w:cs="Arial"/>
          <w:i/>
          <w:iCs/>
        </w:rPr>
        <w:t>Se presentan problemas familiares que sugieren que podría estar viviendo situaciones estresantes o conflictivas en su entorno familiar, no sólo en la actualidad, sino que ha sido expuesta a situaciones donde sus niveles de estrés han sido elevados. Estos problemas pueden contribuir a una angustia emocional, la cual posiblemente esté contenida por mecanismos de defensa, como la evasión.</w:t>
      </w:r>
    </w:p>
    <w:p w14:paraId="2E2EBC65" w14:textId="77777777" w:rsidR="00911430" w:rsidRPr="00627424" w:rsidRDefault="00911430" w:rsidP="00911430">
      <w:pPr>
        <w:pStyle w:val="Textonotapie"/>
        <w:jc w:val="both"/>
        <w:rPr>
          <w:rFonts w:ascii="Arial" w:hAnsi="Arial" w:cs="Arial"/>
          <w:i/>
          <w:iCs/>
        </w:rPr>
      </w:pPr>
    </w:p>
    <w:p w14:paraId="51FE3785" w14:textId="77777777" w:rsidR="00911430" w:rsidRPr="00627424" w:rsidRDefault="00911430" w:rsidP="00911430">
      <w:pPr>
        <w:pStyle w:val="Textonotapie"/>
        <w:jc w:val="both"/>
        <w:rPr>
          <w:rFonts w:ascii="Arial" w:hAnsi="Arial" w:cs="Arial"/>
          <w:i/>
          <w:iCs/>
        </w:rPr>
      </w:pPr>
      <w:r w:rsidRPr="00627424">
        <w:rPr>
          <w:rFonts w:ascii="Arial" w:hAnsi="Arial" w:cs="Arial"/>
          <w:i/>
          <w:iCs/>
          <w:u w:val="single"/>
        </w:rPr>
        <w:t>Se advierte que existe la necesidad emocional de cubrir lazos afectivos relacionados con la figura paterna, así como ante seres queridos de su estructura familiar del pasado, sin embargo, se manifiesta una confusión en cuanto a la integración del concepto de familia y su identificación y rol dentro de ella; posiblemente debido a la exposición de cambios en cuanto a las dinámicas familiares y roles de género, así como sus figuras paternas y maternas, por lo que se recomienda evitar la exposición constante a cambios de estructuras familiares y sus figuras, las cuales pueden generar confusión en su identidad, identificación y sus lazos afectivos, así como estar viviendo constantes procesos de duelo ante la pérdida de seres queridos y sus vínculos.</w:t>
      </w:r>
      <w:r w:rsidRPr="00627424">
        <w:rPr>
          <w:rFonts w:ascii="Arial" w:hAnsi="Arial" w:cs="Arial"/>
          <w:i/>
          <w:iCs/>
        </w:rPr>
        <w:t xml:space="preserve"> Por otro lado, es importante destacar que el impacto de estas transiciones, dependerá en gran medida de las circunstancias individuales, la calidad de las relaciones familiares y el apoyo emocional que reciba la niña durante este proceso.</w:t>
      </w:r>
    </w:p>
    <w:p w14:paraId="20A4D870" w14:textId="77777777" w:rsidR="00911430" w:rsidRPr="00627424" w:rsidRDefault="00911430" w:rsidP="00911430">
      <w:pPr>
        <w:pStyle w:val="Textonotapie"/>
        <w:jc w:val="both"/>
        <w:rPr>
          <w:rFonts w:ascii="Arial" w:hAnsi="Arial" w:cs="Arial"/>
          <w:i/>
          <w:iCs/>
        </w:rPr>
      </w:pPr>
    </w:p>
    <w:p w14:paraId="6F100279" w14:textId="77777777" w:rsidR="00911430" w:rsidRPr="00627424" w:rsidRDefault="00911430" w:rsidP="00911430">
      <w:pPr>
        <w:pStyle w:val="Textonotapie"/>
        <w:jc w:val="both"/>
        <w:rPr>
          <w:rFonts w:ascii="Arial" w:hAnsi="Arial" w:cs="Arial"/>
          <w:i/>
          <w:iCs/>
          <w:u w:val="single"/>
        </w:rPr>
      </w:pPr>
      <w:r w:rsidRPr="00627424">
        <w:rPr>
          <w:rFonts w:ascii="Arial" w:hAnsi="Arial" w:cs="Arial"/>
          <w:i/>
          <w:iCs/>
          <w:u w:val="single"/>
        </w:rPr>
        <w:t>Se recomienda se le brinde un ambiente seguro en el cual pueda realizar expresión de emociones y temores, los cuales principalmente deben ser contenidos, por quienes en la medida de sus interacciones, fomenten la consecución de los lazos afectivos, además de encaminar a la niña en actividades recreativas y lúdicas que favorezcan su esparcimiento, los lazos sociales, etc.</w:t>
      </w:r>
      <w:r w:rsidRPr="00627424">
        <w:rPr>
          <w:rFonts w:ascii="Arial" w:hAnsi="Arial" w:cs="Arial"/>
          <w:i/>
          <w:iCs/>
        </w:rPr>
        <w:t xml:space="preserve">”.  </w:t>
      </w:r>
    </w:p>
  </w:footnote>
  <w:footnote w:id="4">
    <w:p w14:paraId="543BC83A" w14:textId="77777777" w:rsidR="00911430" w:rsidRPr="00627424" w:rsidRDefault="00911430" w:rsidP="00911430">
      <w:pPr>
        <w:pStyle w:val="Textonotapie"/>
        <w:ind w:right="51"/>
        <w:jc w:val="both"/>
        <w:rPr>
          <w:rFonts w:ascii="Arial" w:hAnsi="Arial" w:cs="Arial"/>
        </w:rPr>
      </w:pPr>
      <w:r w:rsidRPr="00627424">
        <w:rPr>
          <w:rStyle w:val="Refdenotaalpie"/>
          <w:rFonts w:ascii="Arial" w:hAnsi="Arial" w:cs="Arial"/>
        </w:rPr>
        <w:footnoteRef/>
      </w:r>
      <w:r w:rsidRPr="00627424">
        <w:rPr>
          <w:rFonts w:ascii="Arial" w:hAnsi="Arial" w:cs="Arial"/>
        </w:rPr>
        <w:t xml:space="preserve"> </w:t>
      </w:r>
      <w:r w:rsidRPr="00627424">
        <w:rPr>
          <w:rFonts w:ascii="Arial" w:hAnsi="Arial" w:cs="Arial"/>
          <w:b/>
        </w:rPr>
        <w:t>Artículo 107</w:t>
      </w:r>
      <w:r w:rsidRPr="00627424">
        <w:rPr>
          <w:rFonts w:ascii="Arial" w:hAnsi="Arial" w:cs="Arial"/>
        </w:rPr>
        <w:t>. Las controversias de que habla el artículo 103 de esta Constitución, con excepción de aquellas en materia electoral, se sujetarán a los procedimientos que determine la ley reglamentaria, de acuerdo con las bases siguientes:</w:t>
      </w:r>
    </w:p>
    <w:p w14:paraId="147D450C" w14:textId="77777777" w:rsidR="00911430" w:rsidRPr="00627424" w:rsidRDefault="00911430" w:rsidP="00911430">
      <w:pPr>
        <w:pStyle w:val="Textonotapie"/>
        <w:ind w:right="51"/>
        <w:jc w:val="both"/>
        <w:rPr>
          <w:rFonts w:ascii="Arial" w:hAnsi="Arial" w:cs="Arial"/>
        </w:rPr>
      </w:pPr>
      <w:r w:rsidRPr="00627424">
        <w:rPr>
          <w:rFonts w:ascii="Arial" w:hAnsi="Arial" w:cs="Arial"/>
        </w:rPr>
        <w:t>[…]</w:t>
      </w:r>
    </w:p>
    <w:p w14:paraId="24CE8706" w14:textId="77777777" w:rsidR="00911430" w:rsidRPr="00627424" w:rsidRDefault="00911430" w:rsidP="00911430">
      <w:pPr>
        <w:pStyle w:val="Textonotapie"/>
        <w:ind w:right="51"/>
        <w:jc w:val="both"/>
        <w:rPr>
          <w:rFonts w:ascii="Arial" w:hAnsi="Arial" w:cs="Arial"/>
        </w:rPr>
      </w:pPr>
      <w:r w:rsidRPr="00627424">
        <w:rPr>
          <w:rFonts w:ascii="Arial" w:hAnsi="Arial" w:cs="Arial"/>
          <w:b/>
        </w:rPr>
        <w:t>IX.</w:t>
      </w:r>
      <w:r w:rsidRPr="00627424">
        <w:rPr>
          <w:rFonts w:ascii="Arial" w:hAnsi="Arial" w:cs="Arial"/>
        </w:rPr>
        <w:t xml:space="preserve"> En materia de amparo directo procede el recurso de revisión en contra de las sentencias que resuelvan sobre la constitucionalidad de normas generales, establezcan la interpretación directa de un precepto de esta Constitución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 En contra del auto que deseche el recurso no procederá medio de impugnación alguno;</w:t>
      </w:r>
    </w:p>
    <w:p w14:paraId="221EA45C" w14:textId="77777777" w:rsidR="00911430" w:rsidRPr="00627424" w:rsidRDefault="00911430" w:rsidP="00911430">
      <w:pPr>
        <w:pStyle w:val="Textonotapie"/>
        <w:ind w:right="51"/>
        <w:jc w:val="both"/>
        <w:rPr>
          <w:rFonts w:ascii="Arial" w:hAnsi="Arial" w:cs="Arial"/>
          <w:bCs/>
          <w:iCs/>
        </w:rPr>
      </w:pPr>
      <w:r w:rsidRPr="00627424">
        <w:rPr>
          <w:rFonts w:ascii="Arial" w:hAnsi="Arial" w:cs="Arial"/>
        </w:rPr>
        <w:t>[…].</w:t>
      </w:r>
    </w:p>
  </w:footnote>
  <w:footnote w:id="5">
    <w:p w14:paraId="0C941339" w14:textId="77777777" w:rsidR="00911430" w:rsidRPr="00627424" w:rsidRDefault="00911430" w:rsidP="00911430">
      <w:pPr>
        <w:pStyle w:val="Textonotapie"/>
        <w:jc w:val="both"/>
        <w:rPr>
          <w:rFonts w:ascii="Arial" w:hAnsi="Arial" w:cs="Arial"/>
        </w:rPr>
      </w:pPr>
      <w:r w:rsidRPr="00627424">
        <w:rPr>
          <w:rStyle w:val="Refdenotaalpie"/>
          <w:rFonts w:ascii="Arial" w:hAnsi="Arial" w:cs="Arial"/>
        </w:rPr>
        <w:footnoteRef/>
      </w:r>
      <w:r w:rsidRPr="00627424">
        <w:rPr>
          <w:rFonts w:ascii="Arial" w:hAnsi="Arial" w:cs="Arial"/>
        </w:rPr>
        <w:t xml:space="preserve"> </w:t>
      </w:r>
      <w:r w:rsidRPr="00627424">
        <w:rPr>
          <w:rFonts w:ascii="Arial" w:hAnsi="Arial" w:cs="Arial"/>
          <w:b/>
          <w:bCs/>
        </w:rPr>
        <w:t>Artículo 81.</w:t>
      </w:r>
      <w:r w:rsidRPr="00627424">
        <w:rPr>
          <w:rFonts w:ascii="Arial" w:hAnsi="Arial" w:cs="Arial"/>
        </w:rPr>
        <w:t xml:space="preserve"> Procede el recurso de revisión:</w:t>
      </w:r>
    </w:p>
    <w:p w14:paraId="27B23538" w14:textId="77777777" w:rsidR="00911430" w:rsidRPr="00627424" w:rsidRDefault="00911430" w:rsidP="00911430">
      <w:pPr>
        <w:pStyle w:val="Textonotapie"/>
        <w:ind w:right="51"/>
        <w:jc w:val="both"/>
        <w:rPr>
          <w:rFonts w:ascii="Arial" w:hAnsi="Arial" w:cs="Arial"/>
        </w:rPr>
      </w:pPr>
      <w:r w:rsidRPr="00627424">
        <w:rPr>
          <w:rFonts w:ascii="Arial" w:hAnsi="Arial" w:cs="Arial"/>
        </w:rPr>
        <w:t>[…]</w:t>
      </w:r>
    </w:p>
    <w:p w14:paraId="7AB07211" w14:textId="77777777" w:rsidR="00911430" w:rsidRPr="00627424" w:rsidRDefault="00911430" w:rsidP="00911430">
      <w:pPr>
        <w:pStyle w:val="Textonotapie"/>
        <w:jc w:val="both"/>
        <w:rPr>
          <w:rFonts w:ascii="Arial" w:hAnsi="Arial" w:cs="Arial"/>
        </w:rPr>
      </w:pPr>
      <w:r w:rsidRPr="00627424">
        <w:rPr>
          <w:rFonts w:ascii="Arial" w:hAnsi="Arial" w:cs="Arial"/>
        </w:rPr>
        <w:t>II. En amparo directo, en contra de las sentencias que resuelvan sobre la constitucionalidad de normas generales que establezcan la interpretación directa de un precepto de la Constitución Política de los Estados Unidos Mexicanos u omitan decidir sobre tales cuestiones cuando hubieren sido planteadas, siempre que a juicio de la Suprema Corte de Justicia de la Nación el asunto revista un interés excepcional en materia constitucional o de derechos humanos. La materia del recurso se limitará a la decisión de las cuestiones propiamente constitucionales sin poder comprender otras.</w:t>
      </w:r>
    </w:p>
    <w:p w14:paraId="5E14F660" w14:textId="77777777" w:rsidR="00911430" w:rsidRPr="00627424" w:rsidRDefault="00911430" w:rsidP="00911430">
      <w:pPr>
        <w:pStyle w:val="Textonotapie"/>
        <w:ind w:right="51"/>
        <w:jc w:val="both"/>
        <w:rPr>
          <w:rFonts w:ascii="Arial" w:hAnsi="Arial" w:cs="Arial"/>
        </w:rPr>
      </w:pPr>
      <w:r w:rsidRPr="00627424">
        <w:rPr>
          <w:rFonts w:ascii="Arial" w:hAnsi="Arial" w:cs="Arial"/>
        </w:rPr>
        <w:t>[…]</w:t>
      </w:r>
    </w:p>
  </w:footnote>
  <w:footnote w:id="6">
    <w:p w14:paraId="653CB8FC" w14:textId="77777777" w:rsidR="00911430" w:rsidRPr="00627424" w:rsidRDefault="00911430" w:rsidP="00911430">
      <w:pPr>
        <w:pStyle w:val="Textonotapie"/>
        <w:jc w:val="both"/>
        <w:rPr>
          <w:rFonts w:ascii="Arial" w:hAnsi="Arial" w:cs="Arial"/>
        </w:rPr>
      </w:pPr>
      <w:r w:rsidRPr="00627424">
        <w:rPr>
          <w:rStyle w:val="Refdenotaalpie"/>
          <w:rFonts w:ascii="Arial" w:hAnsi="Arial" w:cs="Arial"/>
        </w:rPr>
        <w:footnoteRef/>
      </w:r>
      <w:r w:rsidRPr="00627424">
        <w:rPr>
          <w:rFonts w:ascii="Arial" w:hAnsi="Arial" w:cs="Arial"/>
        </w:rPr>
        <w:t xml:space="preserve"> </w:t>
      </w:r>
      <w:r w:rsidRPr="00627424">
        <w:rPr>
          <w:rFonts w:ascii="Arial" w:hAnsi="Arial" w:cs="Arial"/>
          <w:b/>
          <w:bCs/>
        </w:rPr>
        <w:t>Artículo 96.</w:t>
      </w:r>
      <w:r w:rsidRPr="00627424">
        <w:rPr>
          <w:rFonts w:ascii="Arial" w:hAnsi="Arial" w:cs="Arial"/>
        </w:rPr>
        <w:t xml:space="preserve"> Cuando se trate de revisión de sentencias pronunciadas en materia de amparo directo por tribunales colegiados de circuito, la Suprema Corte de Justicia de la Nación resolverá únicamente sobre la constitucionalidad de la norma general impugnada, o sobre la interpretación directa de un precepto de la Constitución Política de los Estados Unidos Mexicanos o de los derechos humanos establecidos en los tratados internacionales de los que el Estado Mexicano sea parte.</w:t>
      </w:r>
    </w:p>
  </w:footnote>
  <w:footnote w:id="7">
    <w:p w14:paraId="65917BE7" w14:textId="77777777" w:rsidR="00911430" w:rsidRPr="00627424" w:rsidRDefault="00911430" w:rsidP="00911430">
      <w:pPr>
        <w:pStyle w:val="Textonotapie"/>
        <w:jc w:val="both"/>
        <w:rPr>
          <w:rFonts w:ascii="Arial" w:hAnsi="Arial" w:cs="Arial"/>
          <w:b/>
          <w:bCs/>
        </w:rPr>
      </w:pPr>
      <w:r w:rsidRPr="00627424">
        <w:rPr>
          <w:rStyle w:val="Refdenotaalpie"/>
          <w:rFonts w:ascii="Arial" w:hAnsi="Arial" w:cs="Arial"/>
        </w:rPr>
        <w:footnoteRef/>
      </w:r>
      <w:r w:rsidRPr="00627424">
        <w:rPr>
          <w:rFonts w:ascii="Arial" w:hAnsi="Arial" w:cs="Arial"/>
        </w:rPr>
        <w:t xml:space="preserve"> “</w:t>
      </w:r>
      <w:r w:rsidRPr="00627424">
        <w:rPr>
          <w:rFonts w:ascii="Arial" w:hAnsi="Arial" w:cs="Arial"/>
          <w:b/>
          <w:bCs/>
        </w:rPr>
        <w:t>Artículo 16.</w:t>
      </w:r>
    </w:p>
    <w:p w14:paraId="194B3D63" w14:textId="77777777" w:rsidR="00911430" w:rsidRPr="00627424" w:rsidRDefault="00911430" w:rsidP="00911430">
      <w:pPr>
        <w:pStyle w:val="Textonotapie"/>
        <w:jc w:val="both"/>
        <w:rPr>
          <w:rFonts w:ascii="Arial" w:hAnsi="Arial" w:cs="Arial"/>
        </w:rPr>
      </w:pPr>
      <w:r w:rsidRPr="00627424">
        <w:rPr>
          <w:rFonts w:ascii="Arial" w:hAnsi="Arial" w:cs="Arial"/>
        </w:rPr>
        <w:t xml:space="preserve">La Suprema Corte de Justicia de la Nación conocerá: </w:t>
      </w:r>
    </w:p>
    <w:p w14:paraId="767ECB17" w14:textId="77777777" w:rsidR="00911430" w:rsidRPr="00627424" w:rsidRDefault="00911430" w:rsidP="00911430">
      <w:pPr>
        <w:pStyle w:val="Textonotapie"/>
        <w:jc w:val="both"/>
        <w:rPr>
          <w:rFonts w:ascii="Arial" w:hAnsi="Arial" w:cs="Arial"/>
        </w:rPr>
      </w:pPr>
      <w:r w:rsidRPr="00627424">
        <w:rPr>
          <w:rFonts w:ascii="Arial" w:hAnsi="Arial" w:cs="Arial"/>
        </w:rPr>
        <w:t>[…]</w:t>
      </w:r>
    </w:p>
    <w:p w14:paraId="7942202C" w14:textId="77777777" w:rsidR="00911430" w:rsidRPr="00627424" w:rsidRDefault="00911430" w:rsidP="00911430">
      <w:pPr>
        <w:pStyle w:val="Textonotapie"/>
        <w:jc w:val="both"/>
        <w:rPr>
          <w:rFonts w:ascii="Arial" w:hAnsi="Arial" w:cs="Arial"/>
        </w:rPr>
      </w:pPr>
      <w:r w:rsidRPr="00627424">
        <w:rPr>
          <w:rFonts w:ascii="Arial" w:hAnsi="Arial" w:cs="Arial"/>
        </w:rPr>
        <w:t xml:space="preserve">IV. Del recurso de revisión en amparo directo, en contra de las sentencias que resuelvan sobre la constitucionalidad de normas generales, establezcan la interpretación directa de un precepto de la Constitución Política de los Estados Unidos Mexicanos u omitan decidir sobre tales cuestiones cuando hubieren sido planteadas, siempre que a juicio de la Suprema Corte de Justicia de la Nación el asunto </w:t>
      </w:r>
      <w:r w:rsidRPr="00627424">
        <w:rPr>
          <w:rFonts w:ascii="Arial" w:hAnsi="Arial" w:cs="Arial"/>
          <w:b/>
          <w:bCs/>
        </w:rPr>
        <w:t>revista un interés excepcional</w:t>
      </w:r>
      <w:r w:rsidRPr="00627424">
        <w:rPr>
          <w:rFonts w:ascii="Arial" w:hAnsi="Arial" w:cs="Arial"/>
        </w:rPr>
        <w:t xml:space="preserve"> en materia constitucional o de derechos humanos. La materia del recurso se limitará a la decisión de las cuestiones propiamente constitucionales, sin poder comprender otras; […]”</w:t>
      </w:r>
    </w:p>
  </w:footnote>
  <w:footnote w:id="8">
    <w:p w14:paraId="0D1EE7C5" w14:textId="12513AE0" w:rsidR="00A02567" w:rsidRPr="00627424" w:rsidRDefault="00A02567">
      <w:pPr>
        <w:pStyle w:val="Textonotapie"/>
        <w:rPr>
          <w:rFonts w:ascii="Arial" w:hAnsi="Arial" w:cs="Arial"/>
        </w:rPr>
      </w:pPr>
      <w:r w:rsidRPr="00627424">
        <w:rPr>
          <w:rStyle w:val="Refdenotaalpie"/>
          <w:rFonts w:ascii="Arial" w:hAnsi="Arial" w:cs="Arial"/>
        </w:rPr>
        <w:footnoteRef/>
      </w:r>
      <w:r w:rsidRPr="00627424">
        <w:rPr>
          <w:rFonts w:ascii="Arial" w:hAnsi="Arial" w:cs="Arial"/>
        </w:rPr>
        <w:t xml:space="preserve"> </w:t>
      </w:r>
      <w:r w:rsidRPr="00627424">
        <w:rPr>
          <w:rFonts w:ascii="Arial" w:hAnsi="Arial" w:cs="Arial"/>
          <w:lang w:val="es-ES_tradnl"/>
        </w:rPr>
        <w:t>Corte Constitucional de Colombia, Sala Sexta de Revisión. Sentencia T-350</w:t>
      </w:r>
      <w:r w:rsidR="007B3EFE">
        <w:rPr>
          <w:rFonts w:ascii="Arial" w:hAnsi="Arial" w:cs="Arial"/>
          <w:lang w:val="es-ES_tradnl"/>
        </w:rPr>
        <w:t>/202</w:t>
      </w:r>
      <w:r w:rsidRPr="00627424">
        <w:rPr>
          <w:rFonts w:ascii="Arial" w:hAnsi="Arial" w:cs="Arial"/>
          <w:lang w:val="es-ES_tradnl"/>
        </w:rPr>
        <w:t xml:space="preserve">5 (21 de agosto de 2025), ponente Miguel Polo Rosero. Disponible en: </w:t>
      </w:r>
      <w:hyperlink r:id="rId1" w:history="1">
        <w:r w:rsidRPr="00627424">
          <w:rPr>
            <w:rStyle w:val="Hipervnculo"/>
            <w:rFonts w:ascii="Arial" w:hAnsi="Arial" w:cs="Arial"/>
            <w:lang w:val="es-ES_tradnl"/>
          </w:rPr>
          <w:t>https://www.corteconstitucional.gov.co/relatoria/2025/t-350-25.htm</w:t>
        </w:r>
      </w:hyperlink>
      <w:r w:rsidRPr="00627424">
        <w:rPr>
          <w:rFonts w:ascii="Arial" w:hAnsi="Arial" w:cs="Arial"/>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CBD" w14:textId="177221F2" w:rsidR="00911430" w:rsidRPr="0062779F" w:rsidRDefault="00FD23DB" w:rsidP="00901F0C">
    <w:pPr>
      <w:pStyle w:val="Encabezado"/>
      <w:jc w:val="center"/>
      <w:rPr>
        <w:rFonts w:ascii="Arial" w:hAnsi="Arial" w:cs="Arial"/>
        <w:b/>
        <w:sz w:val="24"/>
        <w:szCs w:val="24"/>
      </w:rPr>
    </w:pPr>
    <w:r>
      <w:rPr>
        <w:noProof/>
      </w:rPr>
      <w:pict w14:anchorId="050B24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753438" o:spid="_x0000_s1026" type="#_x0000_t136" style="position:absolute;left:0;text-align:left;margin-left:0;margin-top:0;width:552.5pt;height:110.5pt;rotation:315;z-index:-251658240;mso-position-horizontal:center;mso-position-horizontal-relative:margin;mso-position-vertical:center;mso-position-vertical-relative:margin" o:allowincell="f" fillcolor="silver" stroked="f">
          <v:fill opacity=".5"/>
          <v:textpath style="font-family:&quot;Arial&quot;;font-size:1pt" string="PROYECTO"/>
          <w10:wrap anchorx="margin" anchory="margin"/>
        </v:shape>
      </w:pict>
    </w:r>
  </w:p>
  <w:p w14:paraId="35603CC4" w14:textId="77777777" w:rsidR="00911430" w:rsidRPr="0062779F" w:rsidRDefault="00911430" w:rsidP="00326262">
    <w:pPr>
      <w:pStyle w:val="Encabezado"/>
      <w:rPr>
        <w:rFonts w:ascii="Arial" w:hAnsi="Arial" w:cs="Arial"/>
        <w:b/>
        <w:sz w:val="24"/>
        <w:szCs w:val="24"/>
      </w:rPr>
    </w:pPr>
    <w:r w:rsidRPr="0062779F">
      <w:rPr>
        <w:rFonts w:ascii="Arial" w:hAnsi="Arial" w:cs="Arial"/>
        <w:b/>
        <w:sz w:val="24"/>
        <w:szCs w:val="24"/>
      </w:rPr>
      <w:t>AMPARO DIRECTO EN REVISIÓN 2875/2025</w:t>
    </w:r>
  </w:p>
  <w:p w14:paraId="4807F9A7" w14:textId="77777777" w:rsidR="00911430" w:rsidRPr="0062779F" w:rsidRDefault="00911430">
    <w:pPr>
      <w:pStyle w:val="Encabezado"/>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C221" w14:textId="0DA955BF" w:rsidR="00911430" w:rsidRPr="00FA35B5" w:rsidRDefault="00FD23DB" w:rsidP="00FA35B5">
    <w:pPr>
      <w:pStyle w:val="Encabezado"/>
      <w:rPr>
        <w:rFonts w:ascii="Arial" w:hAnsi="Arial" w:cs="Arial"/>
        <w:b/>
        <w:sz w:val="24"/>
        <w:szCs w:val="24"/>
      </w:rPr>
    </w:pPr>
    <w:r>
      <w:rPr>
        <w:noProof/>
      </w:rPr>
      <w:pict w14:anchorId="76CF6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753439" o:spid="_x0000_s1027" type="#_x0000_t136" style="position:absolute;margin-left:0;margin-top:0;width:552.5pt;height:110.5pt;rotation:315;z-index:-251658239;mso-position-horizontal:center;mso-position-horizontal-relative:margin;mso-position-vertical:center;mso-position-vertical-relative:margin" o:allowincell="f" fillcolor="silver" stroked="f">
          <v:fill opacity=".5"/>
          <v:textpath style="font-family:&quot;Arial&quot;;font-size:1pt" string="PROYECTO"/>
          <w10:wrap anchorx="margin" anchory="margin"/>
        </v:shape>
      </w:pict>
    </w:r>
  </w:p>
  <w:p w14:paraId="39074E12" w14:textId="77777777" w:rsidR="00911430" w:rsidRDefault="00911430" w:rsidP="00326262">
    <w:pPr>
      <w:pStyle w:val="Encabezado"/>
      <w:jc w:val="right"/>
      <w:rPr>
        <w:rFonts w:ascii="Arial" w:hAnsi="Arial" w:cs="Arial"/>
        <w:b/>
        <w:sz w:val="24"/>
        <w:szCs w:val="24"/>
      </w:rPr>
    </w:pPr>
    <w:r w:rsidRPr="00FA35B5">
      <w:rPr>
        <w:rFonts w:ascii="Arial" w:hAnsi="Arial" w:cs="Arial"/>
        <w:b/>
        <w:sz w:val="24"/>
        <w:szCs w:val="24"/>
      </w:rPr>
      <w:t>AMPARO DIRECTO EN REVISIÓN 2875/2025</w:t>
    </w:r>
  </w:p>
  <w:p w14:paraId="684AD976" w14:textId="77777777" w:rsidR="00911430" w:rsidRPr="00FA35B5" w:rsidRDefault="00911430" w:rsidP="00326262">
    <w:pPr>
      <w:pStyle w:val="Encabezado"/>
      <w:jc w:val="right"/>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D7E4" w14:textId="6DD0AB39" w:rsidR="00911430" w:rsidRPr="004F2B4F" w:rsidRDefault="00911430" w:rsidP="004F2B4F">
    <w:pPr>
      <w:pStyle w:val="Encabezado"/>
      <w:jc w:val="center"/>
      <w:rPr>
        <w:rFonts w:ascii="Arial" w:hAnsi="Arial" w:cs="Arial"/>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C063" w14:textId="77777777" w:rsidR="00F91F47" w:rsidRDefault="00F91F47" w:rsidP="00F91F47">
    <w:pPr>
      <w:pStyle w:val="Encabezado"/>
      <w:jc w:val="right"/>
      <w:rPr>
        <w:rFonts w:ascii="Arial" w:hAnsi="Arial" w:cs="Arial"/>
        <w:b/>
        <w:sz w:val="24"/>
        <w:szCs w:val="24"/>
      </w:rPr>
    </w:pPr>
    <w:r w:rsidRPr="00FA35B5">
      <w:rPr>
        <w:rFonts w:ascii="Arial" w:hAnsi="Arial" w:cs="Arial"/>
        <w:b/>
        <w:sz w:val="24"/>
        <w:szCs w:val="24"/>
      </w:rPr>
      <w:t>AMPARO DIRECTO EN REVISIÓN 2875/2025</w:t>
    </w:r>
  </w:p>
  <w:p w14:paraId="69191AFE" w14:textId="38DDC9F7" w:rsidR="00B86B65" w:rsidRDefault="00B86B65">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5B0F" w14:textId="7BFEF3CB" w:rsidR="00B86B65" w:rsidRPr="00A174D2" w:rsidRDefault="00A174D2" w:rsidP="00A174D2">
    <w:pPr>
      <w:pStyle w:val="Encabezado"/>
      <w:rPr>
        <w:rFonts w:ascii="Arial" w:hAnsi="Arial" w:cs="Arial"/>
        <w:b/>
        <w:sz w:val="24"/>
        <w:szCs w:val="24"/>
      </w:rPr>
    </w:pPr>
    <w:r w:rsidRPr="00FA35B5">
      <w:rPr>
        <w:rFonts w:ascii="Arial" w:hAnsi="Arial" w:cs="Arial"/>
        <w:b/>
        <w:sz w:val="24"/>
        <w:szCs w:val="24"/>
      </w:rPr>
      <w:t>AMPARO DIRECTO EN REVISIÓN 2875/2025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2940" w14:textId="79841FB2" w:rsidR="00B86B65" w:rsidRDefault="00B86B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6CE"/>
    <w:multiLevelType w:val="hybridMultilevel"/>
    <w:tmpl w:val="2D2675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E9E7F68"/>
    <w:multiLevelType w:val="hybridMultilevel"/>
    <w:tmpl w:val="844614DA"/>
    <w:lvl w:ilvl="0" w:tplc="10AC0C7E">
      <w:start w:val="1"/>
      <w:numFmt w:val="decimal"/>
      <w:lvlText w:val="%1."/>
      <w:lvlJc w:val="left"/>
      <w:pPr>
        <w:ind w:left="720" w:hanging="360"/>
      </w:pPr>
      <w:rPr>
        <w:rFonts w:ascii="Arial" w:hAnsi="Arial" w:cs="Arial" w:hint="default"/>
        <w:b w:val="0"/>
        <w:sz w:val="26"/>
        <w:szCs w:val="26"/>
      </w:rPr>
    </w:lvl>
    <w:lvl w:ilvl="1" w:tplc="643CE572">
      <w:start w:val="1"/>
      <w:numFmt w:val="lowerLetter"/>
      <w:lvlText w:val="%2."/>
      <w:lvlJc w:val="left"/>
      <w:pPr>
        <w:ind w:left="1440" w:hanging="360"/>
      </w:pPr>
      <w:rPr>
        <w:rFonts w:ascii="Arial Narrow" w:hAnsi="Arial Narrow" w:hint="default"/>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56749AA"/>
    <w:multiLevelType w:val="multilevel"/>
    <w:tmpl w:val="7604EAF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DD6AA3"/>
    <w:multiLevelType w:val="hybridMultilevel"/>
    <w:tmpl w:val="C8E21CDE"/>
    <w:lvl w:ilvl="0" w:tplc="080A0001">
      <w:start w:val="1"/>
      <w:numFmt w:val="bullet"/>
      <w:lvlText w:val=""/>
      <w:lvlJc w:val="left"/>
      <w:pPr>
        <w:ind w:left="153" w:hanging="360"/>
      </w:pPr>
      <w:rPr>
        <w:rFonts w:ascii="Symbol" w:hAnsi="Symbol" w:hint="default"/>
      </w:rPr>
    </w:lvl>
    <w:lvl w:ilvl="1" w:tplc="FFFFFFFF">
      <w:start w:val="1"/>
      <w:numFmt w:val="lowerRoman"/>
      <w:lvlText w:val="%2."/>
      <w:lvlJc w:val="right"/>
      <w:pPr>
        <w:ind w:left="873" w:hanging="360"/>
      </w:pPr>
    </w:lvl>
    <w:lvl w:ilvl="2" w:tplc="FFFFFFFF">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4" w15:restartNumberingAfterBreak="0">
    <w:nsid w:val="2B493ACF"/>
    <w:multiLevelType w:val="hybridMultilevel"/>
    <w:tmpl w:val="5622CEAE"/>
    <w:lvl w:ilvl="0" w:tplc="DAA44E12">
      <w:start w:val="18"/>
      <w:numFmt w:val="decimal"/>
      <w:lvlText w:val="%1."/>
      <w:lvlJc w:val="left"/>
      <w:pPr>
        <w:ind w:left="720" w:hanging="360"/>
      </w:pPr>
      <w:rPr>
        <w:rFonts w:cs="Aria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42B730CD"/>
    <w:multiLevelType w:val="hybridMultilevel"/>
    <w:tmpl w:val="2B9EB33A"/>
    <w:lvl w:ilvl="0" w:tplc="5A549D1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B41EAB"/>
    <w:multiLevelType w:val="hybridMultilevel"/>
    <w:tmpl w:val="93C2FC30"/>
    <w:lvl w:ilvl="0" w:tplc="528AFA3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F4B5B57"/>
    <w:multiLevelType w:val="hybridMultilevel"/>
    <w:tmpl w:val="A6B4B0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79E92CD4"/>
    <w:multiLevelType w:val="hybridMultilevel"/>
    <w:tmpl w:val="140A33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AD807E7"/>
    <w:multiLevelType w:val="hybridMultilevel"/>
    <w:tmpl w:val="C9844C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62403923">
    <w:abstractNumId w:val="1"/>
  </w:num>
  <w:num w:numId="2" w16cid:durableId="103428348">
    <w:abstractNumId w:val="4"/>
  </w:num>
  <w:num w:numId="3" w16cid:durableId="1865315682">
    <w:abstractNumId w:val="5"/>
  </w:num>
  <w:num w:numId="4" w16cid:durableId="1962757777">
    <w:abstractNumId w:val="6"/>
  </w:num>
  <w:num w:numId="5" w16cid:durableId="847060703">
    <w:abstractNumId w:val="9"/>
  </w:num>
  <w:num w:numId="6" w16cid:durableId="165244851">
    <w:abstractNumId w:val="7"/>
  </w:num>
  <w:num w:numId="7" w16cid:durableId="1653873871">
    <w:abstractNumId w:val="8"/>
  </w:num>
  <w:num w:numId="8" w16cid:durableId="976833329">
    <w:abstractNumId w:val="3"/>
  </w:num>
  <w:num w:numId="9" w16cid:durableId="571476134">
    <w:abstractNumId w:val="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9011633">
    <w:abstractNumId w:val="0"/>
  </w:num>
  <w:num w:numId="11" w16cid:durableId="17506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30"/>
    <w:rsid w:val="00000C25"/>
    <w:rsid w:val="00022181"/>
    <w:rsid w:val="0002572B"/>
    <w:rsid w:val="00030C14"/>
    <w:rsid w:val="00036C66"/>
    <w:rsid w:val="00044184"/>
    <w:rsid w:val="00052126"/>
    <w:rsid w:val="00061B60"/>
    <w:rsid w:val="0007282D"/>
    <w:rsid w:val="0008167C"/>
    <w:rsid w:val="00081EFB"/>
    <w:rsid w:val="000A2D9D"/>
    <w:rsid w:val="000A4F45"/>
    <w:rsid w:val="000C7DBA"/>
    <w:rsid w:val="000E1E13"/>
    <w:rsid w:val="000E67C6"/>
    <w:rsid w:val="000F26C9"/>
    <w:rsid w:val="0010399C"/>
    <w:rsid w:val="001079CC"/>
    <w:rsid w:val="00137696"/>
    <w:rsid w:val="00144023"/>
    <w:rsid w:val="00162732"/>
    <w:rsid w:val="001835F4"/>
    <w:rsid w:val="00185FA4"/>
    <w:rsid w:val="001A6BA7"/>
    <w:rsid w:val="001C041B"/>
    <w:rsid w:val="001D4200"/>
    <w:rsid w:val="001E150C"/>
    <w:rsid w:val="00202C15"/>
    <w:rsid w:val="00205DC4"/>
    <w:rsid w:val="00223DEF"/>
    <w:rsid w:val="002259FB"/>
    <w:rsid w:val="0023283C"/>
    <w:rsid w:val="0023734B"/>
    <w:rsid w:val="002567D7"/>
    <w:rsid w:val="00285778"/>
    <w:rsid w:val="002864F1"/>
    <w:rsid w:val="002958F8"/>
    <w:rsid w:val="002A0178"/>
    <w:rsid w:val="002A0E00"/>
    <w:rsid w:val="002A2A02"/>
    <w:rsid w:val="002D08B4"/>
    <w:rsid w:val="002D417B"/>
    <w:rsid w:val="002D46F4"/>
    <w:rsid w:val="002E2572"/>
    <w:rsid w:val="002E7FDD"/>
    <w:rsid w:val="002F462B"/>
    <w:rsid w:val="002F6C4A"/>
    <w:rsid w:val="003006C1"/>
    <w:rsid w:val="00332322"/>
    <w:rsid w:val="00335C3F"/>
    <w:rsid w:val="00336DE5"/>
    <w:rsid w:val="00341DD9"/>
    <w:rsid w:val="00343560"/>
    <w:rsid w:val="00366EE6"/>
    <w:rsid w:val="003743F9"/>
    <w:rsid w:val="00382B7F"/>
    <w:rsid w:val="003920D1"/>
    <w:rsid w:val="003A38D3"/>
    <w:rsid w:val="003B3228"/>
    <w:rsid w:val="003C50E5"/>
    <w:rsid w:val="003D4DB8"/>
    <w:rsid w:val="003E4254"/>
    <w:rsid w:val="003E51D2"/>
    <w:rsid w:val="003F290B"/>
    <w:rsid w:val="00400D4D"/>
    <w:rsid w:val="00405EF4"/>
    <w:rsid w:val="00406944"/>
    <w:rsid w:val="00407F23"/>
    <w:rsid w:val="004210E3"/>
    <w:rsid w:val="0042559E"/>
    <w:rsid w:val="00427901"/>
    <w:rsid w:val="00433D29"/>
    <w:rsid w:val="00434456"/>
    <w:rsid w:val="00450C27"/>
    <w:rsid w:val="004534C8"/>
    <w:rsid w:val="0046102E"/>
    <w:rsid w:val="004665D2"/>
    <w:rsid w:val="00472C5F"/>
    <w:rsid w:val="00483B86"/>
    <w:rsid w:val="004872D2"/>
    <w:rsid w:val="004914A4"/>
    <w:rsid w:val="004B76CA"/>
    <w:rsid w:val="004D10D5"/>
    <w:rsid w:val="004D70F8"/>
    <w:rsid w:val="004F549A"/>
    <w:rsid w:val="005012AC"/>
    <w:rsid w:val="005026AA"/>
    <w:rsid w:val="005119AA"/>
    <w:rsid w:val="005156A1"/>
    <w:rsid w:val="00520C40"/>
    <w:rsid w:val="00530AEF"/>
    <w:rsid w:val="00555ED4"/>
    <w:rsid w:val="00573F00"/>
    <w:rsid w:val="00580E00"/>
    <w:rsid w:val="005A2AFD"/>
    <w:rsid w:val="005A5BED"/>
    <w:rsid w:val="005B0F23"/>
    <w:rsid w:val="005B7FC0"/>
    <w:rsid w:val="005C0FEA"/>
    <w:rsid w:val="005C1271"/>
    <w:rsid w:val="005C66E0"/>
    <w:rsid w:val="005C6DEB"/>
    <w:rsid w:val="005D75D7"/>
    <w:rsid w:val="005D7C29"/>
    <w:rsid w:val="0062263E"/>
    <w:rsid w:val="00627424"/>
    <w:rsid w:val="00632B83"/>
    <w:rsid w:val="00635042"/>
    <w:rsid w:val="0064246A"/>
    <w:rsid w:val="00652E52"/>
    <w:rsid w:val="00667ED4"/>
    <w:rsid w:val="006727B5"/>
    <w:rsid w:val="006749FD"/>
    <w:rsid w:val="00675E31"/>
    <w:rsid w:val="006A0E7C"/>
    <w:rsid w:val="006D76DC"/>
    <w:rsid w:val="006E3A9B"/>
    <w:rsid w:val="006F781A"/>
    <w:rsid w:val="0072334A"/>
    <w:rsid w:val="00743051"/>
    <w:rsid w:val="0075297D"/>
    <w:rsid w:val="00760826"/>
    <w:rsid w:val="00780DB0"/>
    <w:rsid w:val="007828F6"/>
    <w:rsid w:val="007840F0"/>
    <w:rsid w:val="00786E4A"/>
    <w:rsid w:val="007B0C84"/>
    <w:rsid w:val="007B3EFE"/>
    <w:rsid w:val="007C2F25"/>
    <w:rsid w:val="007D7C81"/>
    <w:rsid w:val="00810200"/>
    <w:rsid w:val="008220F3"/>
    <w:rsid w:val="00832F91"/>
    <w:rsid w:val="00834805"/>
    <w:rsid w:val="0083556F"/>
    <w:rsid w:val="008439AE"/>
    <w:rsid w:val="00867B2B"/>
    <w:rsid w:val="008725B7"/>
    <w:rsid w:val="00881D96"/>
    <w:rsid w:val="00894AF8"/>
    <w:rsid w:val="008C4DD3"/>
    <w:rsid w:val="008C5F16"/>
    <w:rsid w:val="008D43AC"/>
    <w:rsid w:val="008D5D83"/>
    <w:rsid w:val="008E0171"/>
    <w:rsid w:val="008F51C6"/>
    <w:rsid w:val="008F52F4"/>
    <w:rsid w:val="00911430"/>
    <w:rsid w:val="00927A73"/>
    <w:rsid w:val="0093672A"/>
    <w:rsid w:val="00962CBE"/>
    <w:rsid w:val="009639DE"/>
    <w:rsid w:val="00965EA2"/>
    <w:rsid w:val="00975355"/>
    <w:rsid w:val="00985B4D"/>
    <w:rsid w:val="009A5B61"/>
    <w:rsid w:val="009B15FD"/>
    <w:rsid w:val="009E76A7"/>
    <w:rsid w:val="009F7EF3"/>
    <w:rsid w:val="00A02567"/>
    <w:rsid w:val="00A043E3"/>
    <w:rsid w:val="00A174D2"/>
    <w:rsid w:val="00A218B5"/>
    <w:rsid w:val="00A21B35"/>
    <w:rsid w:val="00A40678"/>
    <w:rsid w:val="00A531BD"/>
    <w:rsid w:val="00A54FFF"/>
    <w:rsid w:val="00A653F3"/>
    <w:rsid w:val="00A70D37"/>
    <w:rsid w:val="00A76204"/>
    <w:rsid w:val="00A8320C"/>
    <w:rsid w:val="00A951A4"/>
    <w:rsid w:val="00AA3BF3"/>
    <w:rsid w:val="00AA4321"/>
    <w:rsid w:val="00AA6895"/>
    <w:rsid w:val="00AB1613"/>
    <w:rsid w:val="00AB363D"/>
    <w:rsid w:val="00AE1DF9"/>
    <w:rsid w:val="00B02C11"/>
    <w:rsid w:val="00B12665"/>
    <w:rsid w:val="00B213B6"/>
    <w:rsid w:val="00B244C4"/>
    <w:rsid w:val="00B33725"/>
    <w:rsid w:val="00B379C3"/>
    <w:rsid w:val="00B40091"/>
    <w:rsid w:val="00B5424F"/>
    <w:rsid w:val="00B55CD6"/>
    <w:rsid w:val="00B57CCE"/>
    <w:rsid w:val="00B659F6"/>
    <w:rsid w:val="00B70C48"/>
    <w:rsid w:val="00B74199"/>
    <w:rsid w:val="00B76B28"/>
    <w:rsid w:val="00B86B65"/>
    <w:rsid w:val="00B9476E"/>
    <w:rsid w:val="00B9577A"/>
    <w:rsid w:val="00BC423E"/>
    <w:rsid w:val="00BD485E"/>
    <w:rsid w:val="00BE03DB"/>
    <w:rsid w:val="00BE5EF3"/>
    <w:rsid w:val="00C1168C"/>
    <w:rsid w:val="00C14EB1"/>
    <w:rsid w:val="00C210A3"/>
    <w:rsid w:val="00C21A32"/>
    <w:rsid w:val="00C408A5"/>
    <w:rsid w:val="00C425C3"/>
    <w:rsid w:val="00C534A1"/>
    <w:rsid w:val="00C75523"/>
    <w:rsid w:val="00C76D72"/>
    <w:rsid w:val="00C9426E"/>
    <w:rsid w:val="00C96132"/>
    <w:rsid w:val="00CB0C11"/>
    <w:rsid w:val="00CB6D97"/>
    <w:rsid w:val="00CD6788"/>
    <w:rsid w:val="00CE758B"/>
    <w:rsid w:val="00CF4572"/>
    <w:rsid w:val="00D00C6B"/>
    <w:rsid w:val="00D028BC"/>
    <w:rsid w:val="00D26142"/>
    <w:rsid w:val="00D45413"/>
    <w:rsid w:val="00D51EF7"/>
    <w:rsid w:val="00D5238C"/>
    <w:rsid w:val="00D55F3A"/>
    <w:rsid w:val="00D57FCD"/>
    <w:rsid w:val="00D73A96"/>
    <w:rsid w:val="00D776C8"/>
    <w:rsid w:val="00D907F1"/>
    <w:rsid w:val="00D9290F"/>
    <w:rsid w:val="00D95401"/>
    <w:rsid w:val="00DA2874"/>
    <w:rsid w:val="00DA5665"/>
    <w:rsid w:val="00DB542C"/>
    <w:rsid w:val="00DB656F"/>
    <w:rsid w:val="00DD007F"/>
    <w:rsid w:val="00DD0389"/>
    <w:rsid w:val="00E140DC"/>
    <w:rsid w:val="00E401A5"/>
    <w:rsid w:val="00E430C1"/>
    <w:rsid w:val="00E43298"/>
    <w:rsid w:val="00E70C78"/>
    <w:rsid w:val="00E72FFD"/>
    <w:rsid w:val="00E73C39"/>
    <w:rsid w:val="00E8079E"/>
    <w:rsid w:val="00EB1B24"/>
    <w:rsid w:val="00EC0306"/>
    <w:rsid w:val="00F00610"/>
    <w:rsid w:val="00F2564A"/>
    <w:rsid w:val="00F52432"/>
    <w:rsid w:val="00F5473B"/>
    <w:rsid w:val="00F6189A"/>
    <w:rsid w:val="00F770C7"/>
    <w:rsid w:val="00F77B8F"/>
    <w:rsid w:val="00F8711F"/>
    <w:rsid w:val="00F91F47"/>
    <w:rsid w:val="00F97B3C"/>
    <w:rsid w:val="00FC57BF"/>
    <w:rsid w:val="00FD069F"/>
    <w:rsid w:val="00FD23DB"/>
    <w:rsid w:val="00FD327B"/>
    <w:rsid w:val="00FE2F6C"/>
    <w:rsid w:val="00FF52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B2E34"/>
  <w15:chartTrackingRefBased/>
  <w15:docId w15:val="{C7E46A7E-0B86-4FAC-BD22-FB4F297FC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430"/>
    <w:pPr>
      <w:spacing w:after="0" w:line="240" w:lineRule="auto"/>
    </w:pPr>
    <w:rPr>
      <w:rFonts w:ascii="Times New Roman" w:eastAsia="Times New Roman" w:hAnsi="Times New Roman" w:cs="Times New Roman"/>
      <w:kern w:val="0"/>
      <w:sz w:val="20"/>
      <w:szCs w:val="20"/>
      <w:lang w:val="es-ES_tradnl" w:eastAsia="es-MX"/>
      <w14:ligatures w14:val="none"/>
    </w:rPr>
  </w:style>
  <w:style w:type="paragraph" w:styleId="Ttulo1">
    <w:name w:val="heading 1"/>
    <w:basedOn w:val="Normal"/>
    <w:next w:val="Normal"/>
    <w:link w:val="Ttulo1Car"/>
    <w:uiPriority w:val="9"/>
    <w:qFormat/>
    <w:rsid w:val="00911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1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14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14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14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143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143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143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143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14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14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14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14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14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14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14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14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1430"/>
    <w:rPr>
      <w:rFonts w:eastAsiaTheme="majorEastAsia" w:cstheme="majorBidi"/>
      <w:color w:val="272727" w:themeColor="text1" w:themeTint="D8"/>
    </w:rPr>
  </w:style>
  <w:style w:type="paragraph" w:styleId="Ttulo">
    <w:name w:val="Title"/>
    <w:basedOn w:val="Normal"/>
    <w:next w:val="Normal"/>
    <w:link w:val="TtuloCar"/>
    <w:uiPriority w:val="10"/>
    <w:qFormat/>
    <w:rsid w:val="0091143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14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14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14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1430"/>
    <w:pPr>
      <w:spacing w:before="160"/>
      <w:jc w:val="center"/>
    </w:pPr>
    <w:rPr>
      <w:i/>
      <w:iCs/>
      <w:color w:val="404040" w:themeColor="text1" w:themeTint="BF"/>
    </w:rPr>
  </w:style>
  <w:style w:type="character" w:customStyle="1" w:styleId="CitaCar">
    <w:name w:val="Cita Car"/>
    <w:basedOn w:val="Fuentedeprrafopredeter"/>
    <w:link w:val="Cita"/>
    <w:uiPriority w:val="29"/>
    <w:rsid w:val="00911430"/>
    <w:rPr>
      <w:i/>
      <w:iCs/>
      <w:color w:val="404040" w:themeColor="text1" w:themeTint="BF"/>
    </w:rPr>
  </w:style>
  <w:style w:type="paragraph" w:styleId="Prrafodelista">
    <w:name w:val="List Paragraph"/>
    <w:aliases w:val="Cita texto,Footnote,TEXTO GENERAL SENTENCIAS,Lista vistosa - Énfasis 11,Párrafo de lista2,List Paragraph1,Colorful List - Accent 11,PARRAFO,Párrafo de lista1,Cuadrícula clara - Énfasis 31,Trascripción,Cuadrícula media 1 - Énfasis 21,lp1"/>
    <w:basedOn w:val="Normal"/>
    <w:link w:val="PrrafodelistaCar"/>
    <w:uiPriority w:val="34"/>
    <w:qFormat/>
    <w:rsid w:val="00911430"/>
    <w:pPr>
      <w:ind w:left="720"/>
      <w:contextualSpacing/>
    </w:pPr>
  </w:style>
  <w:style w:type="character" w:styleId="nfasisintenso">
    <w:name w:val="Intense Emphasis"/>
    <w:basedOn w:val="Fuentedeprrafopredeter"/>
    <w:uiPriority w:val="21"/>
    <w:qFormat/>
    <w:rsid w:val="00911430"/>
    <w:rPr>
      <w:i/>
      <w:iCs/>
      <w:color w:val="0F4761" w:themeColor="accent1" w:themeShade="BF"/>
    </w:rPr>
  </w:style>
  <w:style w:type="paragraph" w:styleId="Citadestacada">
    <w:name w:val="Intense Quote"/>
    <w:basedOn w:val="Normal"/>
    <w:next w:val="Normal"/>
    <w:link w:val="CitadestacadaCar"/>
    <w:uiPriority w:val="30"/>
    <w:qFormat/>
    <w:rsid w:val="00911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1430"/>
    <w:rPr>
      <w:i/>
      <w:iCs/>
      <w:color w:val="0F4761" w:themeColor="accent1" w:themeShade="BF"/>
    </w:rPr>
  </w:style>
  <w:style w:type="character" w:styleId="Referenciaintensa">
    <w:name w:val="Intense Reference"/>
    <w:basedOn w:val="Fuentedeprrafopredeter"/>
    <w:uiPriority w:val="32"/>
    <w:qFormat/>
    <w:rsid w:val="00911430"/>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nhideWhenUsed/>
    <w:qFormat/>
    <w:rsid w:val="00911430"/>
    <w:rPr>
      <w:rFonts w:asciiTheme="minorHAnsi" w:eastAsiaTheme="minorHAnsi" w:hAnsiTheme="minorHAnsi" w:cstheme="minorBidi"/>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qFormat/>
    <w:rsid w:val="00911430"/>
    <w:rPr>
      <w:kern w:val="0"/>
      <w:sz w:val="20"/>
      <w:szCs w:val="20"/>
      <w14:ligatures w14:val="none"/>
    </w:rPr>
  </w:style>
  <w:style w:type="character" w:customStyle="1" w:styleId="corte2ponenteCar">
    <w:name w:val="corte2 ponente Car"/>
    <w:link w:val="corte2ponente"/>
    <w:locked/>
    <w:rsid w:val="00911430"/>
    <w:rPr>
      <w:rFonts w:ascii="Arial" w:eastAsia="Times New Roman" w:hAnsi="Arial" w:cs="Times New Roman"/>
      <w:b/>
      <w:caps/>
      <w:sz w:val="30"/>
      <w:szCs w:val="20"/>
      <w:lang w:val="es-ES_tradnl" w:eastAsia="es-MX"/>
    </w:rPr>
  </w:style>
  <w:style w:type="paragraph" w:customStyle="1" w:styleId="corte2ponente">
    <w:name w:val="corte2 ponente"/>
    <w:basedOn w:val="Normal"/>
    <w:link w:val="corte2ponenteCar"/>
    <w:qFormat/>
    <w:rsid w:val="00911430"/>
    <w:rPr>
      <w:rFonts w:ascii="Arial" w:hAnsi="Arial"/>
      <w:b/>
      <w:caps/>
      <w:kern w:val="2"/>
      <w:sz w:val="30"/>
      <w14:ligatures w14:val="standardContextual"/>
    </w:rPr>
  </w:style>
  <w:style w:type="character" w:customStyle="1" w:styleId="corte4fondoCar1">
    <w:name w:val="corte4 fondo Car1"/>
    <w:link w:val="corte4fondo"/>
    <w:qFormat/>
    <w:locked/>
    <w:rsid w:val="00911430"/>
    <w:rPr>
      <w:rFonts w:ascii="Arial" w:eastAsia="Times New Roman" w:hAnsi="Arial" w:cs="Times New Roman"/>
      <w:sz w:val="30"/>
      <w:szCs w:val="20"/>
      <w:lang w:val="es-ES_tradnl" w:eastAsia="es-MX"/>
    </w:rPr>
  </w:style>
  <w:style w:type="paragraph" w:customStyle="1" w:styleId="corte4fondo">
    <w:name w:val="corte4 fondo"/>
    <w:basedOn w:val="Normal"/>
    <w:link w:val="corte4fondoCar1"/>
    <w:qFormat/>
    <w:rsid w:val="00911430"/>
    <w:pPr>
      <w:spacing w:line="360" w:lineRule="auto"/>
      <w:ind w:firstLine="709"/>
      <w:jc w:val="both"/>
    </w:pPr>
    <w:rPr>
      <w:rFonts w:ascii="Arial" w:hAnsi="Arial"/>
      <w:kern w:val="2"/>
      <w:sz w:val="30"/>
      <w14:ligatures w14:val="standardContextual"/>
    </w:rPr>
  </w:style>
  <w:style w:type="character" w:customStyle="1" w:styleId="corte3centroCar">
    <w:name w:val="corte3 centro Car"/>
    <w:link w:val="corte3centro"/>
    <w:locked/>
    <w:rsid w:val="00911430"/>
    <w:rPr>
      <w:rFonts w:ascii="Arial" w:eastAsia="Times New Roman" w:hAnsi="Arial" w:cs="Times New Roman"/>
      <w:b/>
      <w:sz w:val="30"/>
      <w:szCs w:val="20"/>
      <w:lang w:val="es-ES_tradnl" w:eastAsia="x-none"/>
    </w:rPr>
  </w:style>
  <w:style w:type="paragraph" w:customStyle="1" w:styleId="corte3centro">
    <w:name w:val="corte3 centro"/>
    <w:basedOn w:val="Normal"/>
    <w:link w:val="corte3centroCar"/>
    <w:qFormat/>
    <w:rsid w:val="00911430"/>
    <w:pPr>
      <w:spacing w:line="360" w:lineRule="auto"/>
      <w:jc w:val="center"/>
    </w:pPr>
    <w:rPr>
      <w:rFonts w:ascii="Arial" w:hAnsi="Arial"/>
      <w:b/>
      <w:kern w:val="2"/>
      <w:sz w:val="30"/>
      <w:lang w:eastAsia="x-none"/>
      <w14:ligatures w14:val="standardContextual"/>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4GChar"/>
    <w:unhideWhenUsed/>
    <w:qFormat/>
    <w:rsid w:val="00911430"/>
    <w:rPr>
      <w:vertAlign w:val="superscript"/>
    </w:rPr>
  </w:style>
  <w:style w:type="paragraph" w:styleId="Encabezado">
    <w:name w:val="header"/>
    <w:basedOn w:val="Normal"/>
    <w:link w:val="EncabezadoCar"/>
    <w:uiPriority w:val="99"/>
    <w:unhideWhenUsed/>
    <w:rsid w:val="00911430"/>
    <w:pPr>
      <w:tabs>
        <w:tab w:val="center" w:pos="4419"/>
        <w:tab w:val="right" w:pos="8838"/>
      </w:tabs>
    </w:pPr>
  </w:style>
  <w:style w:type="character" w:customStyle="1" w:styleId="EncabezadoCar">
    <w:name w:val="Encabezado Car"/>
    <w:basedOn w:val="Fuentedeprrafopredeter"/>
    <w:link w:val="Encabezado"/>
    <w:uiPriority w:val="99"/>
    <w:rsid w:val="00911430"/>
    <w:rPr>
      <w:rFonts w:ascii="Times New Roman" w:eastAsia="Times New Roman" w:hAnsi="Times New Roman" w:cs="Times New Roman"/>
      <w:kern w:val="0"/>
      <w:sz w:val="20"/>
      <w:szCs w:val="20"/>
      <w:lang w:val="es-ES_tradnl" w:eastAsia="es-MX"/>
      <w14:ligatures w14:val="none"/>
    </w:rPr>
  </w:style>
  <w:style w:type="paragraph" w:styleId="Piedepgina">
    <w:name w:val="footer"/>
    <w:basedOn w:val="Normal"/>
    <w:link w:val="PiedepginaCar"/>
    <w:uiPriority w:val="99"/>
    <w:unhideWhenUsed/>
    <w:rsid w:val="00911430"/>
    <w:pPr>
      <w:tabs>
        <w:tab w:val="center" w:pos="4419"/>
        <w:tab w:val="right" w:pos="8838"/>
      </w:tabs>
    </w:pPr>
  </w:style>
  <w:style w:type="character" w:customStyle="1" w:styleId="PiedepginaCar">
    <w:name w:val="Pie de página Car"/>
    <w:basedOn w:val="Fuentedeprrafopredeter"/>
    <w:link w:val="Piedepgina"/>
    <w:uiPriority w:val="99"/>
    <w:rsid w:val="00911430"/>
    <w:rPr>
      <w:rFonts w:ascii="Times New Roman" w:eastAsia="Times New Roman" w:hAnsi="Times New Roman" w:cs="Times New Roman"/>
      <w:kern w:val="0"/>
      <w:sz w:val="20"/>
      <w:szCs w:val="20"/>
      <w:lang w:val="es-ES_tradnl" w:eastAsia="es-MX"/>
      <w14:ligatures w14:val="none"/>
    </w:rPr>
  </w:style>
  <w:style w:type="table" w:styleId="Tablaconcuadrcula">
    <w:name w:val="Table Grid"/>
    <w:basedOn w:val="Tablanormal"/>
    <w:rsid w:val="009114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 texto Car,Footnote Car,TEXTO GENERAL SENTENCIAS Car,Lista vistosa - Énfasis 11 Car,Párrafo de lista2 Car,List Paragraph1 Car,Colorful List - Accent 11 Car,PARRAFO Car,Párrafo de lista1 Car,Cuadrícula clara - Énfasis 31 Car"/>
    <w:link w:val="Prrafodelista"/>
    <w:uiPriority w:val="34"/>
    <w:qFormat/>
    <w:rsid w:val="00911430"/>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911430"/>
    <w:pPr>
      <w:jc w:val="both"/>
    </w:pPr>
    <w:rPr>
      <w:rFonts w:asciiTheme="minorHAnsi" w:eastAsiaTheme="minorHAnsi" w:hAnsiTheme="minorHAnsi" w:cstheme="minorBidi"/>
      <w:kern w:val="2"/>
      <w:sz w:val="24"/>
      <w:szCs w:val="24"/>
      <w:vertAlign w:val="superscript"/>
      <w:lang w:val="es-MX" w:eastAsia="en-US"/>
      <w14:ligatures w14:val="standardContextual"/>
    </w:rPr>
  </w:style>
  <w:style w:type="paragraph" w:styleId="NormalWeb">
    <w:name w:val="Normal (Web)"/>
    <w:basedOn w:val="Normal"/>
    <w:uiPriority w:val="99"/>
    <w:semiHidden/>
    <w:unhideWhenUsed/>
    <w:rsid w:val="00911430"/>
    <w:pPr>
      <w:spacing w:before="100" w:beforeAutospacing="1" w:after="100" w:afterAutospacing="1"/>
    </w:pPr>
    <w:rPr>
      <w:sz w:val="24"/>
      <w:szCs w:val="24"/>
      <w:lang w:val="es-MX"/>
    </w:rPr>
  </w:style>
  <w:style w:type="character" w:styleId="Hipervnculo">
    <w:name w:val="Hyperlink"/>
    <w:basedOn w:val="Fuentedeprrafopredeter"/>
    <w:uiPriority w:val="99"/>
    <w:unhideWhenUsed/>
    <w:rsid w:val="00911430"/>
    <w:rPr>
      <w:color w:val="467886" w:themeColor="hyperlink"/>
      <w:u w:val="single"/>
    </w:rPr>
  </w:style>
  <w:style w:type="character" w:styleId="Mencinsinresolver">
    <w:name w:val="Unresolved Mention"/>
    <w:basedOn w:val="Fuentedeprrafopredeter"/>
    <w:uiPriority w:val="99"/>
    <w:semiHidden/>
    <w:unhideWhenUsed/>
    <w:rsid w:val="00A02567"/>
    <w:rPr>
      <w:color w:val="605E5C"/>
      <w:shd w:val="clear" w:color="auto" w:fill="E1DFDD"/>
    </w:rPr>
  </w:style>
  <w:style w:type="paragraph" w:customStyle="1" w:styleId="Estilo">
    <w:name w:val="Estilo"/>
    <w:basedOn w:val="Sinespaciado"/>
    <w:link w:val="EstiloCar"/>
    <w:qFormat/>
    <w:rsid w:val="001E150C"/>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1E150C"/>
    <w:rPr>
      <w:rFonts w:ascii="Arial" w:hAnsi="Arial"/>
      <w:kern w:val="0"/>
      <w:szCs w:val="22"/>
      <w14:ligatures w14:val="none"/>
    </w:rPr>
  </w:style>
  <w:style w:type="paragraph" w:styleId="Sinespaciado">
    <w:name w:val="No Spacing"/>
    <w:uiPriority w:val="1"/>
    <w:qFormat/>
    <w:rsid w:val="001E150C"/>
    <w:pPr>
      <w:spacing w:after="0" w:line="240" w:lineRule="auto"/>
    </w:pPr>
    <w:rPr>
      <w:rFonts w:ascii="Times New Roman" w:eastAsia="Times New Roman" w:hAnsi="Times New Roman" w:cs="Times New Roman"/>
      <w:kern w:val="0"/>
      <w:sz w:val="20"/>
      <w:szCs w:val="20"/>
      <w:lang w:val="es-ES_tradnl" w:eastAsia="es-MX"/>
      <w14:ligatures w14:val="none"/>
    </w:rPr>
  </w:style>
  <w:style w:type="paragraph" w:styleId="Textoindependiente">
    <w:name w:val="Body Text"/>
    <w:basedOn w:val="Normal"/>
    <w:link w:val="TextoindependienteCar"/>
    <w:uiPriority w:val="1"/>
    <w:qFormat/>
    <w:rsid w:val="00A76204"/>
    <w:pPr>
      <w:widowControl w:val="0"/>
      <w:ind w:left="540" w:hanging="427"/>
    </w:pPr>
    <w:rPr>
      <w:rFonts w:ascii="Arial" w:eastAsia="Arial" w:hAnsi="Arial" w:cstheme="minorBidi"/>
      <w:sz w:val="26"/>
      <w:szCs w:val="26"/>
      <w:lang w:val="es-MX" w:eastAsia="en-US"/>
    </w:rPr>
  </w:style>
  <w:style w:type="character" w:customStyle="1" w:styleId="TextoindependienteCar">
    <w:name w:val="Texto independiente Car"/>
    <w:basedOn w:val="Fuentedeprrafopredeter"/>
    <w:link w:val="Textoindependiente"/>
    <w:uiPriority w:val="1"/>
    <w:rsid w:val="00A76204"/>
    <w:rPr>
      <w:rFonts w:ascii="Arial" w:eastAsia="Arial" w:hAnsi="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relatoria/2025/t-350-25.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0C727-728A-4556-B523-F230C8A69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16</Pages>
  <Words>4482</Words>
  <Characters>23355</Characters>
  <Application>Microsoft Office Word</Application>
  <DocSecurity>0</DocSecurity>
  <Lines>556</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Arlin Maribel Pérez Parada</dc:creator>
  <cp:keywords/>
  <dc:description/>
  <cp:lastModifiedBy>ROSALBA ARSUAGA MONTOYA</cp:lastModifiedBy>
  <cp:revision>32</cp:revision>
  <dcterms:created xsi:type="dcterms:W3CDTF">2026-02-16T23:36:00Z</dcterms:created>
  <dcterms:modified xsi:type="dcterms:W3CDTF">2026-03-18T21:38:00Z</dcterms:modified>
</cp:coreProperties>
</file>