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3D5E7" w14:textId="77777777" w:rsidR="008227F7" w:rsidRPr="00994A7E" w:rsidRDefault="008227F7" w:rsidP="008227F7">
      <w:pPr>
        <w:pStyle w:val="Ttulo1"/>
        <w:spacing w:before="600" w:after="240"/>
        <w:ind w:left="3969"/>
        <w:rPr>
          <w:rFonts w:ascii="Raleway" w:hAnsi="Raleway"/>
          <w:b w:val="0"/>
          <w:bCs/>
          <w:sz w:val="27"/>
          <w:szCs w:val="27"/>
        </w:rPr>
      </w:pPr>
      <w:r w:rsidRPr="00516874">
        <w:rPr>
          <w:rFonts w:ascii="Raleway" w:hAnsi="Raleway"/>
          <w:bCs/>
        </w:rPr>
        <w:t>A</w:t>
      </w:r>
      <w:r w:rsidRPr="00994A7E">
        <w:rPr>
          <w:rFonts w:ascii="Raleway" w:hAnsi="Raleway"/>
          <w:bCs/>
          <w:sz w:val="27"/>
          <w:szCs w:val="27"/>
        </w:rPr>
        <w:t>CCIÓN DE INCONSTITUCIONALIDAD 78/2022</w:t>
      </w:r>
    </w:p>
    <w:p w14:paraId="7D61DCA6" w14:textId="76228FC6" w:rsidR="008227F7" w:rsidRPr="00994A7E" w:rsidRDefault="008227F7" w:rsidP="008227F7">
      <w:pPr>
        <w:pStyle w:val="Ttulo1"/>
        <w:spacing w:before="240" w:after="240"/>
        <w:ind w:left="3969"/>
        <w:rPr>
          <w:rFonts w:ascii="Raleway" w:hAnsi="Raleway"/>
          <w:b w:val="0"/>
          <w:bCs/>
          <w:sz w:val="27"/>
          <w:szCs w:val="27"/>
        </w:rPr>
      </w:pPr>
      <w:r w:rsidRPr="00994A7E">
        <w:rPr>
          <w:rFonts w:ascii="Raleway" w:hAnsi="Raleway"/>
          <w:bCs/>
          <w:sz w:val="27"/>
          <w:szCs w:val="27"/>
        </w:rPr>
        <w:t xml:space="preserve">PROMOVENTES: DIVERSAS </w:t>
      </w:r>
      <w:r w:rsidR="003B25E8" w:rsidRPr="002A2E6E">
        <w:rPr>
          <w:rFonts w:eastAsia="Times New Roman"/>
          <w:caps/>
          <w:lang w:eastAsia="es-MX"/>
        </w:rPr>
        <w:t>personas senadoras del Congreso de la Unión</w:t>
      </w:r>
    </w:p>
    <w:p w14:paraId="2E5AD56D" w14:textId="77777777" w:rsidR="008227F7" w:rsidRPr="00994A7E" w:rsidRDefault="008227F7" w:rsidP="008227F7">
      <w:pPr>
        <w:spacing w:before="0"/>
        <w:rPr>
          <w:rFonts w:ascii="Raleway" w:hAnsi="Raleway"/>
          <w:b/>
          <w:sz w:val="27"/>
          <w:szCs w:val="27"/>
        </w:rPr>
      </w:pPr>
    </w:p>
    <w:p w14:paraId="6DBA79A8" w14:textId="77777777" w:rsidR="008227F7" w:rsidRPr="00994A7E" w:rsidRDefault="008227F7" w:rsidP="008227F7">
      <w:pPr>
        <w:spacing w:before="0"/>
        <w:rPr>
          <w:rFonts w:ascii="Raleway" w:hAnsi="Raleway"/>
          <w:b/>
          <w:sz w:val="27"/>
          <w:szCs w:val="27"/>
        </w:rPr>
      </w:pPr>
      <w:r w:rsidRPr="00994A7E">
        <w:rPr>
          <w:rFonts w:ascii="Raleway" w:hAnsi="Raleway"/>
          <w:b/>
          <w:sz w:val="27"/>
          <w:szCs w:val="27"/>
        </w:rPr>
        <w:t>PONENTE: MINISTRA SARA IRENE HERRERÍAS GUERRA</w:t>
      </w:r>
    </w:p>
    <w:p w14:paraId="25DA11AD" w14:textId="77777777" w:rsidR="008227F7" w:rsidRPr="00994A7E" w:rsidRDefault="008227F7" w:rsidP="008227F7">
      <w:pPr>
        <w:spacing w:before="0"/>
        <w:rPr>
          <w:rFonts w:ascii="Raleway" w:hAnsi="Raleway"/>
          <w:b/>
          <w:sz w:val="27"/>
          <w:szCs w:val="27"/>
        </w:rPr>
      </w:pPr>
    </w:p>
    <w:p w14:paraId="39E4E633" w14:textId="77777777" w:rsidR="008227F7" w:rsidRPr="00994A7E" w:rsidRDefault="008227F7" w:rsidP="008227F7">
      <w:pPr>
        <w:spacing w:before="0" w:after="0"/>
        <w:rPr>
          <w:rFonts w:ascii="Raleway" w:hAnsi="Raleway"/>
          <w:b/>
          <w:sz w:val="27"/>
          <w:szCs w:val="27"/>
        </w:rPr>
      </w:pPr>
      <w:r w:rsidRPr="00994A7E">
        <w:rPr>
          <w:rFonts w:ascii="Raleway" w:hAnsi="Raleway"/>
          <w:b/>
          <w:sz w:val="27"/>
          <w:szCs w:val="27"/>
        </w:rPr>
        <w:t>SECRETARIO: JOSÉ ENRIQUE DE JESÚS RODRÍGUEZ MARTÍNEZ</w:t>
      </w:r>
    </w:p>
    <w:p w14:paraId="1D600FE4" w14:textId="77777777" w:rsidR="008227F7" w:rsidRPr="00994A7E" w:rsidRDefault="008227F7" w:rsidP="008227F7">
      <w:pPr>
        <w:spacing w:before="0" w:after="0"/>
        <w:rPr>
          <w:rFonts w:ascii="Raleway" w:hAnsi="Raleway"/>
          <w:sz w:val="27"/>
          <w:szCs w:val="27"/>
        </w:rPr>
      </w:pPr>
    </w:p>
    <w:p w14:paraId="094E5DBF" w14:textId="77777777" w:rsidR="008227F7" w:rsidRPr="00994A7E" w:rsidRDefault="008227F7" w:rsidP="008227F7">
      <w:pPr>
        <w:spacing w:before="0" w:after="0"/>
        <w:rPr>
          <w:rFonts w:ascii="Raleway" w:hAnsi="Raleway"/>
          <w:sz w:val="27"/>
          <w:szCs w:val="27"/>
        </w:rPr>
      </w:pPr>
    </w:p>
    <w:p w14:paraId="1E6F198B" w14:textId="77777777" w:rsidR="008227F7" w:rsidRPr="00994A7E" w:rsidRDefault="008227F7" w:rsidP="008227F7">
      <w:pPr>
        <w:spacing w:before="0" w:after="0"/>
        <w:jc w:val="center"/>
        <w:rPr>
          <w:rFonts w:ascii="Raleway" w:hAnsi="Raleway"/>
          <w:b/>
          <w:bCs/>
          <w:sz w:val="27"/>
          <w:szCs w:val="27"/>
        </w:rPr>
      </w:pPr>
      <w:r w:rsidRPr="00994A7E">
        <w:rPr>
          <w:rFonts w:ascii="Raleway" w:hAnsi="Raleway"/>
          <w:b/>
          <w:bCs/>
          <w:sz w:val="27"/>
          <w:szCs w:val="27"/>
        </w:rPr>
        <w:t>ÍNDICE TEMÁTICO</w:t>
      </w:r>
    </w:p>
    <w:p w14:paraId="2733A2F8" w14:textId="77777777" w:rsidR="008227F7" w:rsidRPr="00994A7E" w:rsidRDefault="008227F7" w:rsidP="008227F7">
      <w:pPr>
        <w:spacing w:before="0" w:after="0"/>
        <w:jc w:val="center"/>
        <w:rPr>
          <w:rFonts w:ascii="Raleway" w:hAnsi="Raleway"/>
          <w:b/>
          <w:bCs/>
          <w:sz w:val="27"/>
          <w:szCs w:val="27"/>
        </w:rPr>
      </w:pPr>
    </w:p>
    <w:p w14:paraId="02FFC3C9" w14:textId="77777777" w:rsidR="008227F7" w:rsidRPr="00994A7E" w:rsidRDefault="008227F7" w:rsidP="008227F7">
      <w:pPr>
        <w:spacing w:before="0" w:after="0"/>
        <w:rPr>
          <w:rFonts w:ascii="Raleway" w:hAnsi="Raleway"/>
          <w:b/>
          <w:bCs/>
          <w:sz w:val="27"/>
          <w:szCs w:val="27"/>
        </w:rPr>
      </w:pPr>
    </w:p>
    <w:tbl>
      <w:tblPr>
        <w:tblStyle w:val="Tablaconcuadrcula"/>
        <w:tblW w:w="9298" w:type="dxa"/>
        <w:tblLayout w:type="fixed"/>
        <w:tblLook w:val="04A0" w:firstRow="1" w:lastRow="0" w:firstColumn="1" w:lastColumn="0" w:noHBand="0" w:noVBand="1"/>
      </w:tblPr>
      <w:tblGrid>
        <w:gridCol w:w="846"/>
        <w:gridCol w:w="2551"/>
        <w:gridCol w:w="4820"/>
        <w:gridCol w:w="1081"/>
      </w:tblGrid>
      <w:tr w:rsidR="008227F7" w:rsidRPr="00994A7E" w14:paraId="1DB1CC5C" w14:textId="77777777" w:rsidTr="00C77BE5">
        <w:trPr>
          <w:trHeight w:val="641"/>
        </w:trPr>
        <w:tc>
          <w:tcPr>
            <w:tcW w:w="846" w:type="dxa"/>
            <w:shd w:val="clear" w:color="auto" w:fill="D9D9D9" w:themeFill="background1" w:themeFillShade="D9"/>
            <w:vAlign w:val="center"/>
          </w:tcPr>
          <w:p w14:paraId="2906B8A2" w14:textId="77777777" w:rsidR="008227F7" w:rsidRPr="00994A7E" w:rsidRDefault="008227F7" w:rsidP="00C77BE5">
            <w:pPr>
              <w:jc w:val="center"/>
              <w:rPr>
                <w:rFonts w:ascii="Raleway" w:hAnsi="Raleway"/>
                <w:b/>
                <w:bCs/>
                <w:sz w:val="27"/>
                <w:szCs w:val="27"/>
              </w:rPr>
            </w:pPr>
          </w:p>
        </w:tc>
        <w:tc>
          <w:tcPr>
            <w:tcW w:w="2551" w:type="dxa"/>
            <w:shd w:val="clear" w:color="auto" w:fill="D9D9D9" w:themeFill="background1" w:themeFillShade="D9"/>
            <w:vAlign w:val="center"/>
          </w:tcPr>
          <w:p w14:paraId="01E5E4B1" w14:textId="77777777" w:rsidR="008227F7" w:rsidRPr="00994A7E" w:rsidRDefault="008227F7" w:rsidP="00C77BE5">
            <w:pPr>
              <w:jc w:val="center"/>
              <w:rPr>
                <w:rFonts w:ascii="Raleway" w:hAnsi="Raleway"/>
                <w:b/>
                <w:sz w:val="27"/>
                <w:szCs w:val="27"/>
              </w:rPr>
            </w:pPr>
            <w:r w:rsidRPr="00994A7E">
              <w:rPr>
                <w:rFonts w:ascii="Raleway" w:hAnsi="Raleway"/>
                <w:b/>
                <w:sz w:val="27"/>
                <w:szCs w:val="27"/>
              </w:rPr>
              <w:t>Apartado</w:t>
            </w:r>
          </w:p>
        </w:tc>
        <w:tc>
          <w:tcPr>
            <w:tcW w:w="4820" w:type="dxa"/>
            <w:shd w:val="clear" w:color="auto" w:fill="D9D9D9" w:themeFill="background1" w:themeFillShade="D9"/>
            <w:vAlign w:val="center"/>
          </w:tcPr>
          <w:p w14:paraId="6B830981" w14:textId="77777777" w:rsidR="008227F7" w:rsidRPr="00994A7E" w:rsidRDefault="008227F7" w:rsidP="00C77BE5">
            <w:pPr>
              <w:jc w:val="center"/>
              <w:rPr>
                <w:rFonts w:ascii="Raleway" w:hAnsi="Raleway"/>
                <w:b/>
                <w:sz w:val="27"/>
                <w:szCs w:val="27"/>
              </w:rPr>
            </w:pPr>
            <w:r w:rsidRPr="00994A7E">
              <w:rPr>
                <w:rFonts w:ascii="Raleway" w:hAnsi="Raleway"/>
                <w:b/>
                <w:sz w:val="27"/>
                <w:szCs w:val="27"/>
              </w:rPr>
              <w:t>Criterio y decisión</w:t>
            </w:r>
          </w:p>
        </w:tc>
        <w:tc>
          <w:tcPr>
            <w:tcW w:w="1081" w:type="dxa"/>
            <w:shd w:val="clear" w:color="auto" w:fill="D9D9D9" w:themeFill="background1" w:themeFillShade="D9"/>
            <w:vAlign w:val="center"/>
          </w:tcPr>
          <w:p w14:paraId="1D108457" w14:textId="77777777" w:rsidR="008227F7" w:rsidRPr="00994A7E" w:rsidRDefault="008227F7" w:rsidP="00C77BE5">
            <w:pPr>
              <w:jc w:val="center"/>
              <w:rPr>
                <w:rFonts w:ascii="Raleway" w:hAnsi="Raleway"/>
                <w:b/>
                <w:sz w:val="27"/>
                <w:szCs w:val="27"/>
              </w:rPr>
            </w:pPr>
            <w:r w:rsidRPr="00994A7E">
              <w:rPr>
                <w:rFonts w:ascii="Raleway" w:hAnsi="Raleway"/>
                <w:b/>
                <w:sz w:val="27"/>
                <w:szCs w:val="27"/>
              </w:rPr>
              <w:t>Págs</w:t>
            </w:r>
          </w:p>
        </w:tc>
      </w:tr>
      <w:tr w:rsidR="008227F7" w:rsidRPr="00994A7E" w14:paraId="7B957363" w14:textId="77777777" w:rsidTr="00C77BE5">
        <w:trPr>
          <w:trHeight w:val="569"/>
        </w:trPr>
        <w:tc>
          <w:tcPr>
            <w:tcW w:w="846" w:type="dxa"/>
            <w:vAlign w:val="center"/>
          </w:tcPr>
          <w:p w14:paraId="48F9953A"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I.</w:t>
            </w:r>
          </w:p>
        </w:tc>
        <w:tc>
          <w:tcPr>
            <w:tcW w:w="2551" w:type="dxa"/>
            <w:vAlign w:val="center"/>
          </w:tcPr>
          <w:p w14:paraId="29DEA791" w14:textId="77777777" w:rsidR="008227F7" w:rsidRPr="00994A7E" w:rsidRDefault="008227F7" w:rsidP="00C77BE5">
            <w:pPr>
              <w:spacing w:before="0" w:after="0"/>
              <w:rPr>
                <w:rFonts w:ascii="Raleway" w:hAnsi="Raleway"/>
                <w:b/>
                <w:sz w:val="27"/>
                <w:szCs w:val="27"/>
              </w:rPr>
            </w:pPr>
            <w:r w:rsidRPr="00994A7E">
              <w:rPr>
                <w:rFonts w:ascii="Raleway" w:hAnsi="Raleway"/>
                <w:b/>
                <w:sz w:val="27"/>
                <w:szCs w:val="27"/>
              </w:rPr>
              <w:t xml:space="preserve">ANTECEDENTES Y TRÁMITE DE LA DEMANDA </w:t>
            </w:r>
          </w:p>
        </w:tc>
        <w:tc>
          <w:tcPr>
            <w:tcW w:w="4820" w:type="dxa"/>
          </w:tcPr>
          <w:p w14:paraId="5DCF22D1" w14:textId="476BD3BC" w:rsidR="008227F7" w:rsidRPr="00994A7E" w:rsidRDefault="008227F7" w:rsidP="00C77BE5">
            <w:pPr>
              <w:rPr>
                <w:rFonts w:ascii="Raleway" w:hAnsi="Raleway"/>
                <w:sz w:val="27"/>
                <w:szCs w:val="27"/>
              </w:rPr>
            </w:pPr>
            <w:r w:rsidRPr="00994A7E">
              <w:rPr>
                <w:rFonts w:ascii="Raleway" w:hAnsi="Raleway"/>
                <w:sz w:val="27"/>
                <w:szCs w:val="27"/>
              </w:rPr>
              <w:t>Se narran antecedentes de la</w:t>
            </w:r>
            <w:r w:rsidR="00D32F7C">
              <w:rPr>
                <w:rFonts w:ascii="Raleway" w:hAnsi="Raleway"/>
                <w:sz w:val="27"/>
                <w:szCs w:val="27"/>
              </w:rPr>
              <w:t>s</w:t>
            </w:r>
            <w:r w:rsidRPr="00994A7E">
              <w:rPr>
                <w:rFonts w:ascii="Raleway" w:hAnsi="Raleway"/>
                <w:sz w:val="27"/>
                <w:szCs w:val="27"/>
              </w:rPr>
              <w:t xml:space="preserve"> norma</w:t>
            </w:r>
            <w:r w:rsidR="00D32F7C">
              <w:rPr>
                <w:rFonts w:ascii="Raleway" w:hAnsi="Raleway"/>
                <w:sz w:val="27"/>
                <w:szCs w:val="27"/>
              </w:rPr>
              <w:t>s</w:t>
            </w:r>
            <w:r w:rsidRPr="00994A7E">
              <w:rPr>
                <w:rFonts w:ascii="Raleway" w:hAnsi="Raleway"/>
                <w:sz w:val="27"/>
                <w:szCs w:val="27"/>
              </w:rPr>
              <w:t xml:space="preserve"> impugnada</w:t>
            </w:r>
            <w:r w:rsidR="00D32F7C">
              <w:rPr>
                <w:rFonts w:ascii="Raleway" w:hAnsi="Raleway"/>
                <w:sz w:val="27"/>
                <w:szCs w:val="27"/>
              </w:rPr>
              <w:t>s</w:t>
            </w:r>
            <w:r w:rsidRPr="00994A7E">
              <w:rPr>
                <w:rFonts w:ascii="Raleway" w:hAnsi="Raleway"/>
                <w:sz w:val="27"/>
                <w:szCs w:val="27"/>
              </w:rPr>
              <w:t>, presentación de la demanda y trámite de la acción.</w:t>
            </w:r>
          </w:p>
        </w:tc>
        <w:tc>
          <w:tcPr>
            <w:tcW w:w="1081" w:type="dxa"/>
          </w:tcPr>
          <w:p w14:paraId="6E778E27" w14:textId="22E1ED6E" w:rsidR="008227F7" w:rsidRPr="00994A7E" w:rsidRDefault="008227F7" w:rsidP="00C77BE5">
            <w:pPr>
              <w:jc w:val="center"/>
              <w:rPr>
                <w:rFonts w:ascii="Raleway" w:hAnsi="Raleway"/>
                <w:sz w:val="27"/>
                <w:szCs w:val="27"/>
              </w:rPr>
            </w:pPr>
            <w:r w:rsidRPr="00994A7E">
              <w:rPr>
                <w:rFonts w:ascii="Raleway" w:hAnsi="Raleway"/>
                <w:sz w:val="27"/>
                <w:szCs w:val="27"/>
              </w:rPr>
              <w:t>1-1</w:t>
            </w:r>
            <w:r w:rsidR="00C10CDE">
              <w:rPr>
                <w:rFonts w:ascii="Raleway" w:hAnsi="Raleway"/>
                <w:sz w:val="27"/>
                <w:szCs w:val="27"/>
              </w:rPr>
              <w:t>3</w:t>
            </w:r>
          </w:p>
        </w:tc>
      </w:tr>
      <w:tr w:rsidR="008227F7" w:rsidRPr="00994A7E" w14:paraId="2AA468A1" w14:textId="77777777" w:rsidTr="00C77BE5">
        <w:trPr>
          <w:trHeight w:val="882"/>
        </w:trPr>
        <w:tc>
          <w:tcPr>
            <w:tcW w:w="846" w:type="dxa"/>
            <w:vAlign w:val="center"/>
          </w:tcPr>
          <w:p w14:paraId="2F789BAC"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II.</w:t>
            </w:r>
          </w:p>
        </w:tc>
        <w:tc>
          <w:tcPr>
            <w:tcW w:w="2551" w:type="dxa"/>
            <w:vAlign w:val="center"/>
          </w:tcPr>
          <w:p w14:paraId="40F8CEF4" w14:textId="77777777" w:rsidR="008227F7" w:rsidRPr="00994A7E" w:rsidRDefault="008227F7" w:rsidP="00C77BE5">
            <w:pPr>
              <w:rPr>
                <w:rFonts w:ascii="Raleway" w:hAnsi="Raleway"/>
                <w:b/>
                <w:sz w:val="27"/>
                <w:szCs w:val="27"/>
              </w:rPr>
            </w:pPr>
            <w:r w:rsidRPr="00994A7E">
              <w:rPr>
                <w:rFonts w:ascii="Raleway" w:hAnsi="Raleway"/>
                <w:b/>
                <w:sz w:val="27"/>
                <w:szCs w:val="27"/>
              </w:rPr>
              <w:t xml:space="preserve">COMPETENCIA </w:t>
            </w:r>
          </w:p>
        </w:tc>
        <w:tc>
          <w:tcPr>
            <w:tcW w:w="4820" w:type="dxa"/>
          </w:tcPr>
          <w:p w14:paraId="24284CB2" w14:textId="77777777" w:rsidR="008227F7" w:rsidRPr="00994A7E" w:rsidRDefault="008227F7" w:rsidP="00C77BE5">
            <w:pPr>
              <w:rPr>
                <w:rFonts w:ascii="Raleway" w:hAnsi="Raleway"/>
                <w:sz w:val="27"/>
                <w:szCs w:val="27"/>
              </w:rPr>
            </w:pPr>
            <w:r w:rsidRPr="00994A7E">
              <w:rPr>
                <w:rFonts w:ascii="Raleway" w:hAnsi="Raleway"/>
                <w:sz w:val="27"/>
                <w:szCs w:val="27"/>
              </w:rPr>
              <w:t>El Tribunal Pleno es competente para conocer de la acción de inconstitucionalidad.</w:t>
            </w:r>
          </w:p>
        </w:tc>
        <w:tc>
          <w:tcPr>
            <w:tcW w:w="1081" w:type="dxa"/>
          </w:tcPr>
          <w:p w14:paraId="39130B47" w14:textId="3C3DCD83" w:rsidR="008227F7" w:rsidRPr="00994A7E" w:rsidRDefault="009940A4" w:rsidP="00C77BE5">
            <w:pPr>
              <w:jc w:val="center"/>
              <w:rPr>
                <w:rFonts w:ascii="Raleway" w:hAnsi="Raleway"/>
                <w:sz w:val="27"/>
                <w:szCs w:val="27"/>
              </w:rPr>
            </w:pPr>
            <w:r>
              <w:rPr>
                <w:rFonts w:ascii="Raleway" w:hAnsi="Raleway"/>
                <w:sz w:val="27"/>
                <w:szCs w:val="27"/>
              </w:rPr>
              <w:t>13-</w:t>
            </w:r>
            <w:r w:rsidR="00C10CDE">
              <w:rPr>
                <w:rFonts w:ascii="Raleway" w:hAnsi="Raleway"/>
                <w:sz w:val="27"/>
                <w:szCs w:val="27"/>
              </w:rPr>
              <w:t>14</w:t>
            </w:r>
          </w:p>
        </w:tc>
      </w:tr>
      <w:tr w:rsidR="008227F7" w:rsidRPr="00994A7E" w14:paraId="7AC66E21" w14:textId="77777777" w:rsidTr="00C77BE5">
        <w:trPr>
          <w:trHeight w:val="505"/>
        </w:trPr>
        <w:tc>
          <w:tcPr>
            <w:tcW w:w="846" w:type="dxa"/>
            <w:vAlign w:val="center"/>
          </w:tcPr>
          <w:p w14:paraId="004EA70F"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III.</w:t>
            </w:r>
          </w:p>
        </w:tc>
        <w:tc>
          <w:tcPr>
            <w:tcW w:w="2551" w:type="dxa"/>
            <w:vAlign w:val="center"/>
          </w:tcPr>
          <w:p w14:paraId="646B9143" w14:textId="77777777" w:rsidR="008227F7" w:rsidRPr="00994A7E" w:rsidRDefault="008227F7" w:rsidP="00C77BE5">
            <w:pPr>
              <w:rPr>
                <w:rFonts w:ascii="Raleway" w:hAnsi="Raleway"/>
                <w:b/>
                <w:sz w:val="27"/>
                <w:szCs w:val="27"/>
              </w:rPr>
            </w:pPr>
            <w:r w:rsidRPr="00994A7E">
              <w:rPr>
                <w:rFonts w:ascii="Raleway" w:hAnsi="Raleway"/>
                <w:b/>
                <w:sz w:val="27"/>
                <w:szCs w:val="27"/>
              </w:rPr>
              <w:t>PRECISIÓN DE LAS NORMAS RECLAMADAS</w:t>
            </w:r>
          </w:p>
        </w:tc>
        <w:tc>
          <w:tcPr>
            <w:tcW w:w="4820" w:type="dxa"/>
          </w:tcPr>
          <w:p w14:paraId="0DB094A1" w14:textId="77777777" w:rsidR="008227F7" w:rsidRPr="00994A7E" w:rsidRDefault="008227F7" w:rsidP="00C77BE5">
            <w:pPr>
              <w:rPr>
                <w:rFonts w:ascii="Raleway" w:hAnsi="Raleway"/>
                <w:sz w:val="27"/>
                <w:szCs w:val="27"/>
              </w:rPr>
            </w:pPr>
            <w:r w:rsidRPr="00994A7E">
              <w:rPr>
                <w:rFonts w:ascii="Raleway" w:hAnsi="Raleway"/>
                <w:sz w:val="27"/>
                <w:szCs w:val="27"/>
              </w:rPr>
              <w:t>El Tribunal Pleno tiene por impugnado el decreto en su totalidad.</w:t>
            </w:r>
          </w:p>
        </w:tc>
        <w:tc>
          <w:tcPr>
            <w:tcW w:w="1081" w:type="dxa"/>
          </w:tcPr>
          <w:p w14:paraId="4A42ABD2" w14:textId="1336BB49" w:rsidR="008227F7" w:rsidRPr="00994A7E" w:rsidRDefault="008227F7" w:rsidP="00C77BE5">
            <w:pPr>
              <w:jc w:val="center"/>
              <w:rPr>
                <w:rFonts w:ascii="Raleway" w:hAnsi="Raleway"/>
                <w:sz w:val="27"/>
                <w:szCs w:val="27"/>
              </w:rPr>
            </w:pPr>
            <w:r w:rsidRPr="00994A7E">
              <w:rPr>
                <w:rFonts w:ascii="Raleway" w:hAnsi="Raleway"/>
                <w:sz w:val="27"/>
                <w:szCs w:val="27"/>
              </w:rPr>
              <w:t>1</w:t>
            </w:r>
            <w:r w:rsidR="00C10CDE">
              <w:rPr>
                <w:rFonts w:ascii="Raleway" w:hAnsi="Raleway"/>
                <w:sz w:val="27"/>
                <w:szCs w:val="27"/>
              </w:rPr>
              <w:t>4</w:t>
            </w:r>
            <w:r w:rsidR="00EE1204">
              <w:rPr>
                <w:rFonts w:ascii="Raleway" w:hAnsi="Raleway"/>
                <w:sz w:val="27"/>
                <w:szCs w:val="27"/>
              </w:rPr>
              <w:t>-15</w:t>
            </w:r>
          </w:p>
        </w:tc>
      </w:tr>
      <w:tr w:rsidR="008227F7" w:rsidRPr="00994A7E" w14:paraId="3E3318B4" w14:textId="77777777" w:rsidTr="00C77BE5">
        <w:trPr>
          <w:trHeight w:val="555"/>
        </w:trPr>
        <w:tc>
          <w:tcPr>
            <w:tcW w:w="846" w:type="dxa"/>
            <w:vAlign w:val="center"/>
          </w:tcPr>
          <w:p w14:paraId="297BD5D6"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IV.</w:t>
            </w:r>
          </w:p>
        </w:tc>
        <w:tc>
          <w:tcPr>
            <w:tcW w:w="2551" w:type="dxa"/>
            <w:vAlign w:val="center"/>
          </w:tcPr>
          <w:p w14:paraId="0EC73150" w14:textId="77777777" w:rsidR="008227F7" w:rsidRPr="00994A7E" w:rsidRDefault="008227F7" w:rsidP="00C77BE5">
            <w:pPr>
              <w:rPr>
                <w:rFonts w:ascii="Raleway" w:hAnsi="Raleway"/>
                <w:b/>
                <w:sz w:val="27"/>
                <w:szCs w:val="27"/>
              </w:rPr>
            </w:pPr>
            <w:r w:rsidRPr="00994A7E">
              <w:rPr>
                <w:rFonts w:ascii="Raleway" w:hAnsi="Raleway"/>
                <w:b/>
                <w:sz w:val="27"/>
                <w:szCs w:val="27"/>
              </w:rPr>
              <w:t xml:space="preserve">OPORTUNIDAD </w:t>
            </w:r>
          </w:p>
        </w:tc>
        <w:tc>
          <w:tcPr>
            <w:tcW w:w="4820" w:type="dxa"/>
          </w:tcPr>
          <w:p w14:paraId="0ABB70E1" w14:textId="77777777" w:rsidR="008227F7" w:rsidRPr="00994A7E" w:rsidRDefault="008227F7" w:rsidP="00C77BE5">
            <w:pPr>
              <w:rPr>
                <w:rFonts w:ascii="Raleway" w:hAnsi="Raleway"/>
                <w:sz w:val="27"/>
                <w:szCs w:val="27"/>
              </w:rPr>
            </w:pPr>
            <w:r w:rsidRPr="00994A7E">
              <w:rPr>
                <w:rFonts w:ascii="Raleway" w:hAnsi="Raleway"/>
                <w:sz w:val="27"/>
                <w:szCs w:val="27"/>
              </w:rPr>
              <w:t xml:space="preserve">La demanda es oportuna. </w:t>
            </w:r>
          </w:p>
        </w:tc>
        <w:tc>
          <w:tcPr>
            <w:tcW w:w="1081" w:type="dxa"/>
          </w:tcPr>
          <w:p w14:paraId="53E61EA9" w14:textId="153B9555" w:rsidR="008227F7" w:rsidRPr="00994A7E" w:rsidRDefault="00792CB0" w:rsidP="00C77BE5">
            <w:pPr>
              <w:jc w:val="center"/>
              <w:rPr>
                <w:rFonts w:ascii="Raleway" w:hAnsi="Raleway"/>
                <w:sz w:val="27"/>
                <w:szCs w:val="27"/>
              </w:rPr>
            </w:pPr>
            <w:r>
              <w:rPr>
                <w:rFonts w:ascii="Raleway" w:hAnsi="Raleway"/>
                <w:sz w:val="27"/>
                <w:szCs w:val="27"/>
              </w:rPr>
              <w:t>15</w:t>
            </w:r>
          </w:p>
        </w:tc>
      </w:tr>
      <w:tr w:rsidR="008227F7" w:rsidRPr="00994A7E" w14:paraId="68B5E7B8" w14:textId="77777777" w:rsidTr="00C77BE5">
        <w:trPr>
          <w:trHeight w:val="1010"/>
        </w:trPr>
        <w:tc>
          <w:tcPr>
            <w:tcW w:w="846" w:type="dxa"/>
            <w:vAlign w:val="center"/>
          </w:tcPr>
          <w:p w14:paraId="49478D07"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V.</w:t>
            </w:r>
          </w:p>
        </w:tc>
        <w:tc>
          <w:tcPr>
            <w:tcW w:w="2551" w:type="dxa"/>
            <w:vAlign w:val="center"/>
          </w:tcPr>
          <w:p w14:paraId="58FA2500" w14:textId="77777777" w:rsidR="008227F7" w:rsidRPr="00994A7E" w:rsidRDefault="008227F7" w:rsidP="00C77BE5">
            <w:pPr>
              <w:pStyle w:val="Prrafo"/>
              <w:rPr>
                <w:rFonts w:ascii="Raleway" w:hAnsi="Raleway"/>
                <w:b/>
                <w:sz w:val="27"/>
                <w:szCs w:val="27"/>
              </w:rPr>
            </w:pPr>
            <w:r w:rsidRPr="00994A7E">
              <w:rPr>
                <w:rFonts w:ascii="Raleway" w:hAnsi="Raleway"/>
                <w:b/>
                <w:sz w:val="27"/>
                <w:szCs w:val="27"/>
              </w:rPr>
              <w:t xml:space="preserve">LEGITIMACIÓN </w:t>
            </w:r>
          </w:p>
        </w:tc>
        <w:tc>
          <w:tcPr>
            <w:tcW w:w="4820" w:type="dxa"/>
          </w:tcPr>
          <w:p w14:paraId="0F6A5A94" w14:textId="77777777" w:rsidR="008227F7" w:rsidRPr="00994A7E" w:rsidRDefault="008227F7" w:rsidP="00C77BE5">
            <w:pPr>
              <w:rPr>
                <w:rFonts w:ascii="Raleway" w:hAnsi="Raleway"/>
                <w:sz w:val="27"/>
                <w:szCs w:val="27"/>
              </w:rPr>
            </w:pPr>
            <w:r w:rsidRPr="00994A7E">
              <w:rPr>
                <w:rFonts w:ascii="Raleway" w:hAnsi="Raleway"/>
                <w:sz w:val="27"/>
                <w:szCs w:val="27"/>
              </w:rPr>
              <w:t>La demanda fue presentada por parte legitimada.</w:t>
            </w:r>
          </w:p>
        </w:tc>
        <w:tc>
          <w:tcPr>
            <w:tcW w:w="1081" w:type="dxa"/>
          </w:tcPr>
          <w:p w14:paraId="7E21909E" w14:textId="02684AC9" w:rsidR="008227F7" w:rsidRPr="00994A7E" w:rsidRDefault="008227F7" w:rsidP="00C77BE5">
            <w:pPr>
              <w:jc w:val="center"/>
              <w:rPr>
                <w:rFonts w:ascii="Raleway" w:hAnsi="Raleway"/>
                <w:sz w:val="27"/>
                <w:szCs w:val="27"/>
              </w:rPr>
            </w:pPr>
            <w:r w:rsidRPr="00994A7E">
              <w:rPr>
                <w:rFonts w:ascii="Raleway" w:hAnsi="Raleway"/>
                <w:sz w:val="27"/>
                <w:szCs w:val="27"/>
              </w:rPr>
              <w:t>15</w:t>
            </w:r>
            <w:r w:rsidR="00792CB0">
              <w:rPr>
                <w:rFonts w:ascii="Raleway" w:hAnsi="Raleway"/>
                <w:sz w:val="27"/>
                <w:szCs w:val="27"/>
              </w:rPr>
              <w:t>-16</w:t>
            </w:r>
          </w:p>
        </w:tc>
      </w:tr>
      <w:tr w:rsidR="008227F7" w:rsidRPr="00994A7E" w14:paraId="5EBD5B43" w14:textId="77777777" w:rsidTr="00C77BE5">
        <w:trPr>
          <w:trHeight w:val="882"/>
        </w:trPr>
        <w:tc>
          <w:tcPr>
            <w:tcW w:w="846" w:type="dxa"/>
            <w:vAlign w:val="center"/>
          </w:tcPr>
          <w:p w14:paraId="25877475"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VI.</w:t>
            </w:r>
          </w:p>
        </w:tc>
        <w:tc>
          <w:tcPr>
            <w:tcW w:w="2551" w:type="dxa"/>
            <w:vAlign w:val="center"/>
          </w:tcPr>
          <w:p w14:paraId="588B7495" w14:textId="7609A522" w:rsidR="008227F7" w:rsidRPr="00994A7E" w:rsidRDefault="008227F7" w:rsidP="00C77BE5">
            <w:pPr>
              <w:pStyle w:val="Prrafo"/>
              <w:rPr>
                <w:rFonts w:ascii="Raleway" w:hAnsi="Raleway"/>
                <w:b/>
                <w:sz w:val="27"/>
                <w:szCs w:val="27"/>
              </w:rPr>
            </w:pPr>
            <w:r w:rsidRPr="00994A7E">
              <w:rPr>
                <w:rFonts w:ascii="Raleway" w:hAnsi="Raleway"/>
                <w:b/>
                <w:sz w:val="27"/>
                <w:szCs w:val="27"/>
              </w:rPr>
              <w:t xml:space="preserve">PROCEDENCIA </w:t>
            </w:r>
          </w:p>
        </w:tc>
        <w:tc>
          <w:tcPr>
            <w:tcW w:w="4820" w:type="dxa"/>
          </w:tcPr>
          <w:p w14:paraId="79046E4A" w14:textId="77777777" w:rsidR="008227F7" w:rsidRPr="00994A7E" w:rsidRDefault="008227F7" w:rsidP="00C77BE5">
            <w:pPr>
              <w:rPr>
                <w:rFonts w:ascii="Raleway" w:hAnsi="Raleway"/>
                <w:sz w:val="27"/>
                <w:szCs w:val="27"/>
              </w:rPr>
            </w:pPr>
            <w:r w:rsidRPr="00994A7E">
              <w:rPr>
                <w:rFonts w:ascii="Raleway" w:hAnsi="Raleway"/>
                <w:sz w:val="27"/>
                <w:szCs w:val="27"/>
              </w:rPr>
              <w:t>De oficio, el Tribunal Pleno identifica la actualización de la causal de improcedencia relativa a la cesación de efectos de varias normas impugnadas tras la reforma a la Ley Minera de ocho de mayo del dos mil veintitrés.</w:t>
            </w:r>
          </w:p>
        </w:tc>
        <w:tc>
          <w:tcPr>
            <w:tcW w:w="1081" w:type="dxa"/>
          </w:tcPr>
          <w:p w14:paraId="3A07F7E2" w14:textId="3BC726AA" w:rsidR="008227F7" w:rsidRPr="00994A7E" w:rsidRDefault="008227F7" w:rsidP="00C77BE5">
            <w:pPr>
              <w:jc w:val="center"/>
              <w:rPr>
                <w:rFonts w:ascii="Raleway" w:hAnsi="Raleway"/>
                <w:sz w:val="27"/>
                <w:szCs w:val="27"/>
              </w:rPr>
            </w:pPr>
            <w:r w:rsidRPr="00994A7E">
              <w:rPr>
                <w:rFonts w:ascii="Raleway" w:hAnsi="Raleway"/>
                <w:sz w:val="27"/>
                <w:szCs w:val="27"/>
              </w:rPr>
              <w:t>1</w:t>
            </w:r>
            <w:r w:rsidR="009940A4">
              <w:rPr>
                <w:rFonts w:ascii="Raleway" w:hAnsi="Raleway"/>
                <w:sz w:val="27"/>
                <w:szCs w:val="27"/>
              </w:rPr>
              <w:t>6</w:t>
            </w:r>
            <w:r w:rsidRPr="00994A7E">
              <w:rPr>
                <w:rFonts w:ascii="Raleway" w:hAnsi="Raleway"/>
                <w:sz w:val="27"/>
                <w:szCs w:val="27"/>
              </w:rPr>
              <w:t>-3</w:t>
            </w:r>
            <w:r w:rsidR="00792CB0">
              <w:rPr>
                <w:rFonts w:ascii="Raleway" w:hAnsi="Raleway"/>
                <w:sz w:val="27"/>
                <w:szCs w:val="27"/>
              </w:rPr>
              <w:t>3</w:t>
            </w:r>
          </w:p>
        </w:tc>
      </w:tr>
      <w:tr w:rsidR="008227F7" w:rsidRPr="00994A7E" w14:paraId="001F4638" w14:textId="77777777" w:rsidTr="00C77BE5">
        <w:trPr>
          <w:trHeight w:val="882"/>
        </w:trPr>
        <w:tc>
          <w:tcPr>
            <w:tcW w:w="846" w:type="dxa"/>
            <w:vAlign w:val="center"/>
          </w:tcPr>
          <w:p w14:paraId="21630217"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lastRenderedPageBreak/>
              <w:t>VII.</w:t>
            </w:r>
          </w:p>
        </w:tc>
        <w:tc>
          <w:tcPr>
            <w:tcW w:w="2551" w:type="dxa"/>
            <w:vAlign w:val="center"/>
          </w:tcPr>
          <w:p w14:paraId="6E5403A5" w14:textId="77777777" w:rsidR="008227F7" w:rsidRPr="00994A7E" w:rsidRDefault="008227F7" w:rsidP="00C77BE5">
            <w:pPr>
              <w:pStyle w:val="Prrafo"/>
              <w:rPr>
                <w:rFonts w:ascii="Raleway" w:hAnsi="Raleway"/>
                <w:b/>
                <w:sz w:val="27"/>
                <w:szCs w:val="27"/>
              </w:rPr>
            </w:pPr>
          </w:p>
          <w:p w14:paraId="281CC23C" w14:textId="2213BCA3" w:rsidR="008227F7" w:rsidRPr="00994A7E" w:rsidRDefault="008227F7" w:rsidP="00C77BE5">
            <w:pPr>
              <w:pStyle w:val="Prrafo"/>
              <w:rPr>
                <w:rFonts w:ascii="Raleway" w:hAnsi="Raleway"/>
                <w:b/>
                <w:sz w:val="27"/>
                <w:szCs w:val="27"/>
              </w:rPr>
            </w:pPr>
            <w:r w:rsidRPr="00994A7E">
              <w:rPr>
                <w:rFonts w:ascii="Raleway" w:hAnsi="Raleway"/>
                <w:b/>
                <w:sz w:val="27"/>
                <w:szCs w:val="27"/>
              </w:rPr>
              <w:t xml:space="preserve">ESTUDIO </w:t>
            </w:r>
            <w:r w:rsidR="006F21F0">
              <w:rPr>
                <w:rFonts w:ascii="Raleway" w:hAnsi="Raleway"/>
                <w:b/>
                <w:sz w:val="27"/>
                <w:szCs w:val="27"/>
              </w:rPr>
              <w:t>DE FONDO</w:t>
            </w:r>
          </w:p>
          <w:p w14:paraId="725443D9" w14:textId="77777777" w:rsidR="008227F7" w:rsidRPr="00994A7E" w:rsidRDefault="008227F7" w:rsidP="00C77BE5">
            <w:pPr>
              <w:pStyle w:val="Prrafo"/>
              <w:rPr>
                <w:rFonts w:ascii="Raleway" w:hAnsi="Raleway"/>
                <w:b/>
                <w:sz w:val="27"/>
                <w:szCs w:val="27"/>
              </w:rPr>
            </w:pPr>
          </w:p>
        </w:tc>
        <w:tc>
          <w:tcPr>
            <w:tcW w:w="4820" w:type="dxa"/>
          </w:tcPr>
          <w:p w14:paraId="25BBC3AF" w14:textId="77777777" w:rsidR="008227F7" w:rsidRPr="00994A7E" w:rsidRDefault="008227F7" w:rsidP="00C77BE5">
            <w:pPr>
              <w:rPr>
                <w:rFonts w:ascii="Raleway" w:hAnsi="Raleway"/>
                <w:sz w:val="27"/>
                <w:szCs w:val="27"/>
              </w:rPr>
            </w:pPr>
            <w:r w:rsidRPr="00994A7E">
              <w:rPr>
                <w:rFonts w:ascii="Raleway" w:hAnsi="Raleway"/>
                <w:sz w:val="27"/>
                <w:szCs w:val="27"/>
              </w:rPr>
              <w:t>El Tribunal Pleno declara la validez del Decreto que establece la exclusividad estatal en la explotación del litio, así como la prohibición de concesiones a particulares. El argumento de la minoría accionante sobre la inconstitucionalidad del Decreto por falta de consulta previa a comunidades indígenas es infundado, al no configurarse un impacto directo y diferenciado sobre ellas en abstracto. La reforma constitucional de octubre del dos mil veinticuatro incorporó expresamente el litio como área estratégica, convirtiendo en parámetro de control constitucional la prohibición de concesiones. Asimismo, la disposición que clasifica los yacimientos de litio como zonas de reserva minera es constitucional, pues su aplicación requiere respaldo técnico y cumplimiento de requisitos legales.</w:t>
            </w:r>
          </w:p>
        </w:tc>
        <w:tc>
          <w:tcPr>
            <w:tcW w:w="1081" w:type="dxa"/>
          </w:tcPr>
          <w:p w14:paraId="2F4EE120" w14:textId="77822B20" w:rsidR="008227F7" w:rsidRPr="00994A7E" w:rsidRDefault="00D809C3" w:rsidP="00C77BE5">
            <w:pPr>
              <w:jc w:val="center"/>
              <w:rPr>
                <w:rFonts w:ascii="Raleway" w:hAnsi="Raleway"/>
                <w:sz w:val="27"/>
                <w:szCs w:val="27"/>
              </w:rPr>
            </w:pPr>
            <w:r>
              <w:rPr>
                <w:rFonts w:ascii="Raleway" w:hAnsi="Raleway"/>
                <w:sz w:val="27"/>
                <w:szCs w:val="27"/>
              </w:rPr>
              <w:t>3</w:t>
            </w:r>
            <w:r w:rsidR="009940A4">
              <w:rPr>
                <w:rFonts w:ascii="Raleway" w:hAnsi="Raleway"/>
                <w:sz w:val="27"/>
                <w:szCs w:val="27"/>
              </w:rPr>
              <w:t>3</w:t>
            </w:r>
            <w:r>
              <w:rPr>
                <w:rFonts w:ascii="Raleway" w:hAnsi="Raleway"/>
                <w:sz w:val="27"/>
                <w:szCs w:val="27"/>
              </w:rPr>
              <w:t>-49</w:t>
            </w:r>
          </w:p>
        </w:tc>
      </w:tr>
      <w:tr w:rsidR="008227F7" w:rsidRPr="00994A7E" w14:paraId="56E291E8" w14:textId="77777777" w:rsidTr="00C77BE5">
        <w:trPr>
          <w:trHeight w:val="882"/>
        </w:trPr>
        <w:tc>
          <w:tcPr>
            <w:tcW w:w="846" w:type="dxa"/>
            <w:vAlign w:val="center"/>
          </w:tcPr>
          <w:p w14:paraId="4AD591A8" w14:textId="77777777" w:rsidR="008227F7" w:rsidRPr="00994A7E" w:rsidRDefault="008227F7" w:rsidP="00C77BE5">
            <w:pPr>
              <w:jc w:val="center"/>
              <w:rPr>
                <w:rFonts w:ascii="Raleway" w:hAnsi="Raleway"/>
                <w:b/>
                <w:bCs/>
                <w:sz w:val="27"/>
                <w:szCs w:val="27"/>
              </w:rPr>
            </w:pPr>
            <w:r w:rsidRPr="00994A7E">
              <w:rPr>
                <w:rFonts w:ascii="Raleway" w:hAnsi="Raleway"/>
                <w:b/>
                <w:bCs/>
                <w:sz w:val="27"/>
                <w:szCs w:val="27"/>
              </w:rPr>
              <w:t xml:space="preserve">VIII. </w:t>
            </w:r>
          </w:p>
        </w:tc>
        <w:tc>
          <w:tcPr>
            <w:tcW w:w="2551" w:type="dxa"/>
            <w:vAlign w:val="center"/>
          </w:tcPr>
          <w:p w14:paraId="7E41C687" w14:textId="77777777" w:rsidR="008227F7" w:rsidRPr="00994A7E" w:rsidRDefault="008227F7" w:rsidP="00C77BE5">
            <w:pPr>
              <w:rPr>
                <w:rFonts w:ascii="Raleway" w:hAnsi="Raleway"/>
                <w:b/>
                <w:sz w:val="27"/>
                <w:szCs w:val="27"/>
              </w:rPr>
            </w:pPr>
            <w:r w:rsidRPr="00994A7E">
              <w:rPr>
                <w:rFonts w:ascii="Raleway" w:hAnsi="Raleway"/>
                <w:b/>
                <w:bCs/>
                <w:sz w:val="27"/>
                <w:szCs w:val="27"/>
              </w:rPr>
              <w:t xml:space="preserve">DECISIÓN </w:t>
            </w:r>
          </w:p>
        </w:tc>
        <w:tc>
          <w:tcPr>
            <w:tcW w:w="4820" w:type="dxa"/>
          </w:tcPr>
          <w:p w14:paraId="3C6A11DE" w14:textId="77777777" w:rsidR="008227F7" w:rsidRPr="00994A7E" w:rsidRDefault="008227F7" w:rsidP="00C77BE5">
            <w:pPr>
              <w:pStyle w:val="Prrafo"/>
              <w:spacing w:before="0" w:after="0" w:line="240" w:lineRule="auto"/>
              <w:rPr>
                <w:rFonts w:ascii="Raleway" w:hAnsi="Raleway"/>
                <w:sz w:val="27"/>
                <w:szCs w:val="27"/>
              </w:rPr>
            </w:pPr>
            <w:r w:rsidRPr="00994A7E">
              <w:rPr>
                <w:rFonts w:ascii="Raleway" w:hAnsi="Raleway"/>
                <w:b/>
                <w:sz w:val="27"/>
                <w:szCs w:val="27"/>
              </w:rPr>
              <w:t>PRIMERO.</w:t>
            </w:r>
            <w:r w:rsidRPr="00994A7E">
              <w:rPr>
                <w:rFonts w:ascii="Raleway" w:hAnsi="Raleway"/>
                <w:sz w:val="27"/>
                <w:szCs w:val="27"/>
              </w:rPr>
              <w:t xml:space="preserve"> Es </w:t>
            </w:r>
            <w:r w:rsidRPr="00994A7E">
              <w:rPr>
                <w:rFonts w:ascii="Raleway" w:hAnsi="Raleway"/>
                <w:b/>
                <w:bCs/>
                <w:sz w:val="27"/>
                <w:szCs w:val="27"/>
              </w:rPr>
              <w:t>parcialmente procedente, pero infundada</w:t>
            </w:r>
            <w:r w:rsidRPr="00994A7E">
              <w:rPr>
                <w:rFonts w:ascii="Raleway" w:hAnsi="Raleway"/>
                <w:sz w:val="27"/>
                <w:szCs w:val="27"/>
              </w:rPr>
              <w:t xml:space="preserve"> la presente acción de inconstitucionalidad. </w:t>
            </w:r>
          </w:p>
          <w:p w14:paraId="4C3C4FFC" w14:textId="77777777" w:rsidR="008227F7" w:rsidRPr="00994A7E" w:rsidRDefault="008227F7" w:rsidP="00C77BE5">
            <w:pPr>
              <w:pStyle w:val="Prrafo"/>
              <w:spacing w:before="0" w:after="0" w:line="240" w:lineRule="auto"/>
              <w:rPr>
                <w:rFonts w:ascii="Raleway" w:hAnsi="Raleway"/>
                <w:sz w:val="27"/>
                <w:szCs w:val="27"/>
              </w:rPr>
            </w:pPr>
          </w:p>
          <w:p w14:paraId="40D54453" w14:textId="77777777" w:rsidR="008227F7" w:rsidRPr="00994A7E" w:rsidRDefault="008227F7" w:rsidP="00C77BE5">
            <w:pPr>
              <w:pStyle w:val="Prrafo"/>
              <w:spacing w:before="0" w:after="0" w:line="240" w:lineRule="auto"/>
              <w:rPr>
                <w:rFonts w:ascii="Raleway" w:hAnsi="Raleway"/>
                <w:sz w:val="27"/>
                <w:szCs w:val="27"/>
              </w:rPr>
            </w:pPr>
            <w:r w:rsidRPr="00994A7E">
              <w:rPr>
                <w:rFonts w:ascii="Raleway" w:hAnsi="Raleway"/>
                <w:b/>
                <w:sz w:val="27"/>
                <w:szCs w:val="27"/>
              </w:rPr>
              <w:t>SEGUNDO.</w:t>
            </w:r>
            <w:r w:rsidRPr="00994A7E">
              <w:rPr>
                <w:rFonts w:ascii="Raleway" w:hAnsi="Raleway"/>
                <w:sz w:val="27"/>
                <w:szCs w:val="27"/>
              </w:rPr>
              <w:t xml:space="preserve"> Se </w:t>
            </w:r>
            <w:r w:rsidRPr="00994A7E">
              <w:rPr>
                <w:rFonts w:ascii="Raleway" w:hAnsi="Raleway"/>
                <w:b/>
                <w:bCs/>
                <w:sz w:val="27"/>
                <w:szCs w:val="27"/>
              </w:rPr>
              <w:t xml:space="preserve">sobresee </w:t>
            </w:r>
            <w:r w:rsidRPr="00994A7E">
              <w:rPr>
                <w:rFonts w:ascii="Raleway" w:hAnsi="Raleway"/>
                <w:sz w:val="27"/>
                <w:szCs w:val="27"/>
              </w:rPr>
              <w:t xml:space="preserve">en la acción de inconstitucionalidad en los términos del apartado sexto de esta resolución. </w:t>
            </w:r>
          </w:p>
          <w:p w14:paraId="50AAEC75" w14:textId="77777777" w:rsidR="008227F7" w:rsidRPr="00994A7E" w:rsidRDefault="008227F7" w:rsidP="00C77BE5">
            <w:pPr>
              <w:pStyle w:val="Prrafo"/>
              <w:spacing w:before="0" w:after="0" w:line="240" w:lineRule="auto"/>
              <w:rPr>
                <w:rFonts w:ascii="Raleway" w:hAnsi="Raleway"/>
                <w:sz w:val="27"/>
                <w:szCs w:val="27"/>
              </w:rPr>
            </w:pPr>
          </w:p>
          <w:p w14:paraId="483E2935" w14:textId="77777777" w:rsidR="008227F7" w:rsidRPr="00994A7E" w:rsidRDefault="008227F7" w:rsidP="00C77BE5">
            <w:pPr>
              <w:pStyle w:val="Prrafo"/>
              <w:spacing w:before="0" w:after="0" w:line="240" w:lineRule="auto"/>
              <w:rPr>
                <w:rFonts w:ascii="Raleway" w:hAnsi="Raleway"/>
                <w:sz w:val="27"/>
                <w:szCs w:val="27"/>
              </w:rPr>
            </w:pPr>
            <w:r w:rsidRPr="00994A7E">
              <w:rPr>
                <w:rFonts w:ascii="Raleway" w:hAnsi="Raleway"/>
                <w:b/>
                <w:bCs/>
                <w:sz w:val="27"/>
                <w:szCs w:val="27"/>
              </w:rPr>
              <w:t>TERCERO.</w:t>
            </w:r>
            <w:r w:rsidRPr="00994A7E">
              <w:rPr>
                <w:rFonts w:ascii="Raleway" w:hAnsi="Raleway"/>
                <w:sz w:val="27"/>
                <w:szCs w:val="27"/>
              </w:rPr>
              <w:t xml:space="preserve"> Se </w:t>
            </w:r>
            <w:r w:rsidRPr="00994A7E">
              <w:rPr>
                <w:rFonts w:ascii="Raleway" w:hAnsi="Raleway"/>
                <w:b/>
                <w:bCs/>
                <w:sz w:val="27"/>
                <w:szCs w:val="27"/>
              </w:rPr>
              <w:t>reconoce la validez</w:t>
            </w:r>
            <w:r w:rsidRPr="00994A7E">
              <w:rPr>
                <w:rFonts w:ascii="Raleway" w:hAnsi="Raleway"/>
                <w:sz w:val="27"/>
                <w:szCs w:val="27"/>
              </w:rPr>
              <w:t xml:space="preserve"> de los artículos 1, 5 Bis y 10 del Decreto publicado en el Diario Oficial de la Federación el veinte de abril del dos mil veintidós, mediante el cual se reforman y adicionan diversas disposiciones de la Ley Minera, en las porciones normativas: “</w:t>
            </w:r>
            <w:r w:rsidRPr="00994A7E">
              <w:rPr>
                <w:rFonts w:ascii="Raleway" w:hAnsi="Raleway"/>
                <w:i/>
                <w:iCs/>
                <w:sz w:val="27"/>
                <w:szCs w:val="27"/>
              </w:rPr>
              <w:t xml:space="preserve">salvo lo </w:t>
            </w:r>
            <w:r w:rsidRPr="00994A7E">
              <w:rPr>
                <w:rFonts w:ascii="Raleway" w:hAnsi="Raleway"/>
                <w:i/>
                <w:iCs/>
                <w:sz w:val="27"/>
                <w:szCs w:val="27"/>
              </w:rPr>
              <w:lastRenderedPageBreak/>
              <w:t>relativo a la exploración, la explotación, beneficio y el aprovechamiento del litio</w:t>
            </w:r>
            <w:r w:rsidRPr="00994A7E">
              <w:rPr>
                <w:rFonts w:ascii="Raleway" w:hAnsi="Raleway"/>
                <w:sz w:val="27"/>
                <w:szCs w:val="27"/>
              </w:rPr>
              <w:t>”, “</w:t>
            </w:r>
            <w:r w:rsidRPr="00994A7E">
              <w:rPr>
                <w:rFonts w:ascii="Raleway" w:hAnsi="Raleway"/>
                <w:i/>
                <w:iCs/>
                <w:sz w:val="27"/>
                <w:szCs w:val="27"/>
              </w:rPr>
              <w:t>Se declara de utilidad pública el litio, por lo que no se otorgarán concesiones, licencias, contratos, permisos o autorizaciones en la materia</w:t>
            </w:r>
            <w:r w:rsidRPr="00994A7E">
              <w:rPr>
                <w:rFonts w:ascii="Raleway" w:hAnsi="Raleway"/>
                <w:sz w:val="27"/>
                <w:szCs w:val="27"/>
              </w:rPr>
              <w:t>”, “</w:t>
            </w:r>
            <w:r w:rsidRPr="00994A7E">
              <w:rPr>
                <w:rFonts w:ascii="Raleway" w:hAnsi="Raleway"/>
                <w:i/>
                <w:iCs/>
                <w:sz w:val="27"/>
                <w:szCs w:val="27"/>
              </w:rPr>
              <w:t>Con excepción del litio y demás minerales declarados como estratégicos por el Estado</w:t>
            </w:r>
            <w:r w:rsidRPr="00994A7E">
              <w:rPr>
                <w:rFonts w:ascii="Raleway" w:hAnsi="Raleway"/>
                <w:sz w:val="27"/>
                <w:szCs w:val="27"/>
              </w:rPr>
              <w:t>” y “</w:t>
            </w:r>
            <w:r w:rsidRPr="00994A7E">
              <w:rPr>
                <w:rFonts w:ascii="Raleway" w:hAnsi="Raleway"/>
                <w:i/>
                <w:iCs/>
                <w:sz w:val="27"/>
                <w:szCs w:val="27"/>
              </w:rPr>
              <w:t>Serán consideradas zonas de reserva minera aquellas en que haya yacimientos de litio</w:t>
            </w:r>
            <w:r w:rsidRPr="00994A7E">
              <w:rPr>
                <w:rFonts w:ascii="Raleway" w:hAnsi="Raleway"/>
                <w:sz w:val="27"/>
                <w:szCs w:val="27"/>
              </w:rPr>
              <w:t>”.</w:t>
            </w:r>
          </w:p>
          <w:p w14:paraId="13BFB4E4" w14:textId="77777777" w:rsidR="008227F7" w:rsidRPr="00994A7E" w:rsidRDefault="008227F7" w:rsidP="00C77BE5">
            <w:pPr>
              <w:pStyle w:val="Prrafo"/>
              <w:spacing w:before="0" w:after="0" w:line="240" w:lineRule="auto"/>
              <w:rPr>
                <w:rFonts w:ascii="Raleway" w:hAnsi="Raleway"/>
                <w:sz w:val="27"/>
                <w:szCs w:val="27"/>
              </w:rPr>
            </w:pPr>
          </w:p>
          <w:p w14:paraId="3C8B521D" w14:textId="77777777" w:rsidR="008227F7" w:rsidRPr="00994A7E" w:rsidRDefault="008227F7" w:rsidP="00C77BE5">
            <w:pPr>
              <w:pStyle w:val="Prrafo"/>
              <w:spacing w:before="0" w:after="0" w:line="240" w:lineRule="auto"/>
              <w:rPr>
                <w:rFonts w:ascii="Raleway" w:hAnsi="Raleway"/>
                <w:sz w:val="27"/>
                <w:szCs w:val="27"/>
                <w:lang w:val="es-ES_tradnl"/>
              </w:rPr>
            </w:pPr>
            <w:r w:rsidRPr="00994A7E">
              <w:rPr>
                <w:rFonts w:ascii="Raleway" w:hAnsi="Raleway"/>
                <w:b/>
                <w:sz w:val="27"/>
                <w:szCs w:val="27"/>
                <w:lang w:val="es-ES_tradnl"/>
              </w:rPr>
              <w:t>CUARTO.</w:t>
            </w:r>
            <w:r w:rsidRPr="00994A7E">
              <w:rPr>
                <w:rFonts w:ascii="Raleway" w:hAnsi="Raleway"/>
                <w:sz w:val="27"/>
                <w:szCs w:val="27"/>
                <w:lang w:val="es-ES_tradnl"/>
              </w:rPr>
              <w:t xml:space="preserve"> Publíquese esta sentencia en el Diario Oficial de la Federación y en el Semanario Judicial de la Federación y su Gaceta.</w:t>
            </w:r>
          </w:p>
          <w:p w14:paraId="47DA00B8" w14:textId="77777777" w:rsidR="008227F7" w:rsidRPr="00994A7E" w:rsidRDefault="008227F7" w:rsidP="00C77BE5">
            <w:pPr>
              <w:spacing w:before="0" w:after="0" w:line="240" w:lineRule="auto"/>
              <w:rPr>
                <w:rFonts w:ascii="Raleway" w:hAnsi="Raleway"/>
                <w:sz w:val="27"/>
                <w:szCs w:val="27"/>
              </w:rPr>
            </w:pPr>
          </w:p>
        </w:tc>
        <w:tc>
          <w:tcPr>
            <w:tcW w:w="1081" w:type="dxa"/>
          </w:tcPr>
          <w:p w14:paraId="115A790D" w14:textId="35BB97B7" w:rsidR="008227F7" w:rsidRPr="00994A7E" w:rsidRDefault="00D809C3" w:rsidP="00C77BE5">
            <w:pPr>
              <w:jc w:val="center"/>
              <w:rPr>
                <w:rFonts w:ascii="Raleway" w:hAnsi="Raleway"/>
                <w:sz w:val="27"/>
                <w:szCs w:val="27"/>
              </w:rPr>
            </w:pPr>
            <w:r>
              <w:rPr>
                <w:rFonts w:ascii="Raleway" w:hAnsi="Raleway"/>
                <w:sz w:val="27"/>
                <w:szCs w:val="27"/>
              </w:rPr>
              <w:lastRenderedPageBreak/>
              <w:t>50</w:t>
            </w:r>
          </w:p>
        </w:tc>
      </w:tr>
    </w:tbl>
    <w:p w14:paraId="4D04553C" w14:textId="77777777" w:rsidR="008227F7" w:rsidRPr="00994A7E" w:rsidRDefault="008227F7" w:rsidP="008227F7">
      <w:pPr>
        <w:spacing w:before="0" w:after="160" w:line="259" w:lineRule="auto"/>
        <w:jc w:val="left"/>
        <w:rPr>
          <w:rFonts w:ascii="Raleway" w:hAnsi="Raleway"/>
          <w:sz w:val="27"/>
          <w:szCs w:val="27"/>
        </w:rPr>
      </w:pPr>
    </w:p>
    <w:p w14:paraId="3A46C47A" w14:textId="77777777" w:rsidR="008227F7" w:rsidRPr="00994A7E" w:rsidRDefault="008227F7" w:rsidP="008227F7">
      <w:pPr>
        <w:spacing w:before="0" w:after="160" w:line="259" w:lineRule="auto"/>
        <w:jc w:val="left"/>
        <w:rPr>
          <w:rFonts w:ascii="Raleway" w:hAnsi="Raleway"/>
          <w:sz w:val="27"/>
          <w:szCs w:val="27"/>
        </w:rPr>
        <w:sectPr w:rsidR="008227F7" w:rsidRPr="00994A7E" w:rsidSect="008227F7">
          <w:headerReference w:type="even" r:id="rId15"/>
          <w:headerReference w:type="default" r:id="rId16"/>
          <w:footerReference w:type="even" r:id="rId17"/>
          <w:footerReference w:type="default" r:id="rId18"/>
          <w:footerReference w:type="first" r:id="rId19"/>
          <w:pgSz w:w="12242" w:h="19442" w:code="10005"/>
          <w:pgMar w:top="2268" w:right="1469" w:bottom="1701" w:left="1701" w:header="1276" w:footer="1723" w:gutter="0"/>
          <w:pgNumType w:fmt="upperRoman"/>
          <w:cols w:space="708"/>
          <w:titlePg/>
          <w:docGrid w:linePitch="360"/>
        </w:sectPr>
      </w:pPr>
      <w:r w:rsidRPr="00994A7E">
        <w:rPr>
          <w:rFonts w:ascii="Raleway" w:hAnsi="Raleway"/>
          <w:sz w:val="27"/>
          <w:szCs w:val="27"/>
        </w:rPr>
        <w:br w:type="page"/>
      </w:r>
    </w:p>
    <w:p w14:paraId="47EC4274" w14:textId="77777777" w:rsidR="008227F7" w:rsidRPr="00994A7E" w:rsidRDefault="008227F7" w:rsidP="008227F7">
      <w:pPr>
        <w:pStyle w:val="Ttulo1"/>
        <w:ind w:left="3969"/>
        <w:rPr>
          <w:rFonts w:ascii="Raleway" w:hAnsi="Raleway"/>
          <w:b w:val="0"/>
          <w:bCs/>
          <w:sz w:val="27"/>
          <w:szCs w:val="27"/>
        </w:rPr>
      </w:pPr>
      <w:r w:rsidRPr="00994A7E">
        <w:rPr>
          <w:rFonts w:ascii="Raleway" w:hAnsi="Raleway"/>
          <w:bCs/>
          <w:sz w:val="27"/>
          <w:szCs w:val="27"/>
        </w:rPr>
        <w:lastRenderedPageBreak/>
        <w:t>ACCIÓN DE INCONSTITUCIONALIDAD 78/2022</w:t>
      </w:r>
    </w:p>
    <w:p w14:paraId="4DBE3694" w14:textId="418B32A8" w:rsidR="008227F7" w:rsidRPr="00994A7E" w:rsidRDefault="008227F7" w:rsidP="008227F7">
      <w:pPr>
        <w:pStyle w:val="Ttulo1"/>
        <w:ind w:left="3969"/>
        <w:rPr>
          <w:rFonts w:ascii="Raleway" w:hAnsi="Raleway"/>
          <w:b w:val="0"/>
          <w:bCs/>
          <w:sz w:val="27"/>
          <w:szCs w:val="27"/>
        </w:rPr>
      </w:pPr>
      <w:r w:rsidRPr="00994A7E">
        <w:rPr>
          <w:rFonts w:ascii="Raleway" w:hAnsi="Raleway"/>
          <w:bCs/>
          <w:sz w:val="27"/>
          <w:szCs w:val="27"/>
        </w:rPr>
        <w:t xml:space="preserve">PROMOVENTES: </w:t>
      </w:r>
      <w:r w:rsidR="003B25E8" w:rsidRPr="002A2E6E">
        <w:rPr>
          <w:rFonts w:eastAsia="Times New Roman"/>
          <w:caps/>
          <w:lang w:eastAsia="es-MX"/>
        </w:rPr>
        <w:t>diversas personas senadoras del Congreso de la Unión</w:t>
      </w:r>
    </w:p>
    <w:p w14:paraId="1540AED3" w14:textId="77777777" w:rsidR="008227F7" w:rsidRPr="00994A7E" w:rsidRDefault="008227F7" w:rsidP="008227F7">
      <w:pPr>
        <w:spacing w:before="0" w:after="0" w:line="240" w:lineRule="auto"/>
        <w:rPr>
          <w:rFonts w:ascii="Raleway" w:hAnsi="Raleway"/>
          <w:sz w:val="27"/>
          <w:szCs w:val="27"/>
        </w:rPr>
      </w:pPr>
    </w:p>
    <w:p w14:paraId="6D7F8D12" w14:textId="77777777" w:rsidR="008227F7" w:rsidRPr="00994A7E" w:rsidRDefault="008227F7" w:rsidP="008227F7">
      <w:pPr>
        <w:spacing w:before="0" w:after="0" w:line="240" w:lineRule="auto"/>
        <w:rPr>
          <w:rFonts w:ascii="Raleway" w:hAnsi="Raleway"/>
          <w:sz w:val="27"/>
          <w:szCs w:val="27"/>
        </w:rPr>
      </w:pPr>
    </w:p>
    <w:p w14:paraId="5153E320" w14:textId="77777777" w:rsidR="008227F7" w:rsidRPr="00994A7E" w:rsidRDefault="008227F7" w:rsidP="008227F7">
      <w:pPr>
        <w:spacing w:before="0" w:after="0" w:line="240" w:lineRule="auto"/>
        <w:rPr>
          <w:rFonts w:ascii="Raleway" w:hAnsi="Raleway"/>
          <w:sz w:val="27"/>
          <w:szCs w:val="27"/>
        </w:rPr>
      </w:pPr>
    </w:p>
    <w:p w14:paraId="1A3D1892" w14:textId="77777777" w:rsidR="008227F7" w:rsidRPr="00994A7E" w:rsidRDefault="008227F7" w:rsidP="008227F7">
      <w:pPr>
        <w:pStyle w:val="Sinespaciado"/>
        <w:tabs>
          <w:tab w:val="left" w:pos="7227"/>
        </w:tabs>
        <w:spacing w:line="240" w:lineRule="auto"/>
        <w:rPr>
          <w:rFonts w:ascii="Raleway" w:hAnsi="Raleway"/>
          <w:sz w:val="20"/>
          <w:szCs w:val="20"/>
        </w:rPr>
      </w:pPr>
      <w:r w:rsidRPr="00994A7E">
        <w:rPr>
          <w:rFonts w:ascii="Raleway" w:hAnsi="Raleway"/>
          <w:sz w:val="20"/>
          <w:szCs w:val="20"/>
        </w:rPr>
        <w:t>VISTO BUENO</w:t>
      </w:r>
    </w:p>
    <w:p w14:paraId="34E459A1" w14:textId="77777777" w:rsidR="008227F7" w:rsidRPr="00994A7E" w:rsidRDefault="008227F7" w:rsidP="008227F7">
      <w:pPr>
        <w:pStyle w:val="Sinespaciado"/>
        <w:tabs>
          <w:tab w:val="left" w:pos="7309"/>
        </w:tabs>
        <w:spacing w:line="240" w:lineRule="auto"/>
        <w:rPr>
          <w:rFonts w:ascii="Raleway" w:hAnsi="Raleway"/>
          <w:sz w:val="20"/>
          <w:szCs w:val="20"/>
        </w:rPr>
      </w:pPr>
      <w:r w:rsidRPr="00994A7E">
        <w:rPr>
          <w:rFonts w:ascii="Raleway" w:hAnsi="Raleway"/>
          <w:sz w:val="20"/>
          <w:szCs w:val="20"/>
        </w:rPr>
        <w:t>SRA. MINISTRA</w:t>
      </w:r>
    </w:p>
    <w:p w14:paraId="374F3EFE" w14:textId="77777777" w:rsidR="008227F7" w:rsidRPr="00994A7E" w:rsidRDefault="008227F7" w:rsidP="008227F7">
      <w:pPr>
        <w:spacing w:before="0" w:after="0" w:line="240" w:lineRule="auto"/>
        <w:rPr>
          <w:rFonts w:ascii="Raleway" w:hAnsi="Raleway"/>
          <w:b/>
          <w:sz w:val="27"/>
          <w:szCs w:val="27"/>
        </w:rPr>
      </w:pPr>
      <w:r w:rsidRPr="00994A7E">
        <w:rPr>
          <w:rFonts w:ascii="Raleway" w:hAnsi="Raleway"/>
          <w:b/>
          <w:sz w:val="27"/>
          <w:szCs w:val="27"/>
        </w:rPr>
        <w:t>PONENTE: MINISTRA SARA IRENE HERRERÍAS GUERRA</w:t>
      </w:r>
    </w:p>
    <w:p w14:paraId="76307761" w14:textId="77777777" w:rsidR="008227F7" w:rsidRPr="00994A7E" w:rsidRDefault="008227F7" w:rsidP="008227F7">
      <w:pPr>
        <w:pStyle w:val="Sinespaciado"/>
        <w:tabs>
          <w:tab w:val="left" w:pos="7227"/>
        </w:tabs>
        <w:spacing w:line="240" w:lineRule="auto"/>
        <w:rPr>
          <w:rFonts w:ascii="Raleway" w:hAnsi="Raleway"/>
          <w:sz w:val="20"/>
          <w:szCs w:val="20"/>
        </w:rPr>
      </w:pPr>
      <w:r w:rsidRPr="00994A7E">
        <w:rPr>
          <w:rFonts w:ascii="Raleway" w:hAnsi="Raleway"/>
          <w:sz w:val="20"/>
          <w:szCs w:val="20"/>
        </w:rPr>
        <w:t>COTEJÓ</w:t>
      </w:r>
    </w:p>
    <w:p w14:paraId="3C60ADAA" w14:textId="77777777" w:rsidR="008227F7" w:rsidRPr="00994A7E" w:rsidRDefault="008227F7" w:rsidP="008227F7">
      <w:pPr>
        <w:spacing w:before="0" w:after="0" w:line="240" w:lineRule="auto"/>
        <w:rPr>
          <w:rFonts w:ascii="Raleway" w:hAnsi="Raleway"/>
          <w:b/>
          <w:sz w:val="27"/>
          <w:szCs w:val="27"/>
        </w:rPr>
      </w:pPr>
      <w:r w:rsidRPr="00994A7E">
        <w:rPr>
          <w:rFonts w:ascii="Raleway" w:hAnsi="Raleway"/>
          <w:b/>
          <w:sz w:val="27"/>
          <w:szCs w:val="27"/>
        </w:rPr>
        <w:t>SECRETARIO: JOSÉ ENRIQUE DE JESÚS RODRÍGUEZ MARTÍNEZ</w:t>
      </w:r>
    </w:p>
    <w:p w14:paraId="63F31C1C" w14:textId="77777777" w:rsidR="008227F7" w:rsidRPr="00994A7E" w:rsidRDefault="008227F7" w:rsidP="008227F7">
      <w:pPr>
        <w:spacing w:before="0" w:after="0" w:line="360" w:lineRule="auto"/>
        <w:rPr>
          <w:rFonts w:ascii="Raleway" w:hAnsi="Raleway"/>
          <w:b/>
          <w:sz w:val="27"/>
          <w:szCs w:val="27"/>
        </w:rPr>
      </w:pPr>
    </w:p>
    <w:p w14:paraId="008A57B6" w14:textId="77777777" w:rsidR="008227F7" w:rsidRPr="00994A7E" w:rsidRDefault="008227F7" w:rsidP="008227F7">
      <w:pPr>
        <w:pStyle w:val="Prrafo"/>
        <w:spacing w:before="0" w:after="0"/>
        <w:rPr>
          <w:rFonts w:ascii="Raleway" w:hAnsi="Raleway"/>
          <w:sz w:val="27"/>
          <w:szCs w:val="27"/>
        </w:rPr>
      </w:pPr>
      <w:r w:rsidRPr="00994A7E">
        <w:rPr>
          <w:rFonts w:ascii="Raleway" w:hAnsi="Raleway"/>
          <w:sz w:val="27"/>
          <w:szCs w:val="27"/>
        </w:rPr>
        <w:t>Ciudad de México. El Tribunal Pleno de la Suprema Corte de Justicia de la Nación, en sesión correspondiente al veinticuatro de marzo de dos mil veintiséis, emite la siguiente:</w:t>
      </w:r>
    </w:p>
    <w:p w14:paraId="5653860E" w14:textId="77777777" w:rsidR="008227F7" w:rsidRPr="00994A7E" w:rsidRDefault="008227F7" w:rsidP="008227F7">
      <w:pPr>
        <w:pStyle w:val="Prrafo"/>
        <w:spacing w:before="0" w:after="0"/>
        <w:rPr>
          <w:rFonts w:ascii="Raleway" w:hAnsi="Raleway"/>
          <w:sz w:val="27"/>
          <w:szCs w:val="27"/>
        </w:rPr>
      </w:pPr>
    </w:p>
    <w:p w14:paraId="5D4AB5FB" w14:textId="77777777" w:rsidR="008227F7" w:rsidRPr="00994A7E" w:rsidRDefault="008227F7" w:rsidP="008227F7">
      <w:pPr>
        <w:pStyle w:val="Ttulo2"/>
        <w:spacing w:before="0" w:after="0" w:line="360" w:lineRule="auto"/>
        <w:rPr>
          <w:rFonts w:ascii="Raleway" w:hAnsi="Raleway"/>
          <w:b w:val="0"/>
          <w:bCs/>
          <w:sz w:val="27"/>
          <w:szCs w:val="27"/>
        </w:rPr>
      </w:pPr>
      <w:r w:rsidRPr="00994A7E">
        <w:rPr>
          <w:rFonts w:ascii="Raleway" w:hAnsi="Raleway"/>
          <w:bCs/>
          <w:sz w:val="27"/>
          <w:szCs w:val="27"/>
        </w:rPr>
        <w:t>SENTENCIA</w:t>
      </w:r>
    </w:p>
    <w:p w14:paraId="16343CE5" w14:textId="58250A2E" w:rsidR="008227F7" w:rsidRPr="00994A7E" w:rsidRDefault="008227F7" w:rsidP="008227F7">
      <w:pPr>
        <w:pStyle w:val="Prrafo"/>
        <w:spacing w:before="0" w:after="0"/>
        <w:rPr>
          <w:rFonts w:ascii="Raleway" w:hAnsi="Raleway"/>
          <w:sz w:val="27"/>
          <w:szCs w:val="27"/>
        </w:rPr>
      </w:pPr>
      <w:r w:rsidRPr="00994A7E">
        <w:rPr>
          <w:rFonts w:ascii="Raleway" w:hAnsi="Raleway"/>
          <w:sz w:val="27"/>
          <w:szCs w:val="27"/>
        </w:rPr>
        <w:t>Mediante</w:t>
      </w:r>
      <w:r w:rsidRPr="00994A7E">
        <w:rPr>
          <w:rFonts w:ascii="Raleway" w:hAnsi="Raleway"/>
          <w:b/>
          <w:sz w:val="27"/>
          <w:szCs w:val="27"/>
        </w:rPr>
        <w:t xml:space="preserve"> </w:t>
      </w:r>
      <w:r w:rsidRPr="00994A7E">
        <w:rPr>
          <w:rFonts w:ascii="Raleway" w:hAnsi="Raleway"/>
          <w:sz w:val="27"/>
          <w:szCs w:val="27"/>
        </w:rPr>
        <w:t>la cual se resuelve la acción de inconstitucionalidad 78/2022, promovida por diversas</w:t>
      </w:r>
      <w:r w:rsidR="003B25E8">
        <w:rPr>
          <w:rFonts w:ascii="Raleway" w:hAnsi="Raleway"/>
          <w:sz w:val="27"/>
          <w:szCs w:val="27"/>
        </w:rPr>
        <w:t xml:space="preserve"> personas</w:t>
      </w:r>
      <w:r w:rsidRPr="00994A7E">
        <w:rPr>
          <w:rFonts w:ascii="Raleway" w:hAnsi="Raleway"/>
          <w:sz w:val="27"/>
          <w:szCs w:val="27"/>
        </w:rPr>
        <w:t xml:space="preserve"> Senadoras del Congreso de la Unión en contra del Decreto mediante el cual se reforman y adicionan diversas disposiciones de la Ley Minera, publicado en el Diario Oficial de la Federación el veinte de abril del dos mi veintidós.</w:t>
      </w:r>
    </w:p>
    <w:p w14:paraId="6D10E771" w14:textId="77777777" w:rsidR="008227F7" w:rsidRPr="00994A7E" w:rsidRDefault="008227F7" w:rsidP="008227F7">
      <w:pPr>
        <w:pStyle w:val="Prrafo"/>
        <w:spacing w:before="0" w:after="0"/>
        <w:rPr>
          <w:rFonts w:ascii="Raleway" w:hAnsi="Raleway"/>
          <w:b/>
          <w:bCs/>
          <w:sz w:val="27"/>
          <w:szCs w:val="27"/>
        </w:rPr>
      </w:pPr>
    </w:p>
    <w:p w14:paraId="3C8BDA7A" w14:textId="77777777" w:rsidR="008227F7" w:rsidRPr="00994A7E" w:rsidRDefault="008227F7" w:rsidP="00494272">
      <w:pPr>
        <w:pStyle w:val="Ttulo3"/>
        <w:numPr>
          <w:ilvl w:val="0"/>
          <w:numId w:val="4"/>
        </w:numPr>
        <w:spacing w:before="0" w:after="0"/>
        <w:ind w:left="0" w:firstLine="0"/>
        <w:rPr>
          <w:rFonts w:ascii="Raleway" w:hAnsi="Raleway"/>
          <w:b w:val="0"/>
          <w:bCs/>
          <w:sz w:val="27"/>
          <w:szCs w:val="27"/>
        </w:rPr>
      </w:pPr>
      <w:r w:rsidRPr="00994A7E">
        <w:rPr>
          <w:rFonts w:ascii="Raleway" w:hAnsi="Raleway"/>
          <w:bCs/>
          <w:sz w:val="27"/>
          <w:szCs w:val="27"/>
        </w:rPr>
        <w:t>ANTECEDENTES Y TRÁMITE DE LA DEMANDA</w:t>
      </w:r>
    </w:p>
    <w:p w14:paraId="5C49610C" w14:textId="77777777" w:rsidR="008227F7" w:rsidRPr="00994A7E" w:rsidRDefault="008227F7" w:rsidP="008227F7">
      <w:pPr>
        <w:spacing w:before="0" w:after="0" w:line="360" w:lineRule="auto"/>
        <w:rPr>
          <w:rFonts w:ascii="Raleway" w:hAnsi="Raleway"/>
          <w:sz w:val="27"/>
          <w:szCs w:val="27"/>
        </w:rPr>
      </w:pPr>
    </w:p>
    <w:p w14:paraId="061CE454" w14:textId="77777777" w:rsidR="008227F7" w:rsidRPr="00994A7E" w:rsidRDefault="008227F7" w:rsidP="00494272">
      <w:pPr>
        <w:pStyle w:val="Prrafo"/>
        <w:numPr>
          <w:ilvl w:val="0"/>
          <w:numId w:val="3"/>
        </w:numPr>
        <w:spacing w:before="0" w:after="0"/>
        <w:ind w:left="0" w:hanging="567"/>
        <w:rPr>
          <w:rFonts w:ascii="Raleway" w:hAnsi="Raleway"/>
          <w:b/>
          <w:bCs/>
          <w:sz w:val="27"/>
          <w:szCs w:val="27"/>
        </w:rPr>
      </w:pPr>
      <w:r w:rsidRPr="00994A7E">
        <w:rPr>
          <w:rFonts w:ascii="Raleway" w:hAnsi="Raleway"/>
          <w:b/>
          <w:bCs/>
          <w:sz w:val="27"/>
          <w:szCs w:val="27"/>
        </w:rPr>
        <w:t>Decreto impugnado.</w:t>
      </w:r>
      <w:r w:rsidRPr="00994A7E">
        <w:rPr>
          <w:rFonts w:ascii="Raleway" w:hAnsi="Raleway"/>
          <w:sz w:val="27"/>
          <w:szCs w:val="27"/>
        </w:rPr>
        <w:t xml:space="preserve"> El</w:t>
      </w:r>
      <w:r w:rsidRPr="00994A7E">
        <w:rPr>
          <w:rFonts w:ascii="Raleway" w:hAnsi="Raleway"/>
          <w:b/>
          <w:bCs/>
          <w:sz w:val="27"/>
          <w:szCs w:val="27"/>
        </w:rPr>
        <w:t xml:space="preserve"> </w:t>
      </w:r>
      <w:r w:rsidRPr="00994A7E">
        <w:rPr>
          <w:rFonts w:ascii="Raleway" w:hAnsi="Raleway"/>
          <w:sz w:val="27"/>
          <w:szCs w:val="27"/>
        </w:rPr>
        <w:t>veinte de abril del dos mil veintidós se publicó en el Diario Oficial de la Federación el Decreto por el que se reforman y adicionan diversas disposiciones de la Ley Minera</w:t>
      </w:r>
      <w:r w:rsidRPr="00994A7E">
        <w:rPr>
          <w:rStyle w:val="Refdenotaalpie"/>
          <w:rFonts w:ascii="Raleway" w:hAnsi="Raleway"/>
          <w:sz w:val="27"/>
          <w:szCs w:val="27"/>
        </w:rPr>
        <w:footnoteReference w:id="2"/>
      </w:r>
      <w:r w:rsidRPr="00994A7E">
        <w:rPr>
          <w:rFonts w:ascii="Raleway" w:hAnsi="Raleway"/>
          <w:sz w:val="27"/>
          <w:szCs w:val="27"/>
        </w:rPr>
        <w:t xml:space="preserve">. En particular, se reformaron los artículos 1º, 9, párrafo primero, 10, párrafo primero; y se adicionaron el artículo 5 Bis y un párrafo tercero al artículo 10. </w:t>
      </w:r>
    </w:p>
    <w:p w14:paraId="6E6CCB4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El Decreto tiene como finalidad declarar al litio y otros minerales como áreas estratégicas, lo que modifica el esquema de participación en esta industria. En consecuencia, se reserva al Estado el control de su exploración, explotación, beneficio y aprovechamiento, excluyendo la intervención de particulares y previendo la creación de un organismo público descentralizado encargado de tales actividades. Asimismo, se establece la posibilidad de declarar zonas de reserva minera en los territorios donde existan yacimientos de litio.</w:t>
      </w:r>
    </w:p>
    <w:p w14:paraId="7CC19C63" w14:textId="77777777" w:rsidR="00792CB0" w:rsidRDefault="00792CB0" w:rsidP="00792CB0">
      <w:pPr>
        <w:pStyle w:val="Prrafodelista"/>
        <w:rPr>
          <w:rFonts w:ascii="Raleway" w:hAnsi="Raleway"/>
          <w:sz w:val="27"/>
          <w:szCs w:val="27"/>
        </w:rPr>
      </w:pPr>
    </w:p>
    <w:p w14:paraId="689FEEF1" w14:textId="439FBE6A"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bCs/>
          <w:sz w:val="27"/>
          <w:szCs w:val="27"/>
        </w:rPr>
        <w:t>Demanda de acción de inconstitucionalidad</w:t>
      </w:r>
      <w:r w:rsidRPr="00994A7E">
        <w:rPr>
          <w:rFonts w:ascii="Raleway" w:hAnsi="Raleway"/>
          <w:b/>
          <w:sz w:val="27"/>
          <w:szCs w:val="27"/>
        </w:rPr>
        <w:t xml:space="preserve">. </w:t>
      </w:r>
      <w:r w:rsidRPr="00994A7E">
        <w:rPr>
          <w:rFonts w:ascii="Raleway" w:hAnsi="Raleway"/>
          <w:bCs/>
          <w:sz w:val="27"/>
          <w:szCs w:val="27"/>
        </w:rPr>
        <w:t>Mediante escrito presentado el veinte de mayo del dos mil veintidós ante la oficina de Certificación Oficial y Correspondencia de esta Suprema Corte de Justicia de la Nación</w:t>
      </w:r>
      <w:r w:rsidRPr="00994A7E">
        <w:rPr>
          <w:rFonts w:ascii="Raleway" w:hAnsi="Raleway"/>
          <w:sz w:val="27"/>
          <w:szCs w:val="27"/>
        </w:rPr>
        <w:t xml:space="preserve">, diversas </w:t>
      </w:r>
      <w:r w:rsidR="003B25E8">
        <w:rPr>
          <w:rFonts w:ascii="Raleway" w:hAnsi="Raleway"/>
          <w:sz w:val="27"/>
          <w:szCs w:val="27"/>
        </w:rPr>
        <w:t xml:space="preserve">personas </w:t>
      </w:r>
      <w:r w:rsidRPr="00994A7E">
        <w:rPr>
          <w:rFonts w:ascii="Raleway" w:hAnsi="Raleway"/>
          <w:sz w:val="27"/>
          <w:szCs w:val="27"/>
        </w:rPr>
        <w:t xml:space="preserve">Senadoras </w:t>
      </w:r>
      <w:r w:rsidR="003B25E8">
        <w:rPr>
          <w:rFonts w:ascii="Raleway" w:hAnsi="Raleway"/>
          <w:sz w:val="27"/>
          <w:szCs w:val="27"/>
        </w:rPr>
        <w:t xml:space="preserve">integrantes </w:t>
      </w:r>
      <w:r w:rsidRPr="00994A7E">
        <w:rPr>
          <w:rFonts w:ascii="Raleway" w:hAnsi="Raleway"/>
          <w:sz w:val="27"/>
          <w:szCs w:val="27"/>
        </w:rPr>
        <w:t>de la LXV Legislatura del Congreso de la Unión promovieron acción de inconstitucionalidad en contra del Decreto referido.</w:t>
      </w:r>
    </w:p>
    <w:p w14:paraId="2A997030" w14:textId="77777777" w:rsidR="00792CB0" w:rsidRDefault="00792CB0" w:rsidP="00792CB0">
      <w:pPr>
        <w:pStyle w:val="Prrafodelista"/>
        <w:rPr>
          <w:rFonts w:ascii="Raleway" w:hAnsi="Raleway"/>
          <w:sz w:val="27"/>
          <w:szCs w:val="27"/>
        </w:rPr>
      </w:pPr>
    </w:p>
    <w:p w14:paraId="0F3B5470"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t>Conceptos de invalidez.</w:t>
      </w:r>
      <w:r w:rsidRPr="00994A7E">
        <w:rPr>
          <w:rFonts w:ascii="Raleway" w:hAnsi="Raleway"/>
          <w:sz w:val="27"/>
          <w:szCs w:val="27"/>
        </w:rPr>
        <w:t xml:space="preserve"> Las personas promoventes hicieron valer, en esencia, los siguientes planteamientos:</w:t>
      </w:r>
    </w:p>
    <w:p w14:paraId="7222FFA3" w14:textId="77777777" w:rsidR="008227F7" w:rsidRPr="00994A7E" w:rsidRDefault="008227F7" w:rsidP="008227F7">
      <w:pPr>
        <w:pStyle w:val="Prrafodelista"/>
        <w:spacing w:before="0" w:after="0" w:line="360" w:lineRule="auto"/>
        <w:rPr>
          <w:rFonts w:ascii="Raleway" w:hAnsi="Raleway"/>
          <w:sz w:val="27"/>
          <w:szCs w:val="27"/>
        </w:rPr>
      </w:pPr>
    </w:p>
    <w:p w14:paraId="43B5FDD6" w14:textId="77777777" w:rsidR="008227F7" w:rsidRPr="00994A7E" w:rsidRDefault="008227F7" w:rsidP="008227F7">
      <w:pPr>
        <w:spacing w:before="0" w:after="0" w:line="360" w:lineRule="auto"/>
        <w:rPr>
          <w:rFonts w:ascii="Raleway" w:hAnsi="Raleway"/>
          <w:b/>
          <w:bCs/>
          <w:sz w:val="27"/>
          <w:szCs w:val="27"/>
        </w:rPr>
      </w:pPr>
      <w:r w:rsidRPr="00994A7E">
        <w:rPr>
          <w:rFonts w:ascii="Raleway" w:hAnsi="Raleway"/>
          <w:b/>
          <w:bCs/>
          <w:sz w:val="27"/>
          <w:szCs w:val="27"/>
        </w:rPr>
        <w:t>PRIMERO. Violación al derecho a la consulta previa de los pueblos y comunidades indígenas y afromexicanas.</w:t>
      </w:r>
    </w:p>
    <w:p w14:paraId="37D7CAB1" w14:textId="67D72B05"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 xml:space="preserve">El derecho a la consulta previa deriva de una interpretación sistemática del artículo 2° constitucional y de los artículos 6 y 7 del Convenio 169 de la Organización Internacional del Trabajo sobre </w:t>
      </w:r>
      <w:r w:rsidR="003B25E8" w:rsidRPr="00994A7E">
        <w:rPr>
          <w:rFonts w:ascii="Raleway" w:hAnsi="Raleway"/>
          <w:sz w:val="27"/>
          <w:szCs w:val="27"/>
        </w:rPr>
        <w:t xml:space="preserve">Pueblos Indígenas </w:t>
      </w:r>
      <w:r w:rsidRPr="00994A7E">
        <w:rPr>
          <w:rFonts w:ascii="Raleway" w:hAnsi="Raleway"/>
          <w:sz w:val="27"/>
          <w:szCs w:val="27"/>
        </w:rPr>
        <w:t xml:space="preserve">y </w:t>
      </w:r>
      <w:r w:rsidR="003B25E8" w:rsidRPr="00994A7E">
        <w:rPr>
          <w:rFonts w:ascii="Raleway" w:hAnsi="Raleway"/>
          <w:sz w:val="27"/>
          <w:szCs w:val="27"/>
        </w:rPr>
        <w:t xml:space="preserve">Tribales </w:t>
      </w:r>
      <w:r w:rsidRPr="00994A7E">
        <w:rPr>
          <w:rFonts w:ascii="Raleway" w:hAnsi="Raleway"/>
          <w:sz w:val="27"/>
          <w:szCs w:val="27"/>
        </w:rPr>
        <w:t>en países independientes, los cuales imponen al Estado la obligación de consultar a los pueblos indígenas cada vez que se prevean medidas legislativas susceptibles de afectarles directamente, con el objetivo de llegar a un acuerdo o lograr su consentimiento.</w:t>
      </w:r>
    </w:p>
    <w:p w14:paraId="6C87BADF"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2E18DD4C" w14:textId="449A507C"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lastRenderedPageBreak/>
        <w:t>La consulta constituye una garantía reforzada vinculada al derecho a la libre determinación, orientada a eliminar condiciones estructurales de marginación, discriminación y exclusión, así como asegurar la participación efectiva de dichas comunidades en decisiones que incidan en su territorio, hábitat, recursos naturales, formas de vida, costumbres y tradiciones.</w:t>
      </w:r>
    </w:p>
    <w:p w14:paraId="0AEE6FD3" w14:textId="77777777" w:rsidR="008227F7" w:rsidRPr="00994A7E" w:rsidRDefault="008227F7" w:rsidP="008227F7">
      <w:pPr>
        <w:pStyle w:val="Prrafodelista"/>
        <w:spacing w:before="0" w:after="0" w:line="360" w:lineRule="auto"/>
        <w:rPr>
          <w:rFonts w:ascii="Raleway" w:hAnsi="Raleway"/>
          <w:sz w:val="27"/>
          <w:szCs w:val="27"/>
        </w:rPr>
      </w:pPr>
    </w:p>
    <w:p w14:paraId="7844A281"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 xml:space="preserve">La Corte Interamericana de Derechos Humanos ha establecido, de manera reiterada, que la consulta debe realizarse de forma previa, libre, informada, culturalmente adecuada y de buena fe, desde las primeras etapas de planeación de la medida, a fin de permitir una incidencia real en la toma de decisiones (casos </w:t>
      </w:r>
      <w:r w:rsidRPr="00994A7E">
        <w:rPr>
          <w:rFonts w:ascii="Raleway" w:hAnsi="Raleway"/>
          <w:i/>
          <w:iCs/>
          <w:sz w:val="27"/>
          <w:szCs w:val="27"/>
        </w:rPr>
        <w:t>Saramaka vs. Surinam</w:t>
      </w:r>
      <w:r w:rsidRPr="00994A7E">
        <w:rPr>
          <w:rFonts w:ascii="Raleway" w:hAnsi="Raleway"/>
          <w:sz w:val="27"/>
          <w:szCs w:val="27"/>
        </w:rPr>
        <w:t xml:space="preserve">, </w:t>
      </w:r>
      <w:r w:rsidRPr="00994A7E">
        <w:rPr>
          <w:rFonts w:ascii="Raleway" w:hAnsi="Raleway"/>
          <w:i/>
          <w:iCs/>
          <w:sz w:val="27"/>
          <w:szCs w:val="27"/>
        </w:rPr>
        <w:t>Sarayaku vs. Ecuador</w:t>
      </w:r>
      <w:r w:rsidRPr="00994A7E">
        <w:rPr>
          <w:rFonts w:ascii="Raleway" w:hAnsi="Raleway"/>
          <w:sz w:val="27"/>
          <w:szCs w:val="27"/>
        </w:rPr>
        <w:t xml:space="preserve"> y </w:t>
      </w:r>
      <w:r w:rsidRPr="00994A7E">
        <w:rPr>
          <w:rFonts w:ascii="Raleway" w:hAnsi="Raleway"/>
          <w:i/>
          <w:iCs/>
          <w:sz w:val="27"/>
          <w:szCs w:val="27"/>
        </w:rPr>
        <w:t>Punta Piedra vs. Honduras</w:t>
      </w:r>
      <w:r w:rsidRPr="00994A7E">
        <w:rPr>
          <w:rFonts w:ascii="Raleway" w:hAnsi="Raleway"/>
          <w:sz w:val="27"/>
          <w:szCs w:val="27"/>
        </w:rPr>
        <w:t>).</w:t>
      </w:r>
    </w:p>
    <w:p w14:paraId="7C1B192F" w14:textId="77777777" w:rsidR="008227F7" w:rsidRPr="00994A7E" w:rsidRDefault="008227F7" w:rsidP="008227F7">
      <w:pPr>
        <w:pStyle w:val="Prrafodelista"/>
        <w:spacing w:before="0" w:after="0" w:line="360" w:lineRule="auto"/>
        <w:rPr>
          <w:rFonts w:ascii="Raleway" w:hAnsi="Raleway"/>
          <w:sz w:val="27"/>
          <w:szCs w:val="27"/>
        </w:rPr>
      </w:pPr>
    </w:p>
    <w:p w14:paraId="36A216B0" w14:textId="683B3138"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 xml:space="preserve">Tales criterios resultan vinculantes para el Estado mexicano cuando sean más favorables a la persona, conforme a los artículos 1° y 133 constitucionales y a la jurisprudencia emitida por esta Suprema Corte de rubro: </w:t>
      </w:r>
      <w:r w:rsidR="003B25E8">
        <w:rPr>
          <w:rFonts w:ascii="Raleway" w:hAnsi="Raleway"/>
          <w:i/>
          <w:iCs/>
          <w:sz w:val="27"/>
          <w:szCs w:val="27"/>
        </w:rPr>
        <w:t>“</w:t>
      </w:r>
      <w:r w:rsidRPr="00994A7E">
        <w:rPr>
          <w:rFonts w:ascii="Raleway" w:hAnsi="Raleway"/>
          <w:i/>
          <w:iCs/>
          <w:sz w:val="27"/>
          <w:szCs w:val="27"/>
        </w:rPr>
        <w:t>JURISPRUDENCIA EMITIDA POR LA CORTE INTERAMERICANA DE DERECHOS HUMANOS. ES VINCULANTE PARA LOS JUECES MEXICANOS SIEMPRE QUE SEA MÁS FAVORABLE A LA PERSONA.</w:t>
      </w:r>
      <w:r w:rsidR="003B25E8">
        <w:rPr>
          <w:rFonts w:ascii="Raleway" w:hAnsi="Raleway"/>
          <w:i/>
          <w:iCs/>
          <w:sz w:val="27"/>
          <w:szCs w:val="27"/>
        </w:rPr>
        <w:t>”.</w:t>
      </w:r>
    </w:p>
    <w:p w14:paraId="034D2619" w14:textId="77777777" w:rsidR="008227F7" w:rsidRPr="00994A7E" w:rsidRDefault="008227F7" w:rsidP="008227F7">
      <w:pPr>
        <w:pStyle w:val="Prrafodelista"/>
        <w:spacing w:before="0" w:after="0" w:line="360" w:lineRule="auto"/>
        <w:rPr>
          <w:rFonts w:ascii="Raleway" w:hAnsi="Raleway"/>
          <w:sz w:val="27"/>
          <w:szCs w:val="27"/>
        </w:rPr>
      </w:pPr>
    </w:p>
    <w:p w14:paraId="41BB3D7C"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Este Tribunal ha sostenido que la obligación de consulta se actualiza cuando una reforma legislativa sea susceptible de afectar directamente a pueblos y comunidades indígenas, siendo suficiente la sola posibilidad de afectación para exigir constitucionalmente la consulta previa, con independencia del beneficio o perjuicio material que la norma pudiera generar.</w:t>
      </w:r>
    </w:p>
    <w:p w14:paraId="140D28A4" w14:textId="77777777" w:rsidR="00792CB0" w:rsidRDefault="00792CB0" w:rsidP="00792CB0">
      <w:pPr>
        <w:pStyle w:val="Prrafodelista"/>
        <w:rPr>
          <w:rFonts w:ascii="Raleway" w:hAnsi="Raleway"/>
          <w:sz w:val="27"/>
          <w:szCs w:val="27"/>
        </w:rPr>
      </w:pPr>
    </w:p>
    <w:p w14:paraId="7CEDF1A2"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lastRenderedPageBreak/>
        <w:t>El Decreto impugnado reconoce expresamente que las actividades de exploración, explotación, beneficio y aprovechamiento del litio deben realizarse protegiendo los derechos de los pueblos indígenas y afromexicanos, lo que evidencia que su contenido es susceptible de afectar directamente su esfera jurídica, territorio y hábitat.</w:t>
      </w:r>
    </w:p>
    <w:p w14:paraId="57DCCC48" w14:textId="77777777" w:rsidR="00792CB0" w:rsidRDefault="00792CB0" w:rsidP="00792CB0">
      <w:pPr>
        <w:pStyle w:val="Prrafodelista"/>
        <w:rPr>
          <w:rFonts w:ascii="Raleway" w:hAnsi="Raleway"/>
          <w:sz w:val="27"/>
          <w:szCs w:val="27"/>
        </w:rPr>
      </w:pPr>
    </w:p>
    <w:p w14:paraId="113C0AE7"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La explotación del litio implica impactos ambientales relevantes —uso intensivo de agua, alteración del suelo y afectaciones a la biodiversidad— que, conforme a experiencias comparadas en otros países, han repercutido de manera negativa en comunidades originarias asentadas en zonas de extracción.</w:t>
      </w:r>
    </w:p>
    <w:p w14:paraId="4C95C28B" w14:textId="77777777" w:rsidR="00792CB0" w:rsidRDefault="00792CB0" w:rsidP="00792CB0">
      <w:pPr>
        <w:pStyle w:val="Prrafodelista"/>
        <w:rPr>
          <w:rFonts w:ascii="Raleway" w:hAnsi="Raleway"/>
          <w:sz w:val="27"/>
          <w:szCs w:val="27"/>
        </w:rPr>
      </w:pPr>
    </w:p>
    <w:p w14:paraId="52F7D9F1"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En México, los yacimientos potenciales de litio se localizan en entidades federativas que albergan pueblos y comunidades indígenas, por lo que la reforma legislativa incide directamente en sus derechos territoriales, ambientales y culturales.</w:t>
      </w:r>
    </w:p>
    <w:p w14:paraId="285526EA" w14:textId="77777777" w:rsidR="00792CB0" w:rsidRDefault="00792CB0" w:rsidP="00792CB0">
      <w:pPr>
        <w:pStyle w:val="Prrafodelista"/>
        <w:rPr>
          <w:rFonts w:ascii="Raleway" w:hAnsi="Raleway"/>
          <w:sz w:val="27"/>
          <w:szCs w:val="27"/>
        </w:rPr>
      </w:pPr>
    </w:p>
    <w:p w14:paraId="464156CE" w14:textId="77777777"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No obstante lo anterior, el Congreso de la Unión omitió llevar a cabo cualquier proceso de consulta previa, libre, informada, culturalmente adecuada y de buena fe, incumpliendo el parámetro de regularidad constitucional y convencional desarrollado por esta Suprema Corte.</w:t>
      </w:r>
    </w:p>
    <w:p w14:paraId="65C29F5F" w14:textId="77777777" w:rsidR="00792CB0" w:rsidRDefault="00792CB0" w:rsidP="00792CB0">
      <w:pPr>
        <w:pStyle w:val="Prrafodelista"/>
        <w:rPr>
          <w:rFonts w:ascii="Raleway" w:hAnsi="Raleway"/>
          <w:sz w:val="27"/>
          <w:szCs w:val="27"/>
        </w:rPr>
      </w:pPr>
    </w:p>
    <w:p w14:paraId="04F8557C" w14:textId="4F6F717F" w:rsidR="008227F7" w:rsidRPr="00994A7E" w:rsidRDefault="008227F7" w:rsidP="00494272">
      <w:pPr>
        <w:pStyle w:val="Prrafodelista"/>
        <w:numPr>
          <w:ilvl w:val="0"/>
          <w:numId w:val="8"/>
        </w:numPr>
        <w:spacing w:before="0" w:after="0" w:line="360" w:lineRule="auto"/>
        <w:contextualSpacing w:val="0"/>
        <w:rPr>
          <w:rFonts w:ascii="Raleway" w:hAnsi="Raleway"/>
          <w:sz w:val="27"/>
          <w:szCs w:val="27"/>
        </w:rPr>
      </w:pPr>
      <w:r w:rsidRPr="00994A7E">
        <w:rPr>
          <w:rFonts w:ascii="Raleway" w:hAnsi="Raleway"/>
          <w:sz w:val="27"/>
          <w:szCs w:val="27"/>
        </w:rPr>
        <w:t xml:space="preserve">En consecuencia, la omisión de la consulta previa configura una violación directa al artículo 2° constitucional y al Convenio 169 de la Organización Internacional del Trabajo sobre </w:t>
      </w:r>
      <w:r w:rsidR="003B25E8" w:rsidRPr="00994A7E">
        <w:rPr>
          <w:rFonts w:ascii="Raleway" w:hAnsi="Raleway"/>
          <w:sz w:val="27"/>
          <w:szCs w:val="27"/>
        </w:rPr>
        <w:t xml:space="preserve">Pueblos Indígenas </w:t>
      </w:r>
      <w:r w:rsidRPr="00994A7E">
        <w:rPr>
          <w:rFonts w:ascii="Raleway" w:hAnsi="Raleway"/>
          <w:sz w:val="27"/>
          <w:szCs w:val="27"/>
        </w:rPr>
        <w:t xml:space="preserve">y </w:t>
      </w:r>
      <w:r w:rsidR="003B25E8" w:rsidRPr="00994A7E">
        <w:rPr>
          <w:rFonts w:ascii="Raleway" w:hAnsi="Raleway"/>
          <w:sz w:val="27"/>
          <w:szCs w:val="27"/>
        </w:rPr>
        <w:t xml:space="preserve">Tribales </w:t>
      </w:r>
      <w:r w:rsidRPr="00994A7E">
        <w:rPr>
          <w:rFonts w:ascii="Raleway" w:hAnsi="Raleway"/>
          <w:sz w:val="27"/>
          <w:szCs w:val="27"/>
        </w:rPr>
        <w:t>en países independientes, lo que conduce a la inconstitucionalidad del Decreto impugnado en su totalidad.</w:t>
      </w:r>
    </w:p>
    <w:p w14:paraId="7668DA79" w14:textId="77777777" w:rsidR="00792CB0" w:rsidRDefault="00792CB0" w:rsidP="00792CB0">
      <w:pPr>
        <w:pStyle w:val="Prrafodelista"/>
        <w:rPr>
          <w:rFonts w:ascii="Raleway" w:hAnsi="Raleway"/>
          <w:b/>
          <w:bCs/>
          <w:sz w:val="27"/>
          <w:szCs w:val="27"/>
        </w:rPr>
      </w:pPr>
    </w:p>
    <w:p w14:paraId="414EBDD8" w14:textId="77777777" w:rsidR="008227F7" w:rsidRPr="00994A7E" w:rsidRDefault="008227F7" w:rsidP="008227F7">
      <w:pPr>
        <w:spacing w:before="0" w:after="0" w:line="360" w:lineRule="auto"/>
        <w:rPr>
          <w:rFonts w:ascii="Raleway" w:hAnsi="Raleway"/>
          <w:b/>
          <w:bCs/>
          <w:sz w:val="27"/>
          <w:szCs w:val="27"/>
        </w:rPr>
      </w:pPr>
      <w:r w:rsidRPr="00994A7E">
        <w:rPr>
          <w:rFonts w:ascii="Raleway" w:hAnsi="Raleway"/>
          <w:b/>
          <w:bCs/>
          <w:sz w:val="27"/>
          <w:szCs w:val="27"/>
        </w:rPr>
        <w:t>SEGUNDO. Violación al régimen constitucional de la minería y a las reglas sobre áreas estratégicas del Estado.</w:t>
      </w:r>
    </w:p>
    <w:p w14:paraId="04D5EEB9"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lastRenderedPageBreak/>
        <w:t>El régimen constitucional de la minería, previsto en los artículos 27 y 28 de la Constitución, establece que los minerales son bienes del dominio directo de la Nación, inalienables e imprescriptibles, cuya explotación puede realizarse por particulares mediante concesiones, salvo las excepciones expresamente previstas en la propia Norma Fundamental.</w:t>
      </w:r>
    </w:p>
    <w:p w14:paraId="1E33EE39"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4946D154"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La Constitución únicamente excluye del régimen de concesiones a los minerales radioactivos, al petróleo y a los hidrocarburos, así como reserva como áreas estratégicas, con participación exclusiva del Estado, los minerales radioactivos y la generación de energía nuclear.</w:t>
      </w:r>
    </w:p>
    <w:p w14:paraId="2F92416E" w14:textId="77777777" w:rsidR="00792CB0" w:rsidRDefault="00792CB0" w:rsidP="00792CB0">
      <w:pPr>
        <w:pStyle w:val="Prrafodelista"/>
        <w:rPr>
          <w:rFonts w:ascii="Raleway" w:hAnsi="Raleway"/>
          <w:sz w:val="27"/>
          <w:szCs w:val="27"/>
        </w:rPr>
      </w:pPr>
    </w:p>
    <w:p w14:paraId="7C6EA03E"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El litio no cuenta con un régimen constitucional especial que lo sustraiga del sistema de concesiones ni que lo ubique como área estratégica de explotación exclusiva del Estado.</w:t>
      </w:r>
    </w:p>
    <w:p w14:paraId="3B065765" w14:textId="77777777" w:rsidR="008227F7" w:rsidRPr="00994A7E" w:rsidRDefault="008227F7" w:rsidP="008227F7">
      <w:pPr>
        <w:pStyle w:val="Prrafodelista"/>
        <w:spacing w:before="0" w:after="0" w:line="360" w:lineRule="auto"/>
        <w:rPr>
          <w:rFonts w:ascii="Raleway" w:hAnsi="Raleway"/>
          <w:sz w:val="27"/>
          <w:szCs w:val="27"/>
        </w:rPr>
      </w:pPr>
    </w:p>
    <w:p w14:paraId="7D5394AE"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El propio Ejecutivo Federal reconoció esta limitación al promover, en dos mil veintiuno, una iniciativa de reforma constitucional para incluir expresamente al litio como mineral no concesionable y como área estratégica, la cual no fue aprobada.</w:t>
      </w:r>
    </w:p>
    <w:p w14:paraId="0A7BD2FF" w14:textId="77777777" w:rsidR="008227F7" w:rsidRPr="00994A7E" w:rsidRDefault="008227F7" w:rsidP="008227F7">
      <w:pPr>
        <w:pStyle w:val="Prrafodelista"/>
        <w:spacing w:before="0" w:after="0" w:line="360" w:lineRule="auto"/>
        <w:rPr>
          <w:rFonts w:ascii="Raleway" w:hAnsi="Raleway"/>
          <w:sz w:val="27"/>
          <w:szCs w:val="27"/>
        </w:rPr>
      </w:pPr>
    </w:p>
    <w:p w14:paraId="4B5A36CF"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El Decreto impugnado pretende excluir al litio —y a otros minerales que el Estado declare estratégicos— del régimen constitucional de concesiones, sin modificar previamente el texto constitucional, lo cual excede las facultades del legislador ordinario.</w:t>
      </w:r>
    </w:p>
    <w:p w14:paraId="5EF5898D" w14:textId="77777777" w:rsidR="008227F7" w:rsidRPr="00994A7E" w:rsidRDefault="008227F7" w:rsidP="008227F7">
      <w:pPr>
        <w:pStyle w:val="Prrafodelista"/>
        <w:spacing w:before="0" w:after="0" w:line="360" w:lineRule="auto"/>
        <w:rPr>
          <w:rFonts w:ascii="Raleway" w:hAnsi="Raleway"/>
          <w:sz w:val="27"/>
          <w:szCs w:val="27"/>
        </w:rPr>
      </w:pPr>
    </w:p>
    <w:p w14:paraId="0CAAC4B6"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 xml:space="preserve">La habilitación contenida en el artículo 28 constitucional para que el Congreso señale actividades estratégicas adicionales exige un </w:t>
      </w:r>
      <w:r w:rsidRPr="00994A7E">
        <w:rPr>
          <w:rFonts w:ascii="Raleway" w:hAnsi="Raleway"/>
          <w:sz w:val="27"/>
          <w:szCs w:val="27"/>
        </w:rPr>
        <w:lastRenderedPageBreak/>
        <w:t>señalamiento expreso de la actividad económica como estratégica, requisito que no se cumple en el Decreto impugnado.</w:t>
      </w:r>
    </w:p>
    <w:p w14:paraId="0E492F78" w14:textId="77777777" w:rsidR="008227F7" w:rsidRPr="00994A7E" w:rsidRDefault="008227F7" w:rsidP="008227F7">
      <w:pPr>
        <w:pStyle w:val="Prrafodelista"/>
        <w:spacing w:before="0" w:after="0" w:line="360" w:lineRule="auto"/>
        <w:rPr>
          <w:rFonts w:ascii="Raleway" w:hAnsi="Raleway"/>
          <w:sz w:val="27"/>
          <w:szCs w:val="27"/>
        </w:rPr>
      </w:pPr>
    </w:p>
    <w:p w14:paraId="28AECEA9"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Declarar al litio como de “utilidad pública” o “patrimonio de la Nación” como se establece en el artículo 5 Bis no equivale a establecer una actividad estratégica, pues dichas características derivan directamente del artículo 27 constitucional y no generan exclusividad estatal.</w:t>
      </w:r>
    </w:p>
    <w:p w14:paraId="553AE87C" w14:textId="77777777" w:rsidR="008227F7" w:rsidRPr="00994A7E" w:rsidRDefault="008227F7" w:rsidP="008227F7">
      <w:pPr>
        <w:pStyle w:val="Prrafodelista"/>
        <w:spacing w:before="0" w:after="0" w:line="360" w:lineRule="auto"/>
        <w:rPr>
          <w:rFonts w:ascii="Raleway" w:hAnsi="Raleway"/>
          <w:sz w:val="27"/>
          <w:szCs w:val="27"/>
        </w:rPr>
      </w:pPr>
    </w:p>
    <w:p w14:paraId="4FF5B4A3"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La ausencia de una declaración expresa de actividad estratégica impide válidamente reservar al Estado la exploración, explotación, beneficio y aprovechamiento del litio, así como sustraerlo del régimen de concesiones.</w:t>
      </w:r>
    </w:p>
    <w:p w14:paraId="201FB805" w14:textId="77777777" w:rsidR="008227F7" w:rsidRPr="00994A7E" w:rsidRDefault="008227F7" w:rsidP="008227F7">
      <w:pPr>
        <w:pStyle w:val="Prrafodelista"/>
        <w:spacing w:before="0" w:after="0" w:line="360" w:lineRule="auto"/>
        <w:rPr>
          <w:rFonts w:ascii="Raleway" w:hAnsi="Raleway"/>
          <w:sz w:val="27"/>
          <w:szCs w:val="27"/>
        </w:rPr>
      </w:pPr>
    </w:p>
    <w:p w14:paraId="7BE35362"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Asimismo, la referencia genérica a “otros minerales declarados estratégicos por el Estado” vulnera los principios de certeza y seguridad jurídica, al permitir exclusiones indeterminadas y sin sustento constitucional.</w:t>
      </w:r>
    </w:p>
    <w:p w14:paraId="5B02BFF3" w14:textId="77777777" w:rsidR="008227F7" w:rsidRPr="00994A7E" w:rsidRDefault="008227F7" w:rsidP="008227F7">
      <w:pPr>
        <w:pStyle w:val="Prrafodelista"/>
        <w:spacing w:before="0" w:after="0" w:line="360" w:lineRule="auto"/>
        <w:rPr>
          <w:rFonts w:ascii="Raleway" w:hAnsi="Raleway"/>
          <w:sz w:val="27"/>
          <w:szCs w:val="27"/>
        </w:rPr>
      </w:pPr>
    </w:p>
    <w:p w14:paraId="138AB61B" w14:textId="77777777" w:rsidR="008227F7" w:rsidRPr="00994A7E" w:rsidRDefault="008227F7" w:rsidP="00494272">
      <w:pPr>
        <w:pStyle w:val="Prrafodelista"/>
        <w:numPr>
          <w:ilvl w:val="0"/>
          <w:numId w:val="9"/>
        </w:numPr>
        <w:spacing w:before="0" w:after="0" w:line="360" w:lineRule="auto"/>
        <w:contextualSpacing w:val="0"/>
        <w:rPr>
          <w:rFonts w:ascii="Raleway" w:hAnsi="Raleway"/>
          <w:sz w:val="27"/>
          <w:szCs w:val="27"/>
        </w:rPr>
      </w:pPr>
      <w:r w:rsidRPr="00994A7E">
        <w:rPr>
          <w:rFonts w:ascii="Raleway" w:hAnsi="Raleway"/>
          <w:sz w:val="27"/>
          <w:szCs w:val="27"/>
        </w:rPr>
        <w:t>El Decreto no establece de manera expresa al litio como actividad estratégica ni regula adecuadamente el funcionamiento del organismo público descentralizado encargado de su administración, lo que vulnera el principio de reserva de ley.</w:t>
      </w:r>
    </w:p>
    <w:p w14:paraId="4B78E1B4" w14:textId="77777777" w:rsidR="008227F7" w:rsidRPr="00994A7E" w:rsidRDefault="008227F7" w:rsidP="008227F7">
      <w:pPr>
        <w:pStyle w:val="Prrafodelista"/>
        <w:spacing w:before="0" w:after="0" w:line="360" w:lineRule="auto"/>
        <w:rPr>
          <w:rFonts w:ascii="Raleway" w:hAnsi="Raleway"/>
          <w:sz w:val="27"/>
          <w:szCs w:val="27"/>
        </w:rPr>
      </w:pPr>
    </w:p>
    <w:p w14:paraId="7777A38F" w14:textId="77777777" w:rsidR="008227F7" w:rsidRPr="00994A7E" w:rsidRDefault="008227F7" w:rsidP="008227F7">
      <w:pPr>
        <w:spacing w:before="0" w:after="0" w:line="360" w:lineRule="auto"/>
        <w:rPr>
          <w:rFonts w:ascii="Raleway" w:hAnsi="Raleway"/>
          <w:b/>
          <w:bCs/>
          <w:sz w:val="27"/>
          <w:szCs w:val="27"/>
        </w:rPr>
      </w:pPr>
      <w:r w:rsidRPr="00994A7E">
        <w:rPr>
          <w:rFonts w:ascii="Raleway" w:hAnsi="Raleway"/>
          <w:b/>
          <w:bCs/>
          <w:sz w:val="27"/>
          <w:szCs w:val="27"/>
        </w:rPr>
        <w:t>TERCERO. Violación a los principios de legalidad y seguridad jurídica por la declaratoria de utilidad pública y la creación de zonas de reserva minera</w:t>
      </w:r>
    </w:p>
    <w:p w14:paraId="43CA97BD"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 xml:space="preserve">La declaratoria de utilidad pública prevista en el primer párrafo del artículo 5 Bis es una figura propia del régimen de propiedad privada y se encuentra regulada en la Ley de Expropiación, resultando </w:t>
      </w:r>
      <w:r w:rsidRPr="00994A7E">
        <w:rPr>
          <w:rFonts w:ascii="Raleway" w:hAnsi="Raleway"/>
          <w:sz w:val="27"/>
          <w:szCs w:val="27"/>
        </w:rPr>
        <w:lastRenderedPageBreak/>
        <w:t>inaplicable a bienes del dominio directo de la Nación, como los minerales.</w:t>
      </w:r>
    </w:p>
    <w:p w14:paraId="4E2C11FD"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0BBAF912"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El litio, al ser un mineral de dominio directo, no genera derechos de propiedad privada, por lo que la declaratoria de utilidad pública carece de objeto y produce confusión normativa.</w:t>
      </w:r>
    </w:p>
    <w:p w14:paraId="1EF1D912" w14:textId="77777777" w:rsidR="008227F7" w:rsidRPr="00994A7E" w:rsidRDefault="008227F7" w:rsidP="008227F7">
      <w:pPr>
        <w:pStyle w:val="Prrafodelista"/>
        <w:spacing w:before="0" w:after="0" w:line="360" w:lineRule="auto"/>
        <w:rPr>
          <w:rFonts w:ascii="Raleway" w:hAnsi="Raleway"/>
          <w:sz w:val="27"/>
          <w:szCs w:val="27"/>
        </w:rPr>
      </w:pPr>
    </w:p>
    <w:p w14:paraId="3F213D7D"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La prohibición de concesiones no puede justificarse mediante la figura de utilidad pública, pues la cancelación o revocación de títulos concesionados debe sujetarse al procedimiento previsto en la Ley Minera y garantizar el derecho de audiencia.</w:t>
      </w:r>
    </w:p>
    <w:p w14:paraId="7940B5DB" w14:textId="77777777" w:rsidR="008227F7" w:rsidRPr="00994A7E" w:rsidRDefault="008227F7" w:rsidP="008227F7">
      <w:pPr>
        <w:pStyle w:val="Prrafodelista"/>
        <w:spacing w:before="0" w:after="0" w:line="360" w:lineRule="auto"/>
        <w:rPr>
          <w:rFonts w:ascii="Raleway" w:hAnsi="Raleway"/>
          <w:sz w:val="27"/>
          <w:szCs w:val="27"/>
        </w:rPr>
      </w:pPr>
    </w:p>
    <w:p w14:paraId="428D7D68"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En cuanto a las zonas de reserva minera, la Ley Minera y su Reglamento prevén un procedimiento específico que exige estudios técnicos previos, exploración del Servicio Geológico Mexicano y justificación del potencial minero.</w:t>
      </w:r>
    </w:p>
    <w:p w14:paraId="4910D985" w14:textId="77777777" w:rsidR="008227F7" w:rsidRPr="00994A7E" w:rsidRDefault="008227F7" w:rsidP="008227F7">
      <w:pPr>
        <w:pStyle w:val="Prrafodelista"/>
        <w:spacing w:before="0" w:after="0" w:line="360" w:lineRule="auto"/>
        <w:rPr>
          <w:rFonts w:ascii="Raleway" w:hAnsi="Raleway"/>
          <w:sz w:val="27"/>
          <w:szCs w:val="27"/>
        </w:rPr>
      </w:pPr>
    </w:p>
    <w:p w14:paraId="26759BE2"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El artículo 5 Bis permite declarar zonas de reserva minera por la sola existencia de yacimientos de litio, sin observar los requisitos legales y reglamentarios, lo que habilita actuaciones arbitrarias y carentes de sustento técnico.</w:t>
      </w:r>
    </w:p>
    <w:p w14:paraId="08E9FB68" w14:textId="77777777" w:rsidR="008227F7" w:rsidRPr="00994A7E" w:rsidRDefault="008227F7" w:rsidP="008227F7">
      <w:pPr>
        <w:pStyle w:val="Prrafodelista"/>
        <w:spacing w:before="0" w:after="0" w:line="360" w:lineRule="auto"/>
        <w:rPr>
          <w:rFonts w:ascii="Raleway" w:hAnsi="Raleway"/>
          <w:sz w:val="27"/>
          <w:szCs w:val="27"/>
        </w:rPr>
      </w:pPr>
    </w:p>
    <w:p w14:paraId="135E7124" w14:textId="77777777" w:rsidR="008227F7" w:rsidRPr="00994A7E" w:rsidRDefault="008227F7" w:rsidP="00494272">
      <w:pPr>
        <w:pStyle w:val="Prrafodelista"/>
        <w:numPr>
          <w:ilvl w:val="0"/>
          <w:numId w:val="10"/>
        </w:numPr>
        <w:spacing w:before="0" w:after="0" w:line="360" w:lineRule="auto"/>
        <w:contextualSpacing w:val="0"/>
        <w:rPr>
          <w:rFonts w:ascii="Raleway" w:hAnsi="Raleway"/>
          <w:sz w:val="27"/>
          <w:szCs w:val="27"/>
        </w:rPr>
      </w:pPr>
      <w:r w:rsidRPr="00994A7E">
        <w:rPr>
          <w:rFonts w:ascii="Raleway" w:hAnsi="Raleway"/>
          <w:sz w:val="27"/>
          <w:szCs w:val="27"/>
        </w:rPr>
        <w:t>Dicha previsión vulnera los principios de legalidad y seguridad jurídica, al permitir afectaciones a derechos sin motivación suficiente.</w:t>
      </w:r>
    </w:p>
    <w:p w14:paraId="292739F0" w14:textId="77777777" w:rsidR="008227F7" w:rsidRPr="00994A7E" w:rsidRDefault="008227F7" w:rsidP="008227F7">
      <w:pPr>
        <w:pStyle w:val="Prrafodelista"/>
        <w:spacing w:before="0" w:after="0" w:line="360" w:lineRule="auto"/>
        <w:rPr>
          <w:rFonts w:ascii="Raleway" w:hAnsi="Raleway"/>
          <w:sz w:val="27"/>
          <w:szCs w:val="27"/>
        </w:rPr>
      </w:pPr>
    </w:p>
    <w:p w14:paraId="60E66714" w14:textId="77777777" w:rsidR="008227F7" w:rsidRPr="00994A7E" w:rsidRDefault="008227F7" w:rsidP="008227F7">
      <w:pPr>
        <w:spacing w:before="0" w:after="0" w:line="360" w:lineRule="auto"/>
        <w:rPr>
          <w:rFonts w:ascii="Raleway" w:hAnsi="Raleway"/>
          <w:b/>
          <w:bCs/>
          <w:sz w:val="27"/>
          <w:szCs w:val="27"/>
        </w:rPr>
      </w:pPr>
      <w:r w:rsidRPr="00994A7E">
        <w:rPr>
          <w:rFonts w:ascii="Raleway" w:hAnsi="Raleway"/>
          <w:b/>
          <w:bCs/>
          <w:sz w:val="27"/>
          <w:szCs w:val="27"/>
        </w:rPr>
        <w:t>CUARTO. Violación al régimen constitucional presupuestario.</w:t>
      </w:r>
    </w:p>
    <w:p w14:paraId="020D61A1" w14:textId="77777777" w:rsidR="008227F7" w:rsidRPr="00994A7E" w:rsidRDefault="008227F7" w:rsidP="00494272">
      <w:pPr>
        <w:pStyle w:val="Prrafodelista"/>
        <w:numPr>
          <w:ilvl w:val="0"/>
          <w:numId w:val="11"/>
        </w:numPr>
        <w:spacing w:before="0" w:after="0" w:line="360" w:lineRule="auto"/>
        <w:contextualSpacing w:val="0"/>
        <w:rPr>
          <w:rFonts w:ascii="Raleway" w:hAnsi="Raleway"/>
          <w:sz w:val="27"/>
          <w:szCs w:val="27"/>
        </w:rPr>
      </w:pPr>
      <w:r w:rsidRPr="00994A7E">
        <w:rPr>
          <w:rFonts w:ascii="Raleway" w:hAnsi="Raleway"/>
          <w:sz w:val="27"/>
          <w:szCs w:val="27"/>
        </w:rPr>
        <w:t xml:space="preserve">El segundo párrafo del artículo Tercero Transitorio del Decreto impugnado autoriza la asignación de recursos presupuestales a un organismo público descentralizado aún no creado, mediante </w:t>
      </w:r>
      <w:r w:rsidRPr="00994A7E">
        <w:rPr>
          <w:rFonts w:ascii="Raleway" w:hAnsi="Raleway"/>
          <w:sz w:val="27"/>
          <w:szCs w:val="27"/>
        </w:rPr>
        <w:lastRenderedPageBreak/>
        <w:t>movimientos compensados dentro del presupuesto de una dependencia federal no identificada.</w:t>
      </w:r>
    </w:p>
    <w:p w14:paraId="56671E86"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4D0AEDFF" w14:textId="77777777" w:rsidR="008227F7" w:rsidRPr="00994A7E" w:rsidRDefault="008227F7" w:rsidP="00494272">
      <w:pPr>
        <w:pStyle w:val="Prrafodelista"/>
        <w:numPr>
          <w:ilvl w:val="0"/>
          <w:numId w:val="11"/>
        </w:numPr>
        <w:spacing w:before="0" w:after="0" w:line="360" w:lineRule="auto"/>
        <w:contextualSpacing w:val="0"/>
        <w:rPr>
          <w:rFonts w:ascii="Raleway" w:hAnsi="Raleway"/>
          <w:sz w:val="27"/>
          <w:szCs w:val="27"/>
        </w:rPr>
      </w:pPr>
      <w:r w:rsidRPr="00994A7E">
        <w:rPr>
          <w:rFonts w:ascii="Raleway" w:hAnsi="Raleway"/>
          <w:sz w:val="27"/>
          <w:szCs w:val="27"/>
        </w:rPr>
        <w:t>Tal previsión invade la facultad exclusiva de la Cámara de Diputados para aprobar el Presupuesto de Egresos de la Federación y contraviene la prohibición constitucional de realizar pagos no previstos en el presupuesto o determinados por ley posterior.</w:t>
      </w:r>
    </w:p>
    <w:p w14:paraId="37592F05" w14:textId="77777777" w:rsidR="008227F7" w:rsidRPr="00994A7E" w:rsidRDefault="008227F7" w:rsidP="008227F7">
      <w:pPr>
        <w:pStyle w:val="Prrafodelista"/>
        <w:spacing w:before="0" w:after="0" w:line="360" w:lineRule="auto"/>
        <w:rPr>
          <w:rFonts w:ascii="Raleway" w:hAnsi="Raleway"/>
          <w:sz w:val="27"/>
          <w:szCs w:val="27"/>
        </w:rPr>
      </w:pPr>
    </w:p>
    <w:p w14:paraId="736DB56B" w14:textId="77777777" w:rsidR="008227F7" w:rsidRPr="00994A7E" w:rsidRDefault="008227F7" w:rsidP="00494272">
      <w:pPr>
        <w:pStyle w:val="Prrafodelista"/>
        <w:numPr>
          <w:ilvl w:val="0"/>
          <w:numId w:val="11"/>
        </w:numPr>
        <w:spacing w:before="0" w:after="0" w:line="360" w:lineRule="auto"/>
        <w:contextualSpacing w:val="0"/>
        <w:rPr>
          <w:rFonts w:ascii="Raleway" w:hAnsi="Raleway"/>
          <w:sz w:val="27"/>
          <w:szCs w:val="27"/>
        </w:rPr>
      </w:pPr>
      <w:r w:rsidRPr="00994A7E">
        <w:rPr>
          <w:rFonts w:ascii="Raleway" w:hAnsi="Raleway"/>
          <w:sz w:val="27"/>
          <w:szCs w:val="27"/>
        </w:rPr>
        <w:t>La norma impugnada delega indebidamente en el Ejecutivo Federal la reasignación de recursos públicos, sin programas, objetivos ni montos específicos, vulnerando los principios de legalidad, rendición de cuentas y división de poderes.</w:t>
      </w:r>
    </w:p>
    <w:p w14:paraId="52D5CB92" w14:textId="77777777" w:rsidR="008227F7" w:rsidRPr="00994A7E" w:rsidRDefault="008227F7" w:rsidP="008227F7">
      <w:pPr>
        <w:pStyle w:val="Prrafodelista"/>
        <w:spacing w:before="0" w:after="0" w:line="360" w:lineRule="auto"/>
        <w:rPr>
          <w:rFonts w:ascii="Raleway" w:hAnsi="Raleway"/>
          <w:sz w:val="27"/>
          <w:szCs w:val="27"/>
        </w:rPr>
      </w:pPr>
    </w:p>
    <w:p w14:paraId="6EEF8A0F" w14:textId="77777777" w:rsidR="008227F7" w:rsidRPr="00994A7E" w:rsidRDefault="008227F7" w:rsidP="008227F7">
      <w:pPr>
        <w:spacing w:before="0" w:after="0" w:line="360" w:lineRule="auto"/>
        <w:rPr>
          <w:rFonts w:ascii="Raleway" w:hAnsi="Raleway"/>
          <w:b/>
          <w:bCs/>
          <w:sz w:val="27"/>
          <w:szCs w:val="27"/>
        </w:rPr>
      </w:pPr>
      <w:r w:rsidRPr="00994A7E">
        <w:rPr>
          <w:rFonts w:ascii="Raleway" w:hAnsi="Raleway"/>
          <w:b/>
          <w:bCs/>
          <w:sz w:val="27"/>
          <w:szCs w:val="27"/>
        </w:rPr>
        <w:t>QUINTO. Violación a los principios de legalidad y seguridad jurídica en su vertiente de confianza legítima.</w:t>
      </w:r>
    </w:p>
    <w:p w14:paraId="76906279" w14:textId="77777777" w:rsidR="008227F7" w:rsidRPr="00994A7E" w:rsidRDefault="008227F7" w:rsidP="00494272">
      <w:pPr>
        <w:pStyle w:val="Prrafodelista"/>
        <w:numPr>
          <w:ilvl w:val="0"/>
          <w:numId w:val="12"/>
        </w:numPr>
        <w:spacing w:before="0" w:after="0" w:line="360" w:lineRule="auto"/>
        <w:contextualSpacing w:val="0"/>
        <w:rPr>
          <w:rFonts w:ascii="Raleway" w:hAnsi="Raleway"/>
          <w:sz w:val="27"/>
          <w:szCs w:val="27"/>
        </w:rPr>
      </w:pPr>
      <w:r w:rsidRPr="00994A7E">
        <w:rPr>
          <w:rFonts w:ascii="Raleway" w:hAnsi="Raleway"/>
          <w:sz w:val="27"/>
          <w:szCs w:val="27"/>
        </w:rPr>
        <w:t>El Decreto impugnado en su artículo 5 Bis introduce prohibiciones, reservas y modificaciones sustantivas en el régimen del litio, sin establecer disposiciones transitorias claras que regulen su aplicación respecto de concesiones previamente otorgadas.</w:t>
      </w:r>
    </w:p>
    <w:p w14:paraId="1C1EB412"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60EED09B" w14:textId="77777777" w:rsidR="008227F7" w:rsidRPr="00994A7E" w:rsidRDefault="008227F7" w:rsidP="00494272">
      <w:pPr>
        <w:pStyle w:val="Prrafodelista"/>
        <w:numPr>
          <w:ilvl w:val="0"/>
          <w:numId w:val="12"/>
        </w:numPr>
        <w:spacing w:before="0" w:after="0" w:line="360" w:lineRule="auto"/>
        <w:contextualSpacing w:val="0"/>
        <w:rPr>
          <w:rFonts w:ascii="Raleway" w:hAnsi="Raleway"/>
          <w:sz w:val="27"/>
          <w:szCs w:val="27"/>
        </w:rPr>
      </w:pPr>
      <w:r w:rsidRPr="00994A7E">
        <w:rPr>
          <w:rFonts w:ascii="Raleway" w:hAnsi="Raleway"/>
          <w:sz w:val="27"/>
          <w:szCs w:val="27"/>
        </w:rPr>
        <w:t>Esta indefinición normativa genera incertidumbre jurídica y rompe la expectativa legítima de estabilidad del marco jurídico en perjuicio de los particulares.</w:t>
      </w:r>
    </w:p>
    <w:p w14:paraId="44C5C1BF" w14:textId="77777777" w:rsidR="008227F7" w:rsidRPr="00994A7E" w:rsidRDefault="008227F7" w:rsidP="008227F7">
      <w:pPr>
        <w:pStyle w:val="Prrafodelista"/>
        <w:spacing w:before="0" w:after="0" w:line="360" w:lineRule="auto"/>
        <w:rPr>
          <w:rFonts w:ascii="Raleway" w:hAnsi="Raleway"/>
          <w:sz w:val="27"/>
          <w:szCs w:val="27"/>
        </w:rPr>
      </w:pPr>
    </w:p>
    <w:p w14:paraId="71A68464" w14:textId="77777777" w:rsidR="008227F7" w:rsidRPr="00994A7E" w:rsidRDefault="008227F7" w:rsidP="00494272">
      <w:pPr>
        <w:pStyle w:val="Prrafodelista"/>
        <w:numPr>
          <w:ilvl w:val="0"/>
          <w:numId w:val="12"/>
        </w:numPr>
        <w:spacing w:before="0" w:after="0" w:line="360" w:lineRule="auto"/>
        <w:contextualSpacing w:val="0"/>
        <w:rPr>
          <w:rFonts w:ascii="Raleway" w:hAnsi="Raleway"/>
          <w:sz w:val="27"/>
          <w:szCs w:val="27"/>
        </w:rPr>
      </w:pPr>
      <w:r w:rsidRPr="00994A7E">
        <w:rPr>
          <w:rFonts w:ascii="Raleway" w:hAnsi="Raleway"/>
          <w:sz w:val="27"/>
          <w:szCs w:val="27"/>
        </w:rPr>
        <w:t>La ausencia de reglas claras sobre el tránsito normativo vulnera la confianza legítima, como manifestación del derecho a la seguridad jurídica y como límite a la arbitrariedad estatal.</w:t>
      </w:r>
    </w:p>
    <w:p w14:paraId="1C31DF86" w14:textId="77777777" w:rsidR="008227F7" w:rsidRPr="00994A7E" w:rsidRDefault="008227F7" w:rsidP="008227F7">
      <w:pPr>
        <w:spacing w:before="0" w:after="0" w:line="360" w:lineRule="auto"/>
        <w:rPr>
          <w:rFonts w:ascii="Raleway" w:hAnsi="Raleway"/>
          <w:sz w:val="27"/>
          <w:szCs w:val="27"/>
        </w:rPr>
      </w:pPr>
    </w:p>
    <w:p w14:paraId="4058E06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t>Trámite y turno.</w:t>
      </w:r>
      <w:r w:rsidRPr="00994A7E">
        <w:rPr>
          <w:rFonts w:ascii="Raleway" w:hAnsi="Raleway"/>
          <w:sz w:val="27"/>
          <w:szCs w:val="27"/>
        </w:rPr>
        <w:t xml:space="preserve"> En proveído de veinticuatro de mayo del dos mil veintidós, el entonces Ministro Presidente de la Suprema Corte de Justicia </w:t>
      </w:r>
      <w:r w:rsidRPr="00994A7E">
        <w:rPr>
          <w:rFonts w:ascii="Raleway" w:hAnsi="Raleway"/>
          <w:sz w:val="27"/>
          <w:szCs w:val="27"/>
        </w:rPr>
        <w:lastRenderedPageBreak/>
        <w:t>de la Nación registró el expediente con el número 78/2022 y turnó el asunto a la Ministra Norma Lucía Piña Hernández para su instrucción.</w:t>
      </w:r>
    </w:p>
    <w:p w14:paraId="2CA6EA7A" w14:textId="77777777" w:rsidR="008227F7" w:rsidRPr="00994A7E" w:rsidRDefault="008227F7" w:rsidP="008227F7">
      <w:pPr>
        <w:pStyle w:val="Prrafo"/>
        <w:spacing w:before="0" w:after="0"/>
        <w:rPr>
          <w:rFonts w:ascii="Raleway" w:hAnsi="Raleway"/>
          <w:sz w:val="27"/>
          <w:szCs w:val="27"/>
        </w:rPr>
      </w:pPr>
    </w:p>
    <w:p w14:paraId="1A7E103B" w14:textId="77777777" w:rsidR="008227F7" w:rsidRPr="00994A7E" w:rsidRDefault="008227F7" w:rsidP="00494272">
      <w:pPr>
        <w:pStyle w:val="Prrafo"/>
        <w:numPr>
          <w:ilvl w:val="0"/>
          <w:numId w:val="3"/>
        </w:numPr>
        <w:spacing w:before="120" w:after="120"/>
        <w:ind w:left="0" w:hanging="567"/>
        <w:rPr>
          <w:rFonts w:ascii="Raleway" w:hAnsi="Raleway"/>
          <w:sz w:val="27"/>
          <w:szCs w:val="27"/>
        </w:rPr>
      </w:pPr>
      <w:r w:rsidRPr="00994A7E">
        <w:rPr>
          <w:rFonts w:ascii="Raleway" w:hAnsi="Raleway"/>
          <w:b/>
          <w:sz w:val="27"/>
          <w:szCs w:val="27"/>
        </w:rPr>
        <w:t xml:space="preserve">Admisión. </w:t>
      </w:r>
      <w:r w:rsidRPr="00994A7E">
        <w:rPr>
          <w:rFonts w:ascii="Raleway" w:hAnsi="Raleway"/>
          <w:sz w:val="27"/>
          <w:szCs w:val="27"/>
        </w:rPr>
        <w:t xml:space="preserve">Por acuerdo de treinta de mayo del dos mil veintidós, la Ministra instructora </w:t>
      </w:r>
      <w:r w:rsidRPr="00994A7E">
        <w:rPr>
          <w:rFonts w:ascii="Raleway" w:hAnsi="Raleway"/>
          <w:bCs/>
          <w:sz w:val="27"/>
          <w:szCs w:val="27"/>
        </w:rPr>
        <w:t xml:space="preserve">admitió a trámite la acción y ordenó dar vista al Congreso de la Unión, al Ejecutivo Federal para efecto de que rindieran los informes respectivos, así como a la Fiscalía General de la República para que formulase lo que a su representación correspondiera. </w:t>
      </w:r>
    </w:p>
    <w:p w14:paraId="71416CF7" w14:textId="77777777" w:rsidR="008227F7" w:rsidRPr="00994A7E" w:rsidRDefault="008227F7" w:rsidP="008227F7">
      <w:pPr>
        <w:pStyle w:val="Prrafodelista"/>
        <w:spacing w:before="0" w:after="0" w:line="360" w:lineRule="auto"/>
        <w:rPr>
          <w:rFonts w:ascii="Raleway" w:hAnsi="Raleway"/>
          <w:sz w:val="27"/>
          <w:szCs w:val="27"/>
        </w:rPr>
      </w:pPr>
    </w:p>
    <w:p w14:paraId="75FE2F25" w14:textId="77777777" w:rsidR="008227F7" w:rsidRPr="00994A7E" w:rsidRDefault="008227F7" w:rsidP="00494272">
      <w:pPr>
        <w:pStyle w:val="Prrafo"/>
        <w:numPr>
          <w:ilvl w:val="0"/>
          <w:numId w:val="3"/>
        </w:numPr>
        <w:spacing w:before="120" w:after="120"/>
        <w:ind w:left="0" w:hanging="567"/>
        <w:rPr>
          <w:rFonts w:ascii="Raleway" w:hAnsi="Raleway"/>
          <w:sz w:val="27"/>
          <w:szCs w:val="27"/>
        </w:rPr>
      </w:pPr>
      <w:bookmarkStart w:id="0" w:name="_Hlk45890844"/>
      <w:r w:rsidRPr="00994A7E">
        <w:rPr>
          <w:rFonts w:ascii="Raleway" w:hAnsi="Raleway"/>
          <w:b/>
          <w:sz w:val="27"/>
          <w:szCs w:val="27"/>
        </w:rPr>
        <w:t>Informe de</w:t>
      </w:r>
      <w:bookmarkEnd w:id="0"/>
      <w:r w:rsidRPr="00994A7E">
        <w:rPr>
          <w:rFonts w:ascii="Raleway" w:hAnsi="Raleway"/>
          <w:b/>
          <w:sz w:val="27"/>
          <w:szCs w:val="27"/>
        </w:rPr>
        <w:t xml:space="preserve"> la Cámara de Senadores.</w:t>
      </w:r>
      <w:r w:rsidRPr="00994A7E">
        <w:rPr>
          <w:rFonts w:ascii="Raleway" w:hAnsi="Raleway"/>
          <w:bCs/>
          <w:sz w:val="27"/>
          <w:szCs w:val="27"/>
        </w:rPr>
        <w:t xml:space="preserve"> El Senado de la República rindió informe en el que sostuvo, sustancialmente, lo siguiente:</w:t>
      </w:r>
    </w:p>
    <w:p w14:paraId="3363A28B" w14:textId="77777777" w:rsidR="008227F7" w:rsidRPr="00994A7E" w:rsidRDefault="008227F7" w:rsidP="008227F7">
      <w:pPr>
        <w:pStyle w:val="Prrafo"/>
        <w:spacing w:before="0" w:after="0"/>
        <w:rPr>
          <w:rFonts w:ascii="Raleway" w:hAnsi="Raleway"/>
          <w:sz w:val="27"/>
          <w:szCs w:val="27"/>
        </w:rPr>
      </w:pPr>
    </w:p>
    <w:p w14:paraId="105F6AF7" w14:textId="77777777" w:rsidR="008227F7" w:rsidRPr="00994A7E" w:rsidRDefault="008227F7" w:rsidP="00494272">
      <w:pPr>
        <w:pStyle w:val="Prrafodelista"/>
        <w:numPr>
          <w:ilvl w:val="0"/>
          <w:numId w:val="13"/>
        </w:numPr>
        <w:spacing w:before="0" w:after="0" w:line="360" w:lineRule="auto"/>
        <w:contextualSpacing w:val="0"/>
        <w:rPr>
          <w:rFonts w:ascii="Raleway" w:hAnsi="Raleway"/>
          <w:b/>
          <w:bCs/>
          <w:sz w:val="27"/>
          <w:szCs w:val="27"/>
        </w:rPr>
      </w:pPr>
      <w:r w:rsidRPr="00994A7E">
        <w:rPr>
          <w:rFonts w:ascii="Raleway" w:hAnsi="Raleway"/>
          <w:b/>
          <w:bCs/>
          <w:sz w:val="27"/>
          <w:szCs w:val="27"/>
        </w:rPr>
        <w:t>Consulta indígena.</w:t>
      </w:r>
    </w:p>
    <w:p w14:paraId="37974F9C" w14:textId="77777777" w:rsidR="008227F7" w:rsidRPr="00994A7E" w:rsidRDefault="008227F7" w:rsidP="00D809C3">
      <w:pPr>
        <w:pStyle w:val="Prrafodelista"/>
        <w:spacing w:before="120" w:after="120" w:line="360" w:lineRule="auto"/>
        <w:contextualSpacing w:val="0"/>
        <w:rPr>
          <w:rFonts w:ascii="Raleway" w:hAnsi="Raleway"/>
          <w:sz w:val="27"/>
          <w:szCs w:val="27"/>
        </w:rPr>
      </w:pPr>
      <w:r w:rsidRPr="00994A7E">
        <w:rPr>
          <w:rFonts w:ascii="Raleway" w:hAnsi="Raleway"/>
          <w:sz w:val="27"/>
          <w:szCs w:val="27"/>
        </w:rPr>
        <w:t>El Decreto no constituye una medida legislativa dirigida específicamente a pueblos indígenas ni regula aspectos propios de su organización social, por lo que no resultaba exigible realizar consulta previa, conforme a la jurisprudencia de esta Suprema Corte. Asimismo, los precedentes interamericanos citados por los accionantes se refieren a concesiones otorgadas en territorios indígenas, supuesto distinto al caso.</w:t>
      </w:r>
    </w:p>
    <w:p w14:paraId="42D5F142" w14:textId="77777777" w:rsidR="008227F7" w:rsidRPr="00994A7E" w:rsidRDefault="008227F7" w:rsidP="008227F7">
      <w:pPr>
        <w:spacing w:before="0" w:after="0" w:line="360" w:lineRule="auto"/>
        <w:rPr>
          <w:rFonts w:ascii="Raleway" w:hAnsi="Raleway"/>
          <w:sz w:val="27"/>
          <w:szCs w:val="27"/>
        </w:rPr>
      </w:pPr>
    </w:p>
    <w:p w14:paraId="249545CC" w14:textId="77777777" w:rsidR="008227F7" w:rsidRPr="00994A7E" w:rsidRDefault="008227F7" w:rsidP="00494272">
      <w:pPr>
        <w:pStyle w:val="Prrafodelista"/>
        <w:numPr>
          <w:ilvl w:val="0"/>
          <w:numId w:val="13"/>
        </w:numPr>
        <w:spacing w:before="0" w:after="0" w:line="360" w:lineRule="auto"/>
        <w:contextualSpacing w:val="0"/>
        <w:rPr>
          <w:rFonts w:ascii="Raleway" w:hAnsi="Raleway"/>
          <w:b/>
          <w:bCs/>
          <w:sz w:val="27"/>
          <w:szCs w:val="27"/>
        </w:rPr>
      </w:pPr>
      <w:r w:rsidRPr="00994A7E">
        <w:rPr>
          <w:rFonts w:ascii="Raleway" w:hAnsi="Raleway"/>
          <w:b/>
          <w:bCs/>
          <w:sz w:val="27"/>
          <w:szCs w:val="27"/>
        </w:rPr>
        <w:t>Área estratégica y organismo público.</w:t>
      </w:r>
    </w:p>
    <w:p w14:paraId="0DA36E44" w14:textId="77777777" w:rsidR="008227F7" w:rsidRPr="00994A7E" w:rsidRDefault="008227F7" w:rsidP="00D809C3">
      <w:pPr>
        <w:pStyle w:val="Prrafodelista"/>
        <w:spacing w:before="120" w:after="120" w:line="360" w:lineRule="auto"/>
        <w:contextualSpacing w:val="0"/>
        <w:rPr>
          <w:rFonts w:ascii="Raleway" w:hAnsi="Raleway"/>
          <w:sz w:val="27"/>
          <w:szCs w:val="27"/>
        </w:rPr>
      </w:pPr>
      <w:r w:rsidRPr="00994A7E">
        <w:rPr>
          <w:rFonts w:ascii="Raleway" w:hAnsi="Raleway"/>
          <w:sz w:val="27"/>
          <w:szCs w:val="27"/>
        </w:rPr>
        <w:t>La Constitución faculta al legislador para determinar, mediante ley, actividades que el Estado puede ejercer de forma exclusiva. En ejercicio de esa atribución, la Ley Minera reservó al Estado las actividades relacionadas con el litio y previó la creación de un organismo público descentralizado para su administración.</w:t>
      </w:r>
    </w:p>
    <w:p w14:paraId="51C9E14C"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48D4FC19" w14:textId="77777777" w:rsidR="008227F7" w:rsidRPr="00994A7E" w:rsidRDefault="008227F7" w:rsidP="00494272">
      <w:pPr>
        <w:pStyle w:val="Prrafodelista"/>
        <w:numPr>
          <w:ilvl w:val="0"/>
          <w:numId w:val="13"/>
        </w:numPr>
        <w:spacing w:before="120" w:after="120" w:line="360" w:lineRule="auto"/>
        <w:contextualSpacing w:val="0"/>
        <w:rPr>
          <w:rFonts w:ascii="Raleway" w:hAnsi="Raleway"/>
          <w:b/>
          <w:bCs/>
          <w:sz w:val="27"/>
          <w:szCs w:val="27"/>
        </w:rPr>
      </w:pPr>
      <w:r w:rsidRPr="00994A7E">
        <w:rPr>
          <w:rFonts w:ascii="Raleway" w:hAnsi="Raleway"/>
          <w:b/>
          <w:bCs/>
          <w:sz w:val="27"/>
          <w:szCs w:val="27"/>
        </w:rPr>
        <w:lastRenderedPageBreak/>
        <w:t>Utilidad pública y reservas mineras.</w:t>
      </w:r>
    </w:p>
    <w:p w14:paraId="2DD81C9B" w14:textId="18AF640C" w:rsidR="008227F7" w:rsidRPr="00994A7E" w:rsidRDefault="008227F7" w:rsidP="009A00F3">
      <w:pPr>
        <w:pStyle w:val="Prrafodelista"/>
        <w:spacing w:before="120" w:after="120" w:line="360" w:lineRule="auto"/>
        <w:contextualSpacing w:val="0"/>
        <w:rPr>
          <w:rFonts w:ascii="Raleway" w:hAnsi="Raleway"/>
          <w:sz w:val="27"/>
          <w:szCs w:val="27"/>
        </w:rPr>
      </w:pPr>
      <w:r w:rsidRPr="00994A7E">
        <w:rPr>
          <w:rFonts w:ascii="Raleway" w:hAnsi="Raleway"/>
          <w:sz w:val="27"/>
          <w:szCs w:val="27"/>
        </w:rPr>
        <w:t>El concepto de utilidad pública debe interpretarse en sentido amplio y puede comprender medidas destinadas a satisfacer necesidades sociales o nacionales, como la transición energética. Asimismo, la facultad para establecer reservas mineras deriva del artículo 27 constitucional y debe interpretarse armónicamente con el resto del orden jurídico.</w:t>
      </w:r>
    </w:p>
    <w:p w14:paraId="56CE31C3" w14:textId="77777777" w:rsidR="008227F7" w:rsidRPr="00994A7E" w:rsidRDefault="008227F7" w:rsidP="009A00F3">
      <w:pPr>
        <w:pStyle w:val="Prrafodelista"/>
        <w:spacing w:before="120" w:after="120" w:line="360" w:lineRule="auto"/>
        <w:contextualSpacing w:val="0"/>
        <w:rPr>
          <w:rFonts w:ascii="Raleway" w:hAnsi="Raleway"/>
          <w:sz w:val="27"/>
          <w:szCs w:val="27"/>
        </w:rPr>
      </w:pPr>
    </w:p>
    <w:p w14:paraId="3F57DC4F" w14:textId="77777777" w:rsidR="008227F7" w:rsidRPr="00994A7E" w:rsidRDefault="008227F7" w:rsidP="00494272">
      <w:pPr>
        <w:pStyle w:val="Prrafodelista"/>
        <w:numPr>
          <w:ilvl w:val="0"/>
          <w:numId w:val="13"/>
        </w:numPr>
        <w:spacing w:before="120" w:after="120" w:line="360" w:lineRule="auto"/>
        <w:contextualSpacing w:val="0"/>
        <w:rPr>
          <w:rFonts w:ascii="Raleway" w:hAnsi="Raleway"/>
          <w:b/>
          <w:bCs/>
          <w:sz w:val="27"/>
          <w:szCs w:val="27"/>
        </w:rPr>
      </w:pPr>
      <w:r w:rsidRPr="00994A7E">
        <w:rPr>
          <w:rFonts w:ascii="Raleway" w:hAnsi="Raleway"/>
          <w:b/>
          <w:bCs/>
          <w:sz w:val="27"/>
          <w:szCs w:val="27"/>
        </w:rPr>
        <w:t>Materia presupuestaria.</w:t>
      </w:r>
    </w:p>
    <w:p w14:paraId="28AB8DB4" w14:textId="77777777" w:rsidR="008227F7" w:rsidRPr="00994A7E" w:rsidRDefault="008227F7" w:rsidP="009A00F3">
      <w:pPr>
        <w:pStyle w:val="Prrafodelista"/>
        <w:spacing w:before="120" w:after="120" w:line="360" w:lineRule="auto"/>
        <w:contextualSpacing w:val="0"/>
        <w:rPr>
          <w:rFonts w:ascii="Raleway" w:hAnsi="Raleway"/>
          <w:sz w:val="27"/>
          <w:szCs w:val="27"/>
        </w:rPr>
      </w:pPr>
      <w:r w:rsidRPr="00994A7E">
        <w:rPr>
          <w:rFonts w:ascii="Raleway" w:hAnsi="Raleway"/>
          <w:sz w:val="27"/>
          <w:szCs w:val="27"/>
        </w:rPr>
        <w:t>La creación del organismo público no implica erogaciones adicionales, pues se financiará mediante movimientos compensados dentro del presupuesto autorizado.</w:t>
      </w:r>
    </w:p>
    <w:p w14:paraId="58680569" w14:textId="77777777" w:rsidR="008227F7" w:rsidRPr="00994A7E" w:rsidRDefault="008227F7" w:rsidP="009A00F3">
      <w:pPr>
        <w:pStyle w:val="Prrafodelista"/>
        <w:spacing w:before="120" w:after="120" w:line="360" w:lineRule="auto"/>
        <w:contextualSpacing w:val="0"/>
        <w:rPr>
          <w:rFonts w:ascii="Raleway" w:hAnsi="Raleway"/>
          <w:sz w:val="27"/>
          <w:szCs w:val="27"/>
        </w:rPr>
      </w:pPr>
    </w:p>
    <w:p w14:paraId="29A470E0" w14:textId="77777777" w:rsidR="008227F7" w:rsidRPr="00994A7E" w:rsidRDefault="008227F7" w:rsidP="00494272">
      <w:pPr>
        <w:pStyle w:val="Prrafodelista"/>
        <w:numPr>
          <w:ilvl w:val="0"/>
          <w:numId w:val="13"/>
        </w:numPr>
        <w:spacing w:before="120" w:after="120" w:line="360" w:lineRule="auto"/>
        <w:contextualSpacing w:val="0"/>
        <w:rPr>
          <w:rFonts w:ascii="Raleway" w:hAnsi="Raleway"/>
          <w:b/>
          <w:bCs/>
          <w:sz w:val="27"/>
          <w:szCs w:val="27"/>
        </w:rPr>
      </w:pPr>
      <w:r w:rsidRPr="00994A7E">
        <w:rPr>
          <w:rFonts w:ascii="Raleway" w:hAnsi="Raleway"/>
          <w:b/>
          <w:bCs/>
          <w:sz w:val="27"/>
          <w:szCs w:val="27"/>
        </w:rPr>
        <w:t>Confianza legítima.</w:t>
      </w:r>
    </w:p>
    <w:p w14:paraId="248B1226" w14:textId="77777777" w:rsidR="008227F7" w:rsidRPr="00994A7E" w:rsidRDefault="008227F7" w:rsidP="009A00F3">
      <w:pPr>
        <w:pStyle w:val="Prrafodelista"/>
        <w:spacing w:before="120" w:after="120" w:line="360" w:lineRule="auto"/>
        <w:contextualSpacing w:val="0"/>
        <w:rPr>
          <w:rFonts w:ascii="Raleway" w:hAnsi="Raleway"/>
          <w:sz w:val="27"/>
          <w:szCs w:val="27"/>
        </w:rPr>
      </w:pPr>
      <w:r w:rsidRPr="00994A7E">
        <w:rPr>
          <w:rFonts w:ascii="Raleway" w:hAnsi="Raleway"/>
          <w:sz w:val="27"/>
          <w:szCs w:val="27"/>
        </w:rPr>
        <w:t>Tratándose de actos legislativos, este principio debe analizarse desde la perspectiva de irretroactividad normativa, sin que sea posible proteger meras expectativas frente a modificaciones del modelo económico.</w:t>
      </w:r>
    </w:p>
    <w:p w14:paraId="06440E4E" w14:textId="77777777" w:rsidR="008227F7" w:rsidRPr="00994A7E" w:rsidRDefault="008227F7" w:rsidP="009A00F3">
      <w:pPr>
        <w:spacing w:before="120" w:after="120" w:line="360" w:lineRule="auto"/>
        <w:rPr>
          <w:rFonts w:ascii="Raleway" w:hAnsi="Raleway"/>
          <w:sz w:val="27"/>
          <w:szCs w:val="27"/>
        </w:rPr>
      </w:pPr>
    </w:p>
    <w:p w14:paraId="7BE57949" w14:textId="77777777" w:rsidR="008227F7" w:rsidRDefault="008227F7" w:rsidP="00494272">
      <w:pPr>
        <w:pStyle w:val="Prrafo"/>
        <w:numPr>
          <w:ilvl w:val="0"/>
          <w:numId w:val="3"/>
        </w:numPr>
        <w:spacing w:before="120" w:after="120"/>
        <w:ind w:left="0" w:hanging="567"/>
        <w:rPr>
          <w:rFonts w:ascii="Raleway" w:hAnsi="Raleway"/>
          <w:sz w:val="27"/>
          <w:szCs w:val="27"/>
        </w:rPr>
      </w:pPr>
      <w:bookmarkStart w:id="1" w:name="_Hlk45890854"/>
      <w:r w:rsidRPr="00994A7E">
        <w:rPr>
          <w:rFonts w:ascii="Raleway" w:hAnsi="Raleway"/>
          <w:b/>
          <w:sz w:val="27"/>
          <w:szCs w:val="27"/>
        </w:rPr>
        <w:t>Informe del Ejecutivo Federal.</w:t>
      </w:r>
      <w:r w:rsidRPr="00994A7E">
        <w:rPr>
          <w:rFonts w:ascii="Raleway" w:hAnsi="Raleway"/>
          <w:sz w:val="27"/>
          <w:szCs w:val="27"/>
        </w:rPr>
        <w:t xml:space="preserve"> El Ejecutivo Federal rindió informe en el que argumentó, en síntesis: </w:t>
      </w:r>
    </w:p>
    <w:p w14:paraId="2D6AD324" w14:textId="77777777" w:rsidR="008227F7" w:rsidRPr="00994A7E" w:rsidRDefault="008227F7" w:rsidP="009A00F3">
      <w:pPr>
        <w:pStyle w:val="Prrafo"/>
        <w:spacing w:before="120" w:after="120"/>
        <w:rPr>
          <w:rFonts w:ascii="Raleway" w:hAnsi="Raleway"/>
          <w:sz w:val="27"/>
          <w:szCs w:val="27"/>
        </w:rPr>
      </w:pPr>
    </w:p>
    <w:p w14:paraId="7632DC06" w14:textId="77777777" w:rsidR="008227F7" w:rsidRPr="00994A7E" w:rsidRDefault="008227F7" w:rsidP="00494272">
      <w:pPr>
        <w:pStyle w:val="Prrafodelista"/>
        <w:numPr>
          <w:ilvl w:val="0"/>
          <w:numId w:val="14"/>
        </w:numPr>
        <w:spacing w:before="120" w:after="120" w:line="360" w:lineRule="auto"/>
        <w:contextualSpacing w:val="0"/>
        <w:rPr>
          <w:rFonts w:ascii="Raleway" w:hAnsi="Raleway"/>
          <w:b/>
          <w:bCs/>
          <w:sz w:val="27"/>
          <w:szCs w:val="27"/>
        </w:rPr>
      </w:pPr>
      <w:r w:rsidRPr="00994A7E">
        <w:rPr>
          <w:rFonts w:ascii="Raleway" w:hAnsi="Raleway"/>
          <w:b/>
          <w:bCs/>
          <w:sz w:val="27"/>
          <w:szCs w:val="27"/>
        </w:rPr>
        <w:t>Consulta indígena.</w:t>
      </w:r>
    </w:p>
    <w:p w14:paraId="182FCB1E" w14:textId="77777777" w:rsidR="008227F7" w:rsidRPr="00994A7E" w:rsidRDefault="008227F7" w:rsidP="009A00F3">
      <w:pPr>
        <w:pStyle w:val="Prrafodelista"/>
        <w:spacing w:before="120" w:after="120" w:line="360" w:lineRule="auto"/>
        <w:contextualSpacing w:val="0"/>
        <w:rPr>
          <w:rFonts w:ascii="Raleway" w:hAnsi="Raleway"/>
          <w:sz w:val="27"/>
          <w:szCs w:val="27"/>
        </w:rPr>
      </w:pPr>
      <w:r w:rsidRPr="00994A7E">
        <w:rPr>
          <w:rFonts w:ascii="Raleway" w:hAnsi="Raleway"/>
          <w:sz w:val="27"/>
          <w:szCs w:val="27"/>
        </w:rPr>
        <w:t>La consulta previa solo es exigible cuando existe una afectación directa a comunidades indígenas. El Decreto es de naturaleza heteroaplicativa y su eventual impacto dependerá de actos administrativos posteriores, por lo que no era obligatoria la consulta legislativa.</w:t>
      </w:r>
    </w:p>
    <w:p w14:paraId="3A28B62B" w14:textId="77777777" w:rsidR="008227F7" w:rsidRPr="00994A7E" w:rsidRDefault="008227F7" w:rsidP="00494272">
      <w:pPr>
        <w:pStyle w:val="Prrafodelista"/>
        <w:numPr>
          <w:ilvl w:val="0"/>
          <w:numId w:val="14"/>
        </w:numPr>
        <w:spacing w:before="0" w:after="0" w:line="360" w:lineRule="auto"/>
        <w:contextualSpacing w:val="0"/>
        <w:rPr>
          <w:rFonts w:ascii="Raleway" w:hAnsi="Raleway"/>
          <w:b/>
          <w:bCs/>
          <w:sz w:val="27"/>
          <w:szCs w:val="27"/>
        </w:rPr>
      </w:pPr>
      <w:r w:rsidRPr="00994A7E">
        <w:rPr>
          <w:rFonts w:ascii="Raleway" w:hAnsi="Raleway"/>
          <w:b/>
          <w:bCs/>
          <w:sz w:val="27"/>
          <w:szCs w:val="27"/>
        </w:rPr>
        <w:lastRenderedPageBreak/>
        <w:t>Régimen constitucional del litio.</w:t>
      </w:r>
    </w:p>
    <w:p w14:paraId="46E157C7"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El artículo 28 constitucional permite que la ley determine áreas estratégicas. En ese contexto, la reforma es válida y faculta al Ejecutivo para crear el organismo público descentralizado correspondiente.</w:t>
      </w:r>
    </w:p>
    <w:p w14:paraId="4DF1440F"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3BCCDA54" w14:textId="77777777" w:rsidR="008227F7" w:rsidRPr="00994A7E" w:rsidRDefault="008227F7" w:rsidP="00494272">
      <w:pPr>
        <w:pStyle w:val="Prrafo"/>
        <w:numPr>
          <w:ilvl w:val="0"/>
          <w:numId w:val="14"/>
        </w:numPr>
        <w:spacing w:before="0" w:after="0"/>
        <w:rPr>
          <w:rFonts w:ascii="Raleway" w:hAnsi="Raleway"/>
          <w:b/>
          <w:bCs/>
          <w:sz w:val="27"/>
          <w:szCs w:val="27"/>
        </w:rPr>
      </w:pPr>
      <w:r w:rsidRPr="00994A7E">
        <w:rPr>
          <w:rFonts w:ascii="Raleway" w:hAnsi="Raleway"/>
          <w:b/>
          <w:bCs/>
          <w:sz w:val="27"/>
          <w:szCs w:val="27"/>
        </w:rPr>
        <w:t>Utilidad pública y concesiones.</w:t>
      </w:r>
    </w:p>
    <w:p w14:paraId="3CE08B0D" w14:textId="77777777" w:rsidR="008227F7" w:rsidRPr="00994A7E" w:rsidRDefault="008227F7" w:rsidP="008227F7">
      <w:pPr>
        <w:pStyle w:val="Prrafo"/>
        <w:spacing w:before="0" w:after="0"/>
        <w:ind w:left="720"/>
        <w:rPr>
          <w:rFonts w:ascii="Raleway" w:hAnsi="Raleway"/>
          <w:sz w:val="27"/>
          <w:szCs w:val="27"/>
        </w:rPr>
      </w:pPr>
      <w:r w:rsidRPr="00994A7E">
        <w:rPr>
          <w:rFonts w:ascii="Raleway" w:hAnsi="Raleway"/>
          <w:sz w:val="27"/>
          <w:szCs w:val="27"/>
        </w:rPr>
        <w:t xml:space="preserve">La declaratoria de utilidad pública y la eventual revocación de concesiones se sujetan a los procedimientos previstos en la Ley General de Bienes Nacionales, lo que garantiza el derecho de defensa de los particulares. Mientras que el artículo 5 Bis de la Ley de Minería no resulta violatorio del principio de seguridad jurídica por considerar zonas de reserva mineras aquellas en que haya yacimientos de litio. La declaración se hará siempre y cuando se satisfagan los requisitos establecidos en la ley y su reglamento, y contando con la colaboración del Servicio Geológico Mexicano, que auxiliará al Organismo Público Descentralizado en la ubicación y reconocimiento de las áreas geológicas en las que existan reservas probables de litio. </w:t>
      </w:r>
    </w:p>
    <w:p w14:paraId="0D4356F4" w14:textId="77777777" w:rsidR="008227F7" w:rsidRPr="00994A7E" w:rsidRDefault="008227F7" w:rsidP="008227F7">
      <w:pPr>
        <w:pStyle w:val="Prrafo"/>
        <w:spacing w:before="0" w:after="0"/>
        <w:ind w:left="720"/>
        <w:rPr>
          <w:rFonts w:ascii="Raleway" w:hAnsi="Raleway"/>
          <w:sz w:val="27"/>
          <w:szCs w:val="27"/>
        </w:rPr>
      </w:pPr>
    </w:p>
    <w:p w14:paraId="6B6B9153" w14:textId="77777777" w:rsidR="008227F7" w:rsidRPr="00994A7E" w:rsidRDefault="008227F7" w:rsidP="00494272">
      <w:pPr>
        <w:pStyle w:val="Prrafodelista"/>
        <w:numPr>
          <w:ilvl w:val="0"/>
          <w:numId w:val="14"/>
        </w:numPr>
        <w:spacing w:before="0" w:after="0" w:line="360" w:lineRule="auto"/>
        <w:contextualSpacing w:val="0"/>
        <w:rPr>
          <w:rFonts w:ascii="Raleway" w:hAnsi="Raleway"/>
          <w:b/>
          <w:bCs/>
          <w:sz w:val="27"/>
          <w:szCs w:val="27"/>
        </w:rPr>
      </w:pPr>
      <w:r w:rsidRPr="00994A7E">
        <w:rPr>
          <w:rFonts w:ascii="Raleway" w:hAnsi="Raleway"/>
          <w:b/>
          <w:bCs/>
          <w:sz w:val="27"/>
          <w:szCs w:val="27"/>
        </w:rPr>
        <w:t>Aspectos presupuestarios.</w:t>
      </w:r>
    </w:p>
    <w:p w14:paraId="18B31052"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La creación del organismo no genera gasto adicional, ya que se financiará mediante ajustes presupuestarios autorizados.</w:t>
      </w:r>
    </w:p>
    <w:p w14:paraId="2885D44F"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312EAF38" w14:textId="77777777" w:rsidR="008227F7" w:rsidRPr="00994A7E" w:rsidRDefault="008227F7" w:rsidP="00494272">
      <w:pPr>
        <w:pStyle w:val="Prrafodelista"/>
        <w:numPr>
          <w:ilvl w:val="0"/>
          <w:numId w:val="14"/>
        </w:numPr>
        <w:spacing w:before="0" w:after="0" w:line="360" w:lineRule="auto"/>
        <w:contextualSpacing w:val="0"/>
        <w:rPr>
          <w:rFonts w:ascii="Raleway" w:hAnsi="Raleway"/>
          <w:b/>
          <w:bCs/>
          <w:sz w:val="27"/>
          <w:szCs w:val="27"/>
        </w:rPr>
      </w:pPr>
      <w:r w:rsidRPr="00994A7E">
        <w:rPr>
          <w:rFonts w:ascii="Raleway" w:hAnsi="Raleway"/>
          <w:b/>
          <w:bCs/>
          <w:sz w:val="27"/>
          <w:szCs w:val="27"/>
        </w:rPr>
        <w:t>Confianza legítima.</w:t>
      </w:r>
    </w:p>
    <w:p w14:paraId="6704CCFC"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La reforma no afecta derechos adquiridos, pues las concesiones mineras no confieren derechos reales sobre bienes del dominio público y deben ajustarse a las modificaciones normativas que establezca el Estado.</w:t>
      </w:r>
    </w:p>
    <w:p w14:paraId="3E38D0FD"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24B653E7" w14:textId="77777777" w:rsidR="008227F7" w:rsidRPr="00994A7E" w:rsidRDefault="008227F7" w:rsidP="00494272">
      <w:pPr>
        <w:pStyle w:val="Prrafodelista"/>
        <w:numPr>
          <w:ilvl w:val="0"/>
          <w:numId w:val="3"/>
        </w:numPr>
        <w:spacing w:before="0" w:after="0" w:line="360" w:lineRule="auto"/>
        <w:ind w:left="0" w:hanging="567"/>
        <w:contextualSpacing w:val="0"/>
        <w:rPr>
          <w:rFonts w:ascii="Raleway" w:hAnsi="Raleway"/>
          <w:b/>
          <w:bCs/>
          <w:sz w:val="27"/>
          <w:szCs w:val="27"/>
        </w:rPr>
      </w:pPr>
      <w:r w:rsidRPr="00994A7E">
        <w:rPr>
          <w:rFonts w:ascii="Raleway" w:hAnsi="Raleway"/>
          <w:b/>
          <w:bCs/>
          <w:sz w:val="27"/>
          <w:szCs w:val="27"/>
        </w:rPr>
        <w:lastRenderedPageBreak/>
        <w:t xml:space="preserve">Informe de la Cámara de Diputados. </w:t>
      </w:r>
      <w:r w:rsidRPr="00994A7E">
        <w:rPr>
          <w:rFonts w:ascii="Raleway" w:hAnsi="Raleway"/>
          <w:sz w:val="27"/>
          <w:szCs w:val="27"/>
        </w:rPr>
        <w:t xml:space="preserve">La Cámara de Diputados rindió informe en el que señaló, esencialmente: </w:t>
      </w:r>
    </w:p>
    <w:p w14:paraId="01BD7E2B" w14:textId="77777777" w:rsidR="008227F7" w:rsidRPr="00994A7E" w:rsidRDefault="008227F7" w:rsidP="008227F7">
      <w:pPr>
        <w:pStyle w:val="Prrafodelista"/>
        <w:spacing w:before="0" w:after="0" w:line="360" w:lineRule="auto"/>
        <w:ind w:left="0"/>
        <w:contextualSpacing w:val="0"/>
        <w:rPr>
          <w:rFonts w:ascii="Raleway" w:hAnsi="Raleway"/>
          <w:b/>
          <w:bCs/>
          <w:sz w:val="27"/>
          <w:szCs w:val="27"/>
        </w:rPr>
      </w:pPr>
    </w:p>
    <w:p w14:paraId="5D9DE267" w14:textId="77777777" w:rsidR="008227F7" w:rsidRPr="00994A7E" w:rsidRDefault="008227F7" w:rsidP="00494272">
      <w:pPr>
        <w:pStyle w:val="Prrafodelista"/>
        <w:numPr>
          <w:ilvl w:val="0"/>
          <w:numId w:val="15"/>
        </w:numPr>
        <w:spacing w:before="0" w:after="0" w:line="360" w:lineRule="auto"/>
        <w:contextualSpacing w:val="0"/>
        <w:rPr>
          <w:rFonts w:ascii="Raleway" w:hAnsi="Raleway"/>
          <w:b/>
          <w:bCs/>
          <w:sz w:val="27"/>
          <w:szCs w:val="27"/>
        </w:rPr>
      </w:pPr>
      <w:r w:rsidRPr="00994A7E">
        <w:rPr>
          <w:rFonts w:ascii="Raleway" w:hAnsi="Raleway"/>
          <w:b/>
          <w:bCs/>
          <w:sz w:val="27"/>
          <w:szCs w:val="27"/>
        </w:rPr>
        <w:t>Regularidad del procedimiento legislativo y consulta indígena.</w:t>
      </w:r>
    </w:p>
    <w:p w14:paraId="0D037EC3"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El Decreto fue aprobado conforme a los artículos 71 y 72 constitucionales. La consulta indígena no era exigible, pues la reforma no genera afectaciones directas a dichas comunidades.</w:t>
      </w:r>
    </w:p>
    <w:p w14:paraId="5A22B430"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00677BDE" w14:textId="77777777" w:rsidR="008227F7" w:rsidRPr="00994A7E" w:rsidRDefault="008227F7" w:rsidP="00494272">
      <w:pPr>
        <w:pStyle w:val="Prrafodelista"/>
        <w:numPr>
          <w:ilvl w:val="0"/>
          <w:numId w:val="15"/>
        </w:numPr>
        <w:spacing w:before="0" w:after="0" w:line="360" w:lineRule="auto"/>
        <w:contextualSpacing w:val="0"/>
        <w:rPr>
          <w:rFonts w:ascii="Raleway" w:hAnsi="Raleway"/>
          <w:b/>
          <w:bCs/>
          <w:sz w:val="27"/>
          <w:szCs w:val="27"/>
        </w:rPr>
      </w:pPr>
      <w:r w:rsidRPr="00994A7E">
        <w:rPr>
          <w:rFonts w:ascii="Raleway" w:hAnsi="Raleway"/>
          <w:b/>
          <w:bCs/>
          <w:sz w:val="27"/>
          <w:szCs w:val="27"/>
        </w:rPr>
        <w:t>Compatibilidad con el régimen constitucional.</w:t>
      </w:r>
    </w:p>
    <w:p w14:paraId="1D07B2BE"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La Constitución faculta al legislador para establecer áreas estratégicas mediante ley. En ese marco, el Decreto reconoce al litio como recurso estratégico y prevé el organismo encargado de su administración.</w:t>
      </w:r>
    </w:p>
    <w:p w14:paraId="4B60D441"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5CBB9070" w14:textId="77777777" w:rsidR="008227F7" w:rsidRPr="00994A7E" w:rsidRDefault="008227F7" w:rsidP="00494272">
      <w:pPr>
        <w:pStyle w:val="Prrafodelista"/>
        <w:numPr>
          <w:ilvl w:val="0"/>
          <w:numId w:val="15"/>
        </w:numPr>
        <w:spacing w:before="0" w:after="0" w:line="360" w:lineRule="auto"/>
        <w:contextualSpacing w:val="0"/>
        <w:rPr>
          <w:rFonts w:ascii="Raleway" w:hAnsi="Raleway"/>
          <w:b/>
          <w:bCs/>
          <w:sz w:val="27"/>
          <w:szCs w:val="27"/>
        </w:rPr>
      </w:pPr>
      <w:r w:rsidRPr="00994A7E">
        <w:rPr>
          <w:rFonts w:ascii="Raleway" w:hAnsi="Raleway"/>
          <w:b/>
          <w:bCs/>
          <w:sz w:val="27"/>
          <w:szCs w:val="27"/>
        </w:rPr>
        <w:t>Legalidad y utilidad pública.</w:t>
      </w:r>
    </w:p>
    <w:p w14:paraId="22A0F5D3"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El Decreto cuenta con fundamento constitucional y responde a necesidades sociales relevantes. No existe antinomia con la Ley de Expropiación, pues la utilidad pública puede desarrollarse mediante leyes especiales.</w:t>
      </w:r>
    </w:p>
    <w:p w14:paraId="14037107"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6313D70F" w14:textId="77777777" w:rsidR="008227F7" w:rsidRPr="00994A7E" w:rsidRDefault="008227F7" w:rsidP="00494272">
      <w:pPr>
        <w:pStyle w:val="Prrafodelista"/>
        <w:numPr>
          <w:ilvl w:val="0"/>
          <w:numId w:val="15"/>
        </w:numPr>
        <w:spacing w:before="0" w:after="0" w:line="360" w:lineRule="auto"/>
        <w:contextualSpacing w:val="0"/>
        <w:rPr>
          <w:rFonts w:ascii="Raleway" w:hAnsi="Raleway"/>
          <w:b/>
          <w:bCs/>
          <w:sz w:val="27"/>
          <w:szCs w:val="27"/>
        </w:rPr>
      </w:pPr>
      <w:r w:rsidRPr="00994A7E">
        <w:rPr>
          <w:rFonts w:ascii="Raleway" w:hAnsi="Raleway"/>
          <w:b/>
          <w:bCs/>
          <w:sz w:val="27"/>
          <w:szCs w:val="27"/>
        </w:rPr>
        <w:t>Materia presupuestaria.</w:t>
      </w:r>
    </w:p>
    <w:p w14:paraId="0B2E392A"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La creación del organismo no implica ampliaciones presupuestarias, sino ajustes dentro del gasto autorizado.</w:t>
      </w:r>
    </w:p>
    <w:p w14:paraId="0753A427"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2ECD1FDF" w14:textId="77777777" w:rsidR="008227F7" w:rsidRPr="00994A7E" w:rsidRDefault="008227F7" w:rsidP="00494272">
      <w:pPr>
        <w:pStyle w:val="Prrafodelista"/>
        <w:numPr>
          <w:ilvl w:val="0"/>
          <w:numId w:val="15"/>
        </w:numPr>
        <w:spacing w:before="0" w:after="0" w:line="360" w:lineRule="auto"/>
        <w:contextualSpacing w:val="0"/>
        <w:rPr>
          <w:rFonts w:ascii="Raleway" w:hAnsi="Raleway"/>
          <w:b/>
          <w:bCs/>
          <w:sz w:val="27"/>
          <w:szCs w:val="27"/>
        </w:rPr>
      </w:pPr>
      <w:r w:rsidRPr="00994A7E">
        <w:rPr>
          <w:rFonts w:ascii="Raleway" w:hAnsi="Raleway"/>
          <w:b/>
          <w:bCs/>
          <w:sz w:val="27"/>
          <w:szCs w:val="27"/>
        </w:rPr>
        <w:t>Confianza legítima</w:t>
      </w:r>
    </w:p>
    <w:p w14:paraId="0E4C6E3B" w14:textId="77777777" w:rsidR="008227F7" w:rsidRPr="00994A7E" w:rsidRDefault="008227F7" w:rsidP="008227F7">
      <w:pPr>
        <w:pStyle w:val="Prrafodelista"/>
        <w:spacing w:before="0" w:after="0" w:line="360" w:lineRule="auto"/>
        <w:contextualSpacing w:val="0"/>
        <w:rPr>
          <w:rFonts w:ascii="Raleway" w:hAnsi="Raleway"/>
          <w:sz w:val="27"/>
          <w:szCs w:val="27"/>
        </w:rPr>
      </w:pPr>
      <w:r w:rsidRPr="00994A7E">
        <w:rPr>
          <w:rFonts w:ascii="Raleway" w:hAnsi="Raleway"/>
          <w:sz w:val="27"/>
          <w:szCs w:val="27"/>
        </w:rPr>
        <w:t>Las reformas responden a facultades constitucionales del Estado para regular sectores estratégicos, por lo que no generan violación a dicho principio.</w:t>
      </w:r>
    </w:p>
    <w:p w14:paraId="252D7419"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5BCBB26E" w14:textId="77777777" w:rsidR="008227F7" w:rsidRPr="00994A7E" w:rsidRDefault="008227F7" w:rsidP="00494272">
      <w:pPr>
        <w:pStyle w:val="Prrafodelista"/>
        <w:numPr>
          <w:ilvl w:val="0"/>
          <w:numId w:val="3"/>
        </w:numPr>
        <w:spacing w:before="0" w:after="0" w:line="360" w:lineRule="auto"/>
        <w:ind w:left="0" w:hanging="567"/>
        <w:contextualSpacing w:val="0"/>
        <w:rPr>
          <w:rFonts w:ascii="Raleway" w:hAnsi="Raleway"/>
          <w:b/>
          <w:bCs/>
          <w:sz w:val="27"/>
          <w:szCs w:val="27"/>
        </w:rPr>
      </w:pPr>
      <w:r w:rsidRPr="00994A7E">
        <w:rPr>
          <w:rFonts w:ascii="Raleway" w:hAnsi="Raleway"/>
          <w:b/>
          <w:bCs/>
          <w:sz w:val="27"/>
          <w:szCs w:val="27"/>
        </w:rPr>
        <w:t>Pedimento del Fiscal General de la República</w:t>
      </w:r>
      <w:r w:rsidRPr="00994A7E">
        <w:rPr>
          <w:rFonts w:ascii="Raleway" w:hAnsi="Raleway"/>
          <w:sz w:val="27"/>
          <w:szCs w:val="27"/>
        </w:rPr>
        <w:t>. El fiscal de la federación no formuló manifestación alguna o pedimento.</w:t>
      </w:r>
    </w:p>
    <w:bookmarkEnd w:id="1"/>
    <w:p w14:paraId="14D8357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lastRenderedPageBreak/>
        <w:t>Cierre de la instrucción.</w:t>
      </w:r>
      <w:r w:rsidRPr="00994A7E">
        <w:rPr>
          <w:rFonts w:ascii="Raleway" w:hAnsi="Raleway"/>
          <w:sz w:val="27"/>
          <w:szCs w:val="27"/>
        </w:rPr>
        <w:t xml:space="preserve"> </w:t>
      </w:r>
      <w:bookmarkStart w:id="2" w:name="_Hlk166588058"/>
      <w:r w:rsidRPr="00994A7E">
        <w:rPr>
          <w:rFonts w:ascii="Raleway" w:hAnsi="Raleway"/>
          <w:sz w:val="27"/>
          <w:szCs w:val="27"/>
        </w:rPr>
        <w:t>Recibidos los informes de las autoridades, formulados los alegatos respectivos de las partes y encontrándose debidamente instruido el procedimiento</w:t>
      </w:r>
      <w:bookmarkEnd w:id="2"/>
      <w:r w:rsidRPr="00994A7E">
        <w:rPr>
          <w:rFonts w:ascii="Raleway" w:hAnsi="Raleway"/>
          <w:sz w:val="27"/>
          <w:szCs w:val="27"/>
        </w:rPr>
        <w:t>, mediante acuerdo de catorce de julio del dos mil veintidós, se determinó el cierre de instrucción del asunto a efecto de elaborar el proyecto de resolución correspondiente.</w:t>
      </w:r>
    </w:p>
    <w:p w14:paraId="45886FD2" w14:textId="77777777" w:rsidR="008227F7" w:rsidRPr="00994A7E" w:rsidRDefault="008227F7" w:rsidP="008227F7">
      <w:pPr>
        <w:pStyle w:val="Prrafodelista"/>
        <w:spacing w:before="0" w:after="0" w:line="360" w:lineRule="auto"/>
        <w:rPr>
          <w:rFonts w:ascii="Raleway" w:hAnsi="Raleway"/>
          <w:sz w:val="27"/>
          <w:szCs w:val="27"/>
        </w:rPr>
      </w:pPr>
    </w:p>
    <w:p w14:paraId="1E36B7B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t xml:space="preserve">Primer returno. </w:t>
      </w:r>
      <w:r w:rsidRPr="00994A7E">
        <w:rPr>
          <w:rFonts w:ascii="Raleway" w:hAnsi="Raleway"/>
          <w:bCs/>
          <w:sz w:val="27"/>
          <w:szCs w:val="27"/>
        </w:rPr>
        <w:t>Por auto de dos de enero del dos mil veintitrés y como resultado de la elección de la Ministra instructora como Presidenta de esta Suprema Corte, el asunto fue returnado al entonces Ministro Arturo Zaldívar Lelo de Larrea para la elaboración del proyecto respectivo.</w:t>
      </w:r>
    </w:p>
    <w:p w14:paraId="34329497" w14:textId="77777777" w:rsidR="008227F7" w:rsidRPr="00994A7E" w:rsidRDefault="008227F7" w:rsidP="008227F7">
      <w:pPr>
        <w:pStyle w:val="Prrafodelista"/>
        <w:spacing w:before="0" w:after="0" w:line="360" w:lineRule="auto"/>
        <w:rPr>
          <w:rFonts w:ascii="Raleway" w:hAnsi="Raleway"/>
          <w:sz w:val="27"/>
          <w:szCs w:val="27"/>
        </w:rPr>
      </w:pPr>
    </w:p>
    <w:p w14:paraId="137B25AC" w14:textId="1B9DDA52"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t xml:space="preserve">Segundo returno. </w:t>
      </w:r>
      <w:r w:rsidRPr="00994A7E">
        <w:rPr>
          <w:rFonts w:ascii="Raleway" w:hAnsi="Raleway"/>
          <w:bCs/>
          <w:sz w:val="27"/>
          <w:szCs w:val="27"/>
        </w:rPr>
        <w:t>En proveído de uno de diciembre siguiente, se ordenó returnar los asuntos de la ponencia del entonces Ministro Arturo Zaldívar Lelo de Larrea por estricto decan</w:t>
      </w:r>
      <w:r w:rsidR="003B25E8">
        <w:rPr>
          <w:rFonts w:ascii="Raleway" w:hAnsi="Raleway"/>
          <w:bCs/>
          <w:sz w:val="27"/>
          <w:szCs w:val="27"/>
        </w:rPr>
        <w:t>a</w:t>
      </w:r>
      <w:r w:rsidRPr="00994A7E">
        <w:rPr>
          <w:rFonts w:ascii="Raleway" w:hAnsi="Raleway"/>
          <w:bCs/>
          <w:sz w:val="27"/>
          <w:szCs w:val="27"/>
        </w:rPr>
        <w:t>to entre las Ministras y Ministros que integraban el Tribunal Pleno. En consecuencia, el presente expediente fue turnado al ahora Ministro en retiro Alfredo Gutiérrez Ortiz Mena.</w:t>
      </w:r>
    </w:p>
    <w:p w14:paraId="7660EF87" w14:textId="77777777" w:rsidR="008227F7" w:rsidRPr="00994A7E" w:rsidRDefault="008227F7" w:rsidP="008227F7">
      <w:pPr>
        <w:pStyle w:val="Prrafodelista"/>
        <w:spacing w:before="0" w:after="0" w:line="360" w:lineRule="auto"/>
        <w:rPr>
          <w:rFonts w:ascii="Raleway" w:hAnsi="Raleway"/>
          <w:sz w:val="27"/>
          <w:szCs w:val="27"/>
        </w:rPr>
      </w:pPr>
    </w:p>
    <w:p w14:paraId="7FD2092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b/>
          <w:sz w:val="27"/>
          <w:szCs w:val="27"/>
        </w:rPr>
        <w:t>Tercer returno.</w:t>
      </w:r>
      <w:r w:rsidRPr="00994A7E">
        <w:rPr>
          <w:rFonts w:ascii="Raleway" w:hAnsi="Raleway"/>
          <w:sz w:val="27"/>
          <w:szCs w:val="27"/>
        </w:rPr>
        <w:t xml:space="preserve"> Con motivo de la nueva integración de esta Suprema Corte de Justicia de la Nación, por auto de cuatro de septiembre del dos mil veinticinco, se turnó el asunto a la Ministra Sara Irene Herrerías Guerra, </w:t>
      </w:r>
      <w:r w:rsidRPr="00994A7E">
        <w:rPr>
          <w:rFonts w:ascii="Raleway" w:hAnsi="Raleway"/>
          <w:bCs/>
          <w:sz w:val="27"/>
          <w:szCs w:val="27"/>
        </w:rPr>
        <w:t>para que continue como instructora del procedimiento y elabore el proyecto de resolución respectivo.</w:t>
      </w:r>
    </w:p>
    <w:p w14:paraId="37B5E16E" w14:textId="77777777" w:rsidR="008227F7" w:rsidRPr="00994A7E" w:rsidRDefault="008227F7" w:rsidP="008227F7">
      <w:pPr>
        <w:pStyle w:val="Prrafodelista"/>
        <w:spacing w:before="0" w:after="0" w:line="360" w:lineRule="auto"/>
        <w:rPr>
          <w:rFonts w:ascii="Raleway" w:hAnsi="Raleway"/>
          <w:sz w:val="27"/>
          <w:szCs w:val="27"/>
        </w:rPr>
      </w:pPr>
    </w:p>
    <w:p w14:paraId="5795FEB8"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t xml:space="preserve"> COMPETENCIA</w:t>
      </w:r>
    </w:p>
    <w:p w14:paraId="3059B6CE" w14:textId="77777777" w:rsidR="008227F7" w:rsidRPr="00994A7E" w:rsidRDefault="008227F7" w:rsidP="008227F7">
      <w:pPr>
        <w:spacing w:before="0" w:after="0" w:line="360" w:lineRule="auto"/>
        <w:rPr>
          <w:rFonts w:ascii="Raleway" w:hAnsi="Raleway"/>
          <w:sz w:val="27"/>
          <w:szCs w:val="27"/>
        </w:rPr>
      </w:pPr>
    </w:p>
    <w:p w14:paraId="7CC6CE21" w14:textId="15F161FB"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Este Tribunal Pleno de la Suprema Corte de Justicia de la Nación es competente para resolver la presente acción de inconstitucionalidad, de conformidad con lo dispuesto en los artículos 105, fracción II, inciso b), de </w:t>
      </w:r>
      <w:r w:rsidRPr="00994A7E">
        <w:rPr>
          <w:rFonts w:ascii="Raleway" w:hAnsi="Raleway"/>
          <w:sz w:val="27"/>
          <w:szCs w:val="27"/>
        </w:rPr>
        <w:lastRenderedPageBreak/>
        <w:t>la Constitución Política de los Estados Unidos Mexicanos;</w:t>
      </w:r>
      <w:r w:rsidRPr="00994A7E">
        <w:rPr>
          <w:rStyle w:val="Refdenotaalpie"/>
          <w:rFonts w:ascii="Raleway" w:hAnsi="Raleway"/>
          <w:sz w:val="27"/>
          <w:szCs w:val="27"/>
        </w:rPr>
        <w:footnoteReference w:id="3"/>
      </w:r>
      <w:r w:rsidRPr="00994A7E">
        <w:rPr>
          <w:rFonts w:ascii="Raleway" w:hAnsi="Raleway"/>
          <w:sz w:val="27"/>
          <w:szCs w:val="27"/>
        </w:rPr>
        <w:t xml:space="preserve"> 1° de la Ley Reglamentaria de las fracciones I y II del propio artículo 105 constitucional (en adelante ley reglamentaria);</w:t>
      </w:r>
      <w:r w:rsidRPr="00994A7E">
        <w:rPr>
          <w:rStyle w:val="Refdenotaalpie"/>
          <w:rFonts w:ascii="Raleway" w:hAnsi="Raleway"/>
          <w:sz w:val="27"/>
          <w:szCs w:val="27"/>
        </w:rPr>
        <w:footnoteReference w:id="4"/>
      </w:r>
      <w:r w:rsidRPr="00994A7E">
        <w:rPr>
          <w:rFonts w:ascii="Raleway" w:hAnsi="Raleway"/>
          <w:sz w:val="27"/>
          <w:szCs w:val="27"/>
        </w:rPr>
        <w:t xml:space="preserve"> y 16, fracción I, de la Ley Orgánica del Poder Judicial de la Federación</w:t>
      </w:r>
      <w:r w:rsidRPr="00994A7E">
        <w:rPr>
          <w:rFonts w:ascii="Raleway" w:hAnsi="Raleway"/>
          <w:bCs/>
          <w:sz w:val="27"/>
          <w:szCs w:val="27"/>
        </w:rPr>
        <w:t>,</w:t>
      </w:r>
      <w:r w:rsidRPr="00994A7E">
        <w:rPr>
          <w:rStyle w:val="Refdenotaalpie"/>
          <w:rFonts w:ascii="Raleway" w:hAnsi="Raleway"/>
          <w:bCs/>
          <w:sz w:val="27"/>
          <w:szCs w:val="27"/>
        </w:rPr>
        <w:footnoteReference w:id="5"/>
      </w:r>
      <w:r w:rsidRPr="00994A7E">
        <w:rPr>
          <w:rFonts w:ascii="Raleway" w:hAnsi="Raleway"/>
          <w:bCs/>
          <w:sz w:val="27"/>
          <w:szCs w:val="27"/>
        </w:rPr>
        <w:t xml:space="preserve"> </w:t>
      </w:r>
      <w:r w:rsidR="003B25E8" w:rsidRPr="003B25E8">
        <w:rPr>
          <w:rFonts w:ascii="Raleway" w:hAnsi="Raleway"/>
          <w:bCs/>
          <w:sz w:val="27"/>
          <w:szCs w:val="27"/>
        </w:rPr>
        <w:t xml:space="preserve">así como en el Punto Segundo, fracción II, del Acuerdo General 2/2025 (12ª.), de tres de septiembre de dos mil veinticinco, del Pleno de esta Suprema Corte, en el que se precisan los asuntos de su competencia y los que se delegan a otros órganos jurisdiccionales federales, </w:t>
      </w:r>
      <w:r w:rsidRPr="00994A7E">
        <w:rPr>
          <w:rFonts w:ascii="Raleway" w:hAnsi="Raleway"/>
          <w:sz w:val="27"/>
          <w:szCs w:val="27"/>
        </w:rPr>
        <w:t>toda vez que en el caso se plantea la posible contradicción entre el Decreto publicado el veinte de abril del dos mil veintidós, por el que se reformaron diversas disposiciones de la Ley Minera en matera de litio, y la Constitución Federal.</w:t>
      </w:r>
    </w:p>
    <w:p w14:paraId="71DECB43" w14:textId="77777777" w:rsidR="008227F7" w:rsidRPr="00994A7E" w:rsidRDefault="008227F7" w:rsidP="00792CB0">
      <w:pPr>
        <w:pStyle w:val="Prrafo"/>
        <w:spacing w:before="120" w:after="120"/>
        <w:rPr>
          <w:rFonts w:ascii="Raleway" w:hAnsi="Raleway"/>
          <w:sz w:val="27"/>
          <w:szCs w:val="27"/>
        </w:rPr>
      </w:pPr>
    </w:p>
    <w:p w14:paraId="0B28AC2C" w14:textId="77777777" w:rsidR="008227F7" w:rsidRPr="00994A7E" w:rsidRDefault="008227F7" w:rsidP="00494272">
      <w:pPr>
        <w:pStyle w:val="Ttulo3"/>
        <w:numPr>
          <w:ilvl w:val="0"/>
          <w:numId w:val="5"/>
        </w:numPr>
        <w:spacing w:before="120" w:after="120"/>
        <w:ind w:left="0" w:firstLine="0"/>
        <w:rPr>
          <w:rFonts w:ascii="Raleway" w:hAnsi="Raleway"/>
          <w:b w:val="0"/>
          <w:bCs/>
          <w:sz w:val="27"/>
          <w:szCs w:val="27"/>
        </w:rPr>
      </w:pPr>
      <w:r w:rsidRPr="00994A7E">
        <w:rPr>
          <w:rFonts w:ascii="Raleway" w:hAnsi="Raleway"/>
          <w:bCs/>
          <w:sz w:val="27"/>
          <w:szCs w:val="27"/>
        </w:rPr>
        <w:t xml:space="preserve"> PRECISIÓN DE LAS NORMAS RECLAMADAS</w:t>
      </w:r>
    </w:p>
    <w:p w14:paraId="3261DDF1" w14:textId="77777777" w:rsidR="008227F7" w:rsidRPr="00994A7E" w:rsidRDefault="008227F7" w:rsidP="00792CB0">
      <w:pPr>
        <w:spacing w:before="120" w:after="120" w:line="360" w:lineRule="auto"/>
        <w:rPr>
          <w:rFonts w:ascii="Raleway" w:hAnsi="Raleway"/>
          <w:sz w:val="27"/>
          <w:szCs w:val="27"/>
        </w:rPr>
      </w:pPr>
    </w:p>
    <w:p w14:paraId="6F8C24BD" w14:textId="58B93F73" w:rsidR="008227F7" w:rsidRPr="00994A7E" w:rsidRDefault="008227F7" w:rsidP="00494272">
      <w:pPr>
        <w:pStyle w:val="Prrafo"/>
        <w:numPr>
          <w:ilvl w:val="0"/>
          <w:numId w:val="3"/>
        </w:numPr>
        <w:spacing w:before="120" w:after="0"/>
        <w:ind w:left="0" w:hanging="567"/>
        <w:rPr>
          <w:rFonts w:ascii="Raleway" w:hAnsi="Raleway"/>
          <w:sz w:val="27"/>
          <w:szCs w:val="27"/>
        </w:rPr>
      </w:pPr>
      <w:bookmarkStart w:id="3" w:name="_Hlk45891706"/>
      <w:r w:rsidRPr="00994A7E">
        <w:rPr>
          <w:rFonts w:ascii="Raleway" w:hAnsi="Raleway"/>
          <w:sz w:val="27"/>
          <w:szCs w:val="27"/>
        </w:rPr>
        <w:t xml:space="preserve">Del análisis integral del escrito de demanda se advierte que las personas accionantes controvierten la totalidad del contenido del Decreto publicado el veinte de abril del dos mil veintidós, mediante el cual se reformaron diversas disposiciones de la Ley Minera, al considerar que dicho acto normativo se encuentra viciado en su conjunto, tanto por la </w:t>
      </w:r>
      <w:r w:rsidRPr="00994A7E">
        <w:rPr>
          <w:rFonts w:ascii="Raleway" w:hAnsi="Raleway"/>
          <w:sz w:val="27"/>
          <w:szCs w:val="27"/>
        </w:rPr>
        <w:lastRenderedPageBreak/>
        <w:t>omisión de la consulta previa a comunidades y pueblos indígenas y originarios, como por la existencia de diversos vicios de fondo. En consecuencia, este Tribunal Pleno tiene por impugnado el Decreto en su integridad.</w:t>
      </w:r>
    </w:p>
    <w:bookmarkEnd w:id="3"/>
    <w:p w14:paraId="019A4DD0"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t xml:space="preserve"> OPORTUNIDAD</w:t>
      </w:r>
    </w:p>
    <w:p w14:paraId="17A7E2AE" w14:textId="77777777" w:rsidR="008227F7" w:rsidRPr="00994A7E" w:rsidRDefault="008227F7" w:rsidP="008227F7">
      <w:pPr>
        <w:spacing w:before="0" w:after="0" w:line="360" w:lineRule="auto"/>
        <w:rPr>
          <w:rFonts w:ascii="Raleway" w:hAnsi="Raleway"/>
          <w:sz w:val="27"/>
          <w:szCs w:val="27"/>
        </w:rPr>
      </w:pPr>
    </w:p>
    <w:p w14:paraId="1EAFF6F2" w14:textId="77777777" w:rsidR="008227F7" w:rsidRPr="00994A7E" w:rsidRDefault="008227F7" w:rsidP="00494272">
      <w:pPr>
        <w:pStyle w:val="Prrafo"/>
        <w:numPr>
          <w:ilvl w:val="0"/>
          <w:numId w:val="3"/>
        </w:numPr>
        <w:spacing w:before="0" w:after="0"/>
        <w:ind w:left="0" w:hanging="567"/>
        <w:rPr>
          <w:rFonts w:ascii="Raleway" w:hAnsi="Raleway"/>
          <w:sz w:val="27"/>
          <w:szCs w:val="27"/>
        </w:rPr>
      </w:pPr>
      <w:bookmarkStart w:id="4" w:name="_Hlk45890931"/>
      <w:r w:rsidRPr="00994A7E">
        <w:rPr>
          <w:rFonts w:ascii="Raleway" w:hAnsi="Raleway"/>
          <w:sz w:val="27"/>
          <w:szCs w:val="27"/>
        </w:rPr>
        <w:t>Conforme a lo dispuesto en el artículo 60, primer párrafo, de la ley reglamentaria,</w:t>
      </w:r>
      <w:r w:rsidRPr="00994A7E">
        <w:rPr>
          <w:rStyle w:val="Refdenotaalpie"/>
          <w:rFonts w:ascii="Raleway" w:hAnsi="Raleway"/>
          <w:sz w:val="27"/>
          <w:szCs w:val="27"/>
        </w:rPr>
        <w:footnoteReference w:id="6"/>
      </w:r>
      <w:r w:rsidRPr="00994A7E">
        <w:rPr>
          <w:rFonts w:ascii="Raleway" w:hAnsi="Raleway"/>
          <w:sz w:val="27"/>
          <w:szCs w:val="27"/>
        </w:rPr>
        <w:t xml:space="preserve"> el plazo para promover la acción de inconstitucionalidad es de treinta días naturales, contados a partir del día siguiente a aquel en que la norma impugnada sea publicada en el medio oficial correspondiente.</w:t>
      </w:r>
    </w:p>
    <w:p w14:paraId="5FA156B3" w14:textId="77777777" w:rsidR="008227F7" w:rsidRPr="00994A7E" w:rsidRDefault="008227F7" w:rsidP="008227F7">
      <w:pPr>
        <w:pStyle w:val="Prrafo"/>
        <w:spacing w:before="0" w:after="0"/>
        <w:rPr>
          <w:rFonts w:ascii="Raleway" w:hAnsi="Raleway"/>
          <w:sz w:val="27"/>
          <w:szCs w:val="27"/>
        </w:rPr>
      </w:pPr>
    </w:p>
    <w:p w14:paraId="4B87FCB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el caso, el Decreto controvertido fue publicado en el Diario Oficial de la Federación el veinte de abril del dos mil veintidós, por lo que el plazo de treinta días naturales para la presentación de la demanda transcurrió del veintiuno de abril al veinte de mayo del dos mil veintidós. Dado que la demanda se presentó</w:t>
      </w:r>
      <w:bookmarkStart w:id="5" w:name="_Hlk166592030"/>
      <w:r w:rsidRPr="00994A7E">
        <w:rPr>
          <w:rFonts w:ascii="Raleway" w:hAnsi="Raleway"/>
          <w:sz w:val="27"/>
          <w:szCs w:val="27"/>
        </w:rPr>
        <w:t xml:space="preserve"> ante la Oficina de Certificación Judicial y Correspondencia de esta Suprema Corte el veinte de mayo de la referida anualidad, resulta evidente que su promoción fue oportuna</w:t>
      </w:r>
      <w:bookmarkEnd w:id="5"/>
      <w:r w:rsidRPr="00994A7E">
        <w:rPr>
          <w:rFonts w:ascii="Raleway" w:hAnsi="Raleway"/>
          <w:sz w:val="27"/>
          <w:szCs w:val="27"/>
        </w:rPr>
        <w:t>.</w:t>
      </w:r>
    </w:p>
    <w:p w14:paraId="3AF7A970" w14:textId="77777777" w:rsidR="008227F7" w:rsidRPr="00994A7E" w:rsidRDefault="008227F7" w:rsidP="008227F7">
      <w:pPr>
        <w:pStyle w:val="Prrafodelista"/>
        <w:spacing w:before="0" w:after="0" w:line="360" w:lineRule="auto"/>
        <w:rPr>
          <w:rFonts w:ascii="Raleway" w:hAnsi="Raleway"/>
          <w:sz w:val="27"/>
          <w:szCs w:val="27"/>
        </w:rPr>
      </w:pPr>
    </w:p>
    <w:bookmarkEnd w:id="4"/>
    <w:p w14:paraId="4A2C122B"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t xml:space="preserve"> LEGITIMACIÓN</w:t>
      </w:r>
    </w:p>
    <w:p w14:paraId="17C1C55A" w14:textId="77777777" w:rsidR="008227F7" w:rsidRPr="00994A7E" w:rsidRDefault="008227F7" w:rsidP="008227F7">
      <w:pPr>
        <w:spacing w:before="0" w:after="0" w:line="360" w:lineRule="auto"/>
        <w:rPr>
          <w:rFonts w:ascii="Raleway" w:hAnsi="Raleway"/>
          <w:sz w:val="27"/>
          <w:szCs w:val="27"/>
        </w:rPr>
      </w:pPr>
    </w:p>
    <w:p w14:paraId="7FBCDD57" w14:textId="334F7E6D" w:rsidR="008227F7" w:rsidRPr="00994A7E" w:rsidRDefault="008227F7" w:rsidP="00494272">
      <w:pPr>
        <w:pStyle w:val="Prrafo"/>
        <w:numPr>
          <w:ilvl w:val="0"/>
          <w:numId w:val="3"/>
        </w:numPr>
        <w:spacing w:before="0" w:after="0"/>
        <w:ind w:left="0" w:hanging="567"/>
        <w:rPr>
          <w:rFonts w:ascii="Raleway" w:hAnsi="Raleway"/>
          <w:sz w:val="27"/>
          <w:szCs w:val="27"/>
        </w:rPr>
      </w:pPr>
      <w:bookmarkStart w:id="6" w:name="_Hlk166605306"/>
      <w:bookmarkStart w:id="7" w:name="_Hlk45890947"/>
      <w:r w:rsidRPr="00994A7E">
        <w:rPr>
          <w:rFonts w:ascii="Raleway" w:hAnsi="Raleway"/>
          <w:sz w:val="27"/>
          <w:szCs w:val="27"/>
        </w:rPr>
        <w:t xml:space="preserve">De conformidad con lo previsto </w:t>
      </w:r>
      <w:r w:rsidR="004D66C4">
        <w:rPr>
          <w:rFonts w:ascii="Raleway" w:hAnsi="Raleway"/>
          <w:sz w:val="27"/>
          <w:szCs w:val="27"/>
        </w:rPr>
        <w:t xml:space="preserve">en </w:t>
      </w:r>
      <w:r w:rsidRPr="00994A7E">
        <w:rPr>
          <w:rFonts w:ascii="Raleway" w:hAnsi="Raleway"/>
          <w:sz w:val="27"/>
          <w:szCs w:val="27"/>
        </w:rPr>
        <w:t xml:space="preserve">el artículo 105, fracción II, inciso b,) de la Constitución Política de los Estados Unidos Mexicanos, se encuentran legitimados para promover la acción de inconstitucionalidad el equivalente al treinta y tres por ciento de las personas integrantes de la </w:t>
      </w:r>
      <w:r w:rsidRPr="00994A7E">
        <w:rPr>
          <w:rFonts w:ascii="Raleway" w:hAnsi="Raleway"/>
          <w:sz w:val="27"/>
          <w:szCs w:val="27"/>
        </w:rPr>
        <w:lastRenderedPageBreak/>
        <w:t>Cámara de Senadores del Congreso de la Unión, tratándose de la impugnación de leyes federales o tratados internacionales.</w:t>
      </w:r>
      <w:bookmarkEnd w:id="6"/>
      <w:r w:rsidRPr="00994A7E">
        <w:rPr>
          <w:rStyle w:val="Refdenotaalpie"/>
          <w:rFonts w:ascii="Raleway" w:hAnsi="Raleway"/>
          <w:sz w:val="27"/>
          <w:szCs w:val="27"/>
        </w:rPr>
        <w:footnoteReference w:id="7"/>
      </w:r>
    </w:p>
    <w:p w14:paraId="0B845609" w14:textId="77777777" w:rsidR="008227F7" w:rsidRPr="00994A7E" w:rsidRDefault="008227F7" w:rsidP="008227F7">
      <w:pPr>
        <w:pStyle w:val="Prrafo"/>
        <w:spacing w:before="0" w:after="0"/>
        <w:rPr>
          <w:rFonts w:ascii="Raleway" w:hAnsi="Raleway"/>
          <w:sz w:val="27"/>
          <w:szCs w:val="27"/>
        </w:rPr>
      </w:pPr>
    </w:p>
    <w:p w14:paraId="6EE53B75" w14:textId="77777777" w:rsidR="008227F7" w:rsidRPr="00994A7E" w:rsidRDefault="008227F7" w:rsidP="00494272">
      <w:pPr>
        <w:pStyle w:val="Prrafo"/>
        <w:numPr>
          <w:ilvl w:val="0"/>
          <w:numId w:val="3"/>
        </w:numPr>
        <w:spacing w:before="0" w:after="0"/>
        <w:ind w:left="0" w:hanging="567"/>
        <w:rPr>
          <w:rFonts w:ascii="Raleway" w:hAnsi="Raleway"/>
          <w:sz w:val="27"/>
          <w:szCs w:val="27"/>
        </w:rPr>
      </w:pPr>
      <w:bookmarkStart w:id="8" w:name="_Hlk166605411"/>
      <w:r w:rsidRPr="00994A7E">
        <w:rPr>
          <w:rFonts w:ascii="Raleway" w:hAnsi="Raleway"/>
          <w:sz w:val="27"/>
          <w:szCs w:val="27"/>
        </w:rPr>
        <w:t>Considerando que el Senado de la República se integra por ciento veintiocho senadoras y senadores, el porcentaje constitucional exigido equivale a la suscripción de la demanda por al menos cuarenta y tres legisladoras y legisladores. En el presente asunto, la demanda fue promovida por cuarenta y tres integrantes de dicha Cámara, con lo cual se satisface el requisito de legitimación activa.</w:t>
      </w:r>
    </w:p>
    <w:p w14:paraId="6B26ED70" w14:textId="77777777" w:rsidR="008227F7" w:rsidRPr="00994A7E" w:rsidRDefault="008227F7" w:rsidP="008227F7">
      <w:pPr>
        <w:pStyle w:val="Prrafodelista"/>
        <w:spacing w:before="0" w:after="0" w:line="360" w:lineRule="auto"/>
        <w:rPr>
          <w:rFonts w:ascii="Raleway" w:hAnsi="Raleway"/>
          <w:sz w:val="27"/>
          <w:szCs w:val="27"/>
        </w:rPr>
      </w:pPr>
    </w:p>
    <w:bookmarkEnd w:id="8"/>
    <w:p w14:paraId="4F6FDE4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consecuencia, la acción de inconstitucionalidad fue promovida por un órgano constitucionalmente legitimado, a través de quienes cuentan con la representación correspondiente.</w:t>
      </w:r>
    </w:p>
    <w:p w14:paraId="11AFBFC9" w14:textId="77777777" w:rsidR="008227F7" w:rsidRPr="00994A7E" w:rsidRDefault="008227F7" w:rsidP="008227F7">
      <w:pPr>
        <w:pStyle w:val="Prrafodelista"/>
        <w:spacing w:before="0" w:after="0" w:line="360" w:lineRule="auto"/>
        <w:rPr>
          <w:rFonts w:ascii="Raleway" w:hAnsi="Raleway"/>
          <w:sz w:val="27"/>
          <w:szCs w:val="27"/>
        </w:rPr>
      </w:pPr>
    </w:p>
    <w:bookmarkEnd w:id="7"/>
    <w:p w14:paraId="1E5D4203"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t xml:space="preserve"> PROCEDENCIA </w:t>
      </w:r>
    </w:p>
    <w:p w14:paraId="7ABA2535" w14:textId="77777777" w:rsidR="008227F7" w:rsidRPr="00994A7E" w:rsidRDefault="008227F7" w:rsidP="008227F7">
      <w:pPr>
        <w:spacing w:before="0" w:after="0" w:line="360" w:lineRule="auto"/>
        <w:rPr>
          <w:rFonts w:ascii="Raleway" w:hAnsi="Raleway"/>
          <w:sz w:val="27"/>
          <w:szCs w:val="27"/>
        </w:rPr>
      </w:pPr>
    </w:p>
    <w:p w14:paraId="52326454"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Una vez precisadas las disposiciones impugnadas, corresponde analizar si subsisten en el orden jurídico los preceptos controvertidos o si, por el contrario, se actualiza alguna causa de improcedencia derivada de la </w:t>
      </w:r>
      <w:r w:rsidRPr="00994A7E">
        <w:rPr>
          <w:rFonts w:ascii="Raleway" w:hAnsi="Raleway"/>
          <w:b/>
          <w:bCs/>
          <w:sz w:val="27"/>
          <w:szCs w:val="27"/>
        </w:rPr>
        <w:t>cesación de efectos</w:t>
      </w:r>
      <w:r w:rsidRPr="00994A7E">
        <w:rPr>
          <w:rFonts w:ascii="Raleway" w:hAnsi="Raleway"/>
          <w:sz w:val="27"/>
          <w:szCs w:val="27"/>
        </w:rPr>
        <w:t xml:space="preserve"> de las normas cuestionadas, ya sea de manera individual o como parte de un subsistema normativo en términos del artículo 19, fracción V, de la ley reglamentaria.</w:t>
      </w:r>
      <w:r w:rsidRPr="00994A7E">
        <w:rPr>
          <w:rStyle w:val="Refdenotaalpie"/>
          <w:rFonts w:ascii="Raleway" w:hAnsi="Raleway"/>
          <w:sz w:val="27"/>
          <w:szCs w:val="27"/>
        </w:rPr>
        <w:footnoteReference w:id="8"/>
      </w:r>
    </w:p>
    <w:p w14:paraId="723FD0F1" w14:textId="77777777" w:rsidR="008227F7" w:rsidRPr="00994A7E" w:rsidRDefault="008227F7" w:rsidP="008227F7">
      <w:pPr>
        <w:pStyle w:val="Prrafo"/>
        <w:spacing w:before="0" w:after="0"/>
        <w:rPr>
          <w:rFonts w:ascii="Raleway" w:hAnsi="Raleway"/>
          <w:sz w:val="27"/>
          <w:szCs w:val="27"/>
        </w:rPr>
      </w:pPr>
    </w:p>
    <w:p w14:paraId="153F9302"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Es criterio reiterado de este Tribunal Pleno —a partir de la acción de inconstitucionalidad 28/2015— que un nuevo acto legislativo que modifique el sentido normativo de una disposición o sistema normativo conlleva la actualización de la causal de improcedencia relativa a la cesación de efectos.</w:t>
      </w:r>
    </w:p>
    <w:p w14:paraId="42F7651B" w14:textId="77777777" w:rsidR="008227F7" w:rsidRPr="00994A7E" w:rsidRDefault="008227F7" w:rsidP="008227F7">
      <w:pPr>
        <w:pStyle w:val="Prrafodelista"/>
        <w:spacing w:before="0" w:after="0" w:line="360" w:lineRule="auto"/>
        <w:rPr>
          <w:rFonts w:ascii="Raleway" w:hAnsi="Raleway"/>
          <w:sz w:val="27"/>
          <w:szCs w:val="27"/>
        </w:rPr>
      </w:pPr>
    </w:p>
    <w:p w14:paraId="27EE8B2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este análisis preliminar, se advierte que los artículos 1, 9 y 10 de la Ley Minera, así como diversas disposiciones del régimen transitorio del Decreto publicado el veinte de abril de dos mil veintidós, fueron objeto de modificaciones sustanciales mediante el diverso Decreto publicado el ocho de mayo de dos mil veintitrés,</w:t>
      </w:r>
      <w:r w:rsidRPr="00994A7E">
        <w:rPr>
          <w:rStyle w:val="Refdenotaalpie"/>
          <w:rFonts w:ascii="Raleway" w:hAnsi="Raleway"/>
          <w:sz w:val="27"/>
          <w:szCs w:val="27"/>
        </w:rPr>
        <w:footnoteReference w:id="9"/>
      </w:r>
      <w:r w:rsidRPr="00994A7E">
        <w:rPr>
          <w:rFonts w:ascii="Raleway" w:hAnsi="Raleway"/>
          <w:sz w:val="27"/>
          <w:szCs w:val="27"/>
        </w:rPr>
        <w:t xml:space="preserve"> lo que obliga a examinar si dichas reformas generaron un nuevo sistema normativo que haga improcedente el estudio de los conceptos de invalidez planteados.</w:t>
      </w:r>
    </w:p>
    <w:p w14:paraId="055E63C4" w14:textId="77777777" w:rsidR="008227F7" w:rsidRPr="00994A7E" w:rsidRDefault="008227F7" w:rsidP="008227F7">
      <w:pPr>
        <w:pStyle w:val="Prrafodelista"/>
        <w:spacing w:before="0" w:after="0" w:line="360" w:lineRule="auto"/>
        <w:rPr>
          <w:rFonts w:ascii="Raleway" w:hAnsi="Raleway"/>
          <w:sz w:val="27"/>
          <w:szCs w:val="27"/>
        </w:rPr>
      </w:pPr>
    </w:p>
    <w:p w14:paraId="112619F1" w14:textId="51E1382C"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la siguiente tabla se especifican los cambios en las disposiciones normativas del decreto impugnado al nuevo decreto</w:t>
      </w:r>
      <w:r w:rsidR="003B25E8">
        <w:rPr>
          <w:rFonts w:ascii="Raleway" w:hAnsi="Raleway"/>
          <w:sz w:val="27"/>
          <w:szCs w:val="27"/>
        </w:rPr>
        <w:t>:</w:t>
      </w:r>
    </w:p>
    <w:p w14:paraId="7DBDEDD1" w14:textId="77777777" w:rsidR="008227F7" w:rsidRPr="00994A7E" w:rsidRDefault="008227F7" w:rsidP="008227F7">
      <w:pPr>
        <w:pStyle w:val="Prrafodelista"/>
        <w:spacing w:before="0" w:after="0" w:line="360" w:lineRule="auto"/>
        <w:rPr>
          <w:rFonts w:ascii="Raleway" w:hAnsi="Raleway"/>
          <w:sz w:val="27"/>
          <w:szCs w:val="27"/>
        </w:rPr>
      </w:pPr>
    </w:p>
    <w:tbl>
      <w:tblPr>
        <w:tblStyle w:val="Tablaconcuadrcula"/>
        <w:tblW w:w="0" w:type="auto"/>
        <w:tblLook w:val="04A0" w:firstRow="1" w:lastRow="0" w:firstColumn="1" w:lastColumn="0" w:noHBand="0" w:noVBand="1"/>
      </w:tblPr>
      <w:tblGrid>
        <w:gridCol w:w="4531"/>
        <w:gridCol w:w="4531"/>
      </w:tblGrid>
      <w:tr w:rsidR="008227F7" w:rsidRPr="00994A7E" w14:paraId="3943460D" w14:textId="77777777" w:rsidTr="00C77BE5">
        <w:tc>
          <w:tcPr>
            <w:tcW w:w="4531" w:type="dxa"/>
          </w:tcPr>
          <w:p w14:paraId="7A595EC3" w14:textId="77777777" w:rsidR="008227F7" w:rsidRPr="00994A7E" w:rsidRDefault="008227F7" w:rsidP="00C77BE5">
            <w:pPr>
              <w:pStyle w:val="Prrafo"/>
              <w:spacing w:before="0" w:after="0"/>
              <w:jc w:val="center"/>
              <w:rPr>
                <w:rFonts w:ascii="Raleway" w:hAnsi="Raleway"/>
                <w:b/>
                <w:bCs/>
                <w:sz w:val="27"/>
                <w:szCs w:val="27"/>
              </w:rPr>
            </w:pPr>
            <w:r w:rsidRPr="00994A7E">
              <w:rPr>
                <w:rFonts w:ascii="Raleway" w:hAnsi="Raleway"/>
                <w:b/>
                <w:bCs/>
                <w:sz w:val="27"/>
                <w:szCs w:val="27"/>
              </w:rPr>
              <w:t xml:space="preserve">Artículos impugnados </w:t>
            </w:r>
          </w:p>
          <w:p w14:paraId="51955826" w14:textId="77777777" w:rsidR="008227F7" w:rsidRPr="00994A7E" w:rsidRDefault="008227F7" w:rsidP="00C77BE5">
            <w:pPr>
              <w:pStyle w:val="Prrafo"/>
              <w:spacing w:before="0" w:after="0"/>
              <w:jc w:val="center"/>
              <w:rPr>
                <w:rFonts w:ascii="Raleway" w:hAnsi="Raleway"/>
                <w:b/>
                <w:bCs/>
                <w:sz w:val="27"/>
                <w:szCs w:val="27"/>
              </w:rPr>
            </w:pPr>
            <w:r w:rsidRPr="00994A7E">
              <w:rPr>
                <w:rFonts w:ascii="Raleway" w:hAnsi="Raleway"/>
                <w:b/>
                <w:bCs/>
                <w:sz w:val="27"/>
                <w:szCs w:val="27"/>
              </w:rPr>
              <w:t>Decreto del 20 de abril de 2022</w:t>
            </w:r>
          </w:p>
        </w:tc>
        <w:tc>
          <w:tcPr>
            <w:tcW w:w="4531" w:type="dxa"/>
          </w:tcPr>
          <w:p w14:paraId="696386A3" w14:textId="77777777" w:rsidR="008227F7" w:rsidRPr="00994A7E" w:rsidRDefault="008227F7" w:rsidP="00C77BE5">
            <w:pPr>
              <w:pStyle w:val="Prrafo"/>
              <w:spacing w:before="0" w:after="0"/>
              <w:jc w:val="center"/>
              <w:rPr>
                <w:rFonts w:ascii="Raleway" w:hAnsi="Raleway"/>
                <w:b/>
                <w:bCs/>
                <w:sz w:val="27"/>
                <w:szCs w:val="27"/>
              </w:rPr>
            </w:pPr>
            <w:r w:rsidRPr="00994A7E">
              <w:rPr>
                <w:rFonts w:ascii="Raleway" w:hAnsi="Raleway"/>
                <w:b/>
                <w:bCs/>
                <w:sz w:val="27"/>
                <w:szCs w:val="27"/>
              </w:rPr>
              <w:t>Artículos modificados</w:t>
            </w:r>
          </w:p>
          <w:p w14:paraId="2A311D71" w14:textId="77777777" w:rsidR="008227F7" w:rsidRPr="00994A7E" w:rsidRDefault="008227F7" w:rsidP="00C77BE5">
            <w:pPr>
              <w:pStyle w:val="Prrafo"/>
              <w:spacing w:before="0" w:after="0"/>
              <w:jc w:val="center"/>
              <w:rPr>
                <w:rFonts w:ascii="Raleway" w:hAnsi="Raleway"/>
                <w:b/>
                <w:bCs/>
                <w:sz w:val="27"/>
                <w:szCs w:val="27"/>
              </w:rPr>
            </w:pPr>
            <w:r w:rsidRPr="00994A7E">
              <w:rPr>
                <w:rFonts w:ascii="Raleway" w:hAnsi="Raleway"/>
                <w:b/>
                <w:bCs/>
                <w:sz w:val="27"/>
                <w:szCs w:val="27"/>
              </w:rPr>
              <w:t>Decreto del 8 de mayo de 2023</w:t>
            </w:r>
          </w:p>
        </w:tc>
      </w:tr>
      <w:tr w:rsidR="008227F7" w:rsidRPr="00994A7E" w14:paraId="1721830A" w14:textId="77777777" w:rsidTr="00C77BE5">
        <w:tc>
          <w:tcPr>
            <w:tcW w:w="4531" w:type="dxa"/>
          </w:tcPr>
          <w:p w14:paraId="64E33DEE"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Artículo 1.</w:t>
            </w:r>
            <w:r w:rsidRPr="00994A7E">
              <w:rPr>
                <w:rFonts w:ascii="Raleway" w:hAnsi="Raleway"/>
                <w:sz w:val="27"/>
                <w:szCs w:val="27"/>
              </w:rPr>
              <w:t xml:space="preserve"> La presente Ley es reglamentaria del artículo 27 constitucional en materia minera y sus disposiciones son de orden público y de observancia en todo el territorio nacional. Su aplicación corresponde al Ejecutivo Federal </w:t>
            </w:r>
            <w:r w:rsidRPr="00994A7E">
              <w:rPr>
                <w:rFonts w:ascii="Raleway" w:hAnsi="Raleway"/>
                <w:sz w:val="27"/>
                <w:szCs w:val="27"/>
              </w:rPr>
              <w:lastRenderedPageBreak/>
              <w:t xml:space="preserve">por conducto de la Secretaría de Economía, a quien en lo sucesivo se le denomina la Secretaría, </w:t>
            </w:r>
            <w:r w:rsidRPr="00994A7E">
              <w:rPr>
                <w:rFonts w:ascii="Raleway" w:hAnsi="Raleway"/>
                <w:b/>
                <w:bCs/>
                <w:sz w:val="27"/>
                <w:szCs w:val="27"/>
              </w:rPr>
              <w:t>salvo lo relativo a la exploración, la explotación, beneficio y el aprovechamiento del litio, que quedará a cargo del organismo público descentralizado a que se refiere el artículo 10 de esta Ley.</w:t>
            </w:r>
            <w:r w:rsidRPr="00994A7E">
              <w:rPr>
                <w:rFonts w:ascii="Raleway" w:hAnsi="Raleway"/>
                <w:sz w:val="27"/>
                <w:szCs w:val="27"/>
              </w:rPr>
              <w:t xml:space="preserve"> </w:t>
            </w:r>
          </w:p>
          <w:p w14:paraId="7CCBD229" w14:textId="77777777" w:rsidR="008227F7" w:rsidRPr="00994A7E" w:rsidRDefault="008227F7" w:rsidP="00C77BE5">
            <w:pPr>
              <w:pStyle w:val="Prrafo"/>
              <w:spacing w:before="0" w:after="0"/>
              <w:rPr>
                <w:rFonts w:ascii="Raleway" w:hAnsi="Raleway"/>
                <w:sz w:val="27"/>
                <w:szCs w:val="27"/>
              </w:rPr>
            </w:pPr>
          </w:p>
        </w:tc>
        <w:tc>
          <w:tcPr>
            <w:tcW w:w="4531" w:type="dxa"/>
          </w:tcPr>
          <w:p w14:paraId="324A7504"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lastRenderedPageBreak/>
              <w:t>Artículo 1.</w:t>
            </w:r>
            <w:r w:rsidRPr="00994A7E">
              <w:rPr>
                <w:rFonts w:ascii="Raleway" w:hAnsi="Raleway"/>
                <w:sz w:val="27"/>
                <w:szCs w:val="27"/>
              </w:rPr>
              <w:t xml:space="preserve"> La presente Ley es reglamentaria del artículo 27 constitucional en materia minera y sus disposiciones son de orden público y de observancia en todo el territorio nacional. Su aplicación corresponde al Ejecutivo Federal </w:t>
            </w:r>
            <w:r w:rsidRPr="00994A7E">
              <w:rPr>
                <w:rFonts w:ascii="Raleway" w:hAnsi="Raleway"/>
                <w:sz w:val="27"/>
                <w:szCs w:val="27"/>
              </w:rPr>
              <w:lastRenderedPageBreak/>
              <w:t>por conducto de la Secretaría de Economía, a quien en lo sucesivo se le denomina la Secretaría.</w:t>
            </w:r>
          </w:p>
          <w:p w14:paraId="6D77F9AF"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La exploración, explotación, beneficio y aprovechamiento del litio queda a cargo, por medio de la asignación correspondiente, del organismo público descentralizado a que se refiere el artículo 10 de esta Ley, sectorizado a la Secretaría de Energía.</w:t>
            </w:r>
          </w:p>
          <w:p w14:paraId="2EB2A99C" w14:textId="77777777" w:rsidR="008227F7" w:rsidRPr="00994A7E" w:rsidRDefault="008227F7" w:rsidP="00C77BE5">
            <w:pPr>
              <w:pStyle w:val="Prrafo"/>
              <w:spacing w:before="0" w:after="0"/>
              <w:rPr>
                <w:rFonts w:ascii="Raleway" w:hAnsi="Raleway"/>
                <w:sz w:val="27"/>
                <w:szCs w:val="27"/>
              </w:rPr>
            </w:pPr>
          </w:p>
        </w:tc>
      </w:tr>
      <w:tr w:rsidR="008227F7" w:rsidRPr="00994A7E" w14:paraId="4625A42F" w14:textId="77777777" w:rsidTr="00C77BE5">
        <w:tc>
          <w:tcPr>
            <w:tcW w:w="4531" w:type="dxa"/>
          </w:tcPr>
          <w:p w14:paraId="7BACE767"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lastRenderedPageBreak/>
              <w:t xml:space="preserve">Artículo 9.  </w:t>
            </w:r>
            <w:r w:rsidRPr="00994A7E">
              <w:rPr>
                <w:rFonts w:ascii="Raleway" w:hAnsi="Raleway"/>
                <w:sz w:val="27"/>
                <w:szCs w:val="27"/>
              </w:rPr>
              <w:t>Para promover el mejor aprovechamiento de los recursos minerales y generar la información geológica básica de la Nación, la Secretaría y el organismo a que se refiere el artículo 10 de esta Ley se apoyarán en el Servicio Geológico Mexicano, organismo público descentralizado con personalidad jurídica propia y patrimonios propios, coordinados sectorialmente por dicha dependencia.</w:t>
            </w:r>
            <w:r w:rsidRPr="00994A7E">
              <w:rPr>
                <w:rFonts w:ascii="Raleway" w:hAnsi="Raleway"/>
                <w:b/>
                <w:bCs/>
                <w:sz w:val="27"/>
                <w:szCs w:val="27"/>
              </w:rPr>
              <w:t xml:space="preserve"> </w:t>
            </w:r>
          </w:p>
        </w:tc>
        <w:tc>
          <w:tcPr>
            <w:tcW w:w="4531" w:type="dxa"/>
          </w:tcPr>
          <w:p w14:paraId="33365347" w14:textId="2F45F1C3"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Artículo 9.</w:t>
            </w:r>
            <w:r w:rsidR="003B25E8">
              <w:rPr>
                <w:rFonts w:ascii="Raleway" w:hAnsi="Raleway"/>
                <w:b/>
                <w:bCs/>
                <w:sz w:val="27"/>
                <w:szCs w:val="27"/>
              </w:rPr>
              <w:t xml:space="preserve"> </w:t>
            </w:r>
            <w:r w:rsidRPr="00994A7E">
              <w:rPr>
                <w:rFonts w:ascii="Raleway" w:hAnsi="Raleway"/>
                <w:sz w:val="27"/>
                <w:szCs w:val="27"/>
              </w:rPr>
              <w:t xml:space="preserve">El Servicio Geológico Mexicano es un organismo público descentralizado con personalidad jurídica y patrimonio propios, coordinado sectorialmente por la Secretaría de Economía, cuyo objeto es apoyar a la Secretaría y al organismo a que se refiere el párrafo tercero del artículo 10 de esta Ley para generar la información geológica básica de la Nación </w:t>
            </w:r>
            <w:r w:rsidRPr="00994A7E">
              <w:rPr>
                <w:rFonts w:ascii="Raleway" w:hAnsi="Raleway"/>
                <w:b/>
                <w:bCs/>
                <w:sz w:val="27"/>
                <w:szCs w:val="27"/>
              </w:rPr>
              <w:t>y garantizar un aprovechamiento sustentable de los recursos minerales en cumplimiento de los fines de la presente Ley.</w:t>
            </w:r>
          </w:p>
        </w:tc>
      </w:tr>
      <w:tr w:rsidR="008227F7" w:rsidRPr="00994A7E" w14:paraId="6B4C1CDC" w14:textId="77777777" w:rsidTr="00C77BE5">
        <w:tc>
          <w:tcPr>
            <w:tcW w:w="4531" w:type="dxa"/>
          </w:tcPr>
          <w:p w14:paraId="2D186D4D"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Artículo 5 Bis. Se declara de utilidad pública el litio, por lo que </w:t>
            </w:r>
            <w:r w:rsidRPr="00994A7E">
              <w:rPr>
                <w:rFonts w:ascii="Raleway" w:hAnsi="Raleway"/>
                <w:b/>
                <w:bCs/>
                <w:sz w:val="27"/>
                <w:szCs w:val="27"/>
              </w:rPr>
              <w:lastRenderedPageBreak/>
              <w:t xml:space="preserve">no se otorgarán concesiones, licencias, contratos, permisos o autorizaciones en la materia. Serán consideradas zonas de reserva minera aquéllas en que haya yacimientos de litio. </w:t>
            </w:r>
          </w:p>
          <w:p w14:paraId="1D25EEBA" w14:textId="77777777" w:rsidR="008227F7" w:rsidRPr="00994A7E" w:rsidRDefault="008227F7" w:rsidP="00C77BE5">
            <w:pPr>
              <w:pStyle w:val="Prrafo"/>
              <w:spacing w:before="0" w:after="0"/>
              <w:rPr>
                <w:rFonts w:ascii="Raleway" w:hAnsi="Raleway"/>
                <w:b/>
                <w:bCs/>
                <w:sz w:val="27"/>
                <w:szCs w:val="27"/>
              </w:rPr>
            </w:pPr>
          </w:p>
          <w:p w14:paraId="5344218C"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Se reconoce que el litio es patrimonio de la Nación y su exploración, explotación, beneficio y aprovechamiento se reserva en favor del pueblo de México. </w:t>
            </w:r>
          </w:p>
          <w:p w14:paraId="77C7D8BD" w14:textId="77777777" w:rsidR="008227F7" w:rsidRPr="00994A7E" w:rsidRDefault="008227F7" w:rsidP="00C77BE5">
            <w:pPr>
              <w:pStyle w:val="Prrafo"/>
              <w:spacing w:before="0" w:after="0"/>
              <w:rPr>
                <w:rFonts w:ascii="Raleway" w:hAnsi="Raleway"/>
                <w:b/>
                <w:bCs/>
                <w:sz w:val="27"/>
                <w:szCs w:val="27"/>
              </w:rPr>
            </w:pPr>
          </w:p>
          <w:p w14:paraId="48D2C58B"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Las cadenas de valor económico del litio se administrarán y controlarán por el Estado a través del organismo público señalado en el artículo 10 de esta Ley. </w:t>
            </w:r>
          </w:p>
          <w:p w14:paraId="58F13B23" w14:textId="77777777" w:rsidR="008227F7" w:rsidRPr="00994A7E" w:rsidRDefault="008227F7" w:rsidP="00C77BE5">
            <w:pPr>
              <w:pStyle w:val="Prrafo"/>
              <w:spacing w:before="0" w:after="0"/>
              <w:rPr>
                <w:rFonts w:ascii="Raleway" w:hAnsi="Raleway"/>
                <w:b/>
                <w:bCs/>
                <w:sz w:val="27"/>
                <w:szCs w:val="27"/>
              </w:rPr>
            </w:pPr>
          </w:p>
          <w:p w14:paraId="39769F28"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El Servicio Geológico Mexicano auxiliará al organismo público descentralizado encargado de la exploración, explotación, beneficio y aprovechamiento del litio en la ubicación y reconocimiento de las áreas geológicas en las que existan reservas probables del litio. </w:t>
            </w:r>
          </w:p>
          <w:p w14:paraId="16C49B86" w14:textId="77777777" w:rsidR="008227F7" w:rsidRPr="00994A7E" w:rsidRDefault="008227F7" w:rsidP="00C77BE5">
            <w:pPr>
              <w:pStyle w:val="Prrafo"/>
              <w:spacing w:before="0" w:after="0"/>
              <w:rPr>
                <w:rFonts w:ascii="Raleway" w:hAnsi="Raleway"/>
                <w:b/>
                <w:bCs/>
                <w:sz w:val="27"/>
                <w:szCs w:val="27"/>
              </w:rPr>
            </w:pPr>
          </w:p>
          <w:p w14:paraId="0F8F1CEE"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En la exploración, explotación, beneficio y aprovechamiento del litio y de sus cadenas de valor será deber del Estado mexicano proteger y garantizar la salud de los mexicanos, el medio ambiente y los derechos de los pueblos originarios, comunidades indígenas y afromexicanas</w:t>
            </w:r>
          </w:p>
        </w:tc>
        <w:tc>
          <w:tcPr>
            <w:tcW w:w="4531" w:type="dxa"/>
          </w:tcPr>
          <w:p w14:paraId="00558140" w14:textId="77777777" w:rsidR="008227F7" w:rsidRPr="00994A7E" w:rsidRDefault="008227F7" w:rsidP="00C77BE5">
            <w:pPr>
              <w:pStyle w:val="Prrafo"/>
              <w:spacing w:before="0" w:after="0"/>
              <w:rPr>
                <w:rFonts w:ascii="Raleway" w:hAnsi="Raleway"/>
                <w:sz w:val="27"/>
                <w:szCs w:val="27"/>
              </w:rPr>
            </w:pPr>
            <w:r w:rsidRPr="00994A7E">
              <w:rPr>
                <w:rFonts w:ascii="Raleway" w:hAnsi="Raleway"/>
                <w:sz w:val="27"/>
                <w:szCs w:val="27"/>
              </w:rPr>
              <w:lastRenderedPageBreak/>
              <w:t>(Sin correlativo.)</w:t>
            </w:r>
          </w:p>
        </w:tc>
      </w:tr>
      <w:tr w:rsidR="008227F7" w:rsidRPr="00994A7E" w14:paraId="19CC2659" w14:textId="77777777" w:rsidTr="00C77BE5">
        <w:tc>
          <w:tcPr>
            <w:tcW w:w="4531" w:type="dxa"/>
          </w:tcPr>
          <w:p w14:paraId="61FC0EFE"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lastRenderedPageBreak/>
              <w:t>Artículo 10</w:t>
            </w:r>
            <w:r w:rsidRPr="00994A7E">
              <w:rPr>
                <w:rFonts w:ascii="Raleway" w:hAnsi="Raleway"/>
                <w:sz w:val="27"/>
                <w:szCs w:val="27"/>
              </w:rPr>
              <w:t>. Con excepción del litio y demás minerales declarados como estratégicos por el Estado, en términos de los artículos 27 y 28 constitucionales, la explotación de los minerales o sustancias a que se refiere el artículo 4, así como de las salinas formadas directamente por las aguas marinas provenientes de mares actuales, superficial o subterráneamente, de modo natural o artificial, y de las sales y subproductos de éstas, </w:t>
            </w:r>
            <w:r w:rsidRPr="00994A7E">
              <w:rPr>
                <w:rFonts w:ascii="Raleway" w:hAnsi="Raleway"/>
                <w:b/>
                <w:bCs/>
                <w:sz w:val="27"/>
                <w:szCs w:val="27"/>
              </w:rPr>
              <w:t>solo podrá</w:t>
            </w:r>
            <w:r w:rsidRPr="00994A7E">
              <w:rPr>
                <w:rFonts w:ascii="Raleway" w:hAnsi="Raleway"/>
                <w:sz w:val="27"/>
                <w:szCs w:val="27"/>
              </w:rPr>
              <w:t xml:space="preserve"> </w:t>
            </w:r>
            <w:r w:rsidRPr="00994A7E">
              <w:rPr>
                <w:rFonts w:ascii="Raleway" w:hAnsi="Raleway"/>
                <w:b/>
                <w:bCs/>
                <w:sz w:val="27"/>
                <w:szCs w:val="27"/>
              </w:rPr>
              <w:t xml:space="preserve">realizarse por personas físicas de nacionalidad mexicana, ejidos y comunidades agrarias, pueblos y comunidades indígenas a que se refiere el artículo 2º constitucional reconocidos como tales por las </w:t>
            </w:r>
            <w:r w:rsidRPr="00994A7E">
              <w:rPr>
                <w:rFonts w:ascii="Raleway" w:hAnsi="Raleway"/>
                <w:b/>
                <w:bCs/>
                <w:sz w:val="27"/>
                <w:szCs w:val="27"/>
              </w:rPr>
              <w:lastRenderedPageBreak/>
              <w:t>Constituciones y leyes de las Entidades federativas y sociedades constituidas conforme a las leyes mexicanas, mediante concesiones mineras otorgadas por la Secretaría.</w:t>
            </w:r>
            <w:r w:rsidRPr="00994A7E">
              <w:rPr>
                <w:rFonts w:ascii="Raleway" w:hAnsi="Raleway"/>
                <w:sz w:val="27"/>
                <w:szCs w:val="27"/>
              </w:rPr>
              <w:t xml:space="preserve"> </w:t>
            </w:r>
          </w:p>
          <w:p w14:paraId="1DD8243B" w14:textId="77777777" w:rsidR="008227F7" w:rsidRPr="00994A7E" w:rsidRDefault="008227F7" w:rsidP="00C77BE5">
            <w:pPr>
              <w:pStyle w:val="Prrafo"/>
              <w:spacing w:before="0" w:after="0"/>
              <w:rPr>
                <w:rFonts w:ascii="Raleway" w:hAnsi="Raleway"/>
                <w:sz w:val="27"/>
                <w:szCs w:val="27"/>
              </w:rPr>
            </w:pPr>
            <w:r w:rsidRPr="00994A7E">
              <w:rPr>
                <w:rFonts w:ascii="Raleway" w:hAnsi="Raleway"/>
                <w:sz w:val="27"/>
                <w:szCs w:val="27"/>
              </w:rPr>
              <w:t>…</w:t>
            </w:r>
          </w:p>
          <w:p w14:paraId="07F2ABE0"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La exploración, explotación, beneficio y aprovechamiento del litio quedan exclusivamente a cargo del Estado, y se llevarán a cabo por el organismo público descentralizado que determine el Ejecutivo Federal en términos de las disposiciones aplicables</w:t>
            </w:r>
            <w:r w:rsidRPr="00994A7E">
              <w:rPr>
                <w:rFonts w:ascii="Raleway" w:hAnsi="Raleway"/>
                <w:sz w:val="27"/>
                <w:szCs w:val="27"/>
              </w:rPr>
              <w:t xml:space="preserve">. </w:t>
            </w:r>
            <w:r w:rsidRPr="00994A7E">
              <w:rPr>
                <w:rFonts w:ascii="Raleway" w:hAnsi="Raleway"/>
                <w:b/>
                <w:bCs/>
                <w:sz w:val="27"/>
                <w:szCs w:val="27"/>
              </w:rPr>
              <w:t>El cumplimiento de la legislación y Tratados Internacionales en materia</w:t>
            </w:r>
            <w:r w:rsidRPr="00994A7E">
              <w:rPr>
                <w:rFonts w:ascii="Raleway" w:hAnsi="Raleway"/>
                <w:sz w:val="27"/>
                <w:szCs w:val="27"/>
              </w:rPr>
              <w:t xml:space="preserve"> </w:t>
            </w:r>
            <w:r w:rsidRPr="00994A7E">
              <w:rPr>
                <w:rFonts w:ascii="Raleway" w:hAnsi="Raleway"/>
                <w:b/>
                <w:bCs/>
                <w:sz w:val="27"/>
                <w:szCs w:val="27"/>
              </w:rPr>
              <w:t>de protección al medio ambiente y derechos de los pueblos originarios, comunidades indígenas y afromexicanas será escrupuloso por parte de dicho organismo público.</w:t>
            </w:r>
            <w:r w:rsidRPr="00994A7E">
              <w:rPr>
                <w:rFonts w:ascii="Raleway" w:hAnsi="Raleway"/>
                <w:sz w:val="27"/>
                <w:szCs w:val="27"/>
              </w:rPr>
              <w:t xml:space="preserve"> </w:t>
            </w:r>
          </w:p>
          <w:p w14:paraId="03B86BF2" w14:textId="77777777" w:rsidR="008227F7" w:rsidRPr="00994A7E" w:rsidRDefault="008227F7" w:rsidP="00C77BE5">
            <w:pPr>
              <w:pStyle w:val="Prrafo"/>
              <w:spacing w:before="0" w:after="0"/>
              <w:rPr>
                <w:rFonts w:ascii="Raleway" w:hAnsi="Raleway"/>
                <w:sz w:val="27"/>
                <w:szCs w:val="27"/>
              </w:rPr>
            </w:pPr>
            <w:r w:rsidRPr="00994A7E">
              <w:rPr>
                <w:rFonts w:ascii="Raleway" w:hAnsi="Raleway"/>
                <w:sz w:val="27"/>
                <w:szCs w:val="27"/>
              </w:rPr>
              <w:t>…</w:t>
            </w:r>
          </w:p>
          <w:p w14:paraId="5511E5E6" w14:textId="77777777" w:rsidR="008227F7" w:rsidRPr="00994A7E" w:rsidRDefault="008227F7" w:rsidP="00C77BE5">
            <w:pPr>
              <w:pStyle w:val="Prrafo"/>
              <w:spacing w:before="0" w:after="0"/>
              <w:rPr>
                <w:rFonts w:ascii="Raleway" w:hAnsi="Raleway"/>
                <w:sz w:val="27"/>
                <w:szCs w:val="27"/>
              </w:rPr>
            </w:pPr>
            <w:r w:rsidRPr="00994A7E">
              <w:rPr>
                <w:rFonts w:ascii="Raleway" w:hAnsi="Raleway"/>
                <w:sz w:val="27"/>
                <w:szCs w:val="27"/>
              </w:rPr>
              <w:t>…</w:t>
            </w:r>
          </w:p>
        </w:tc>
        <w:tc>
          <w:tcPr>
            <w:tcW w:w="4531" w:type="dxa"/>
          </w:tcPr>
          <w:p w14:paraId="2AAD913B"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lastRenderedPageBreak/>
              <w:t>Artículo 10</w:t>
            </w:r>
            <w:r w:rsidRPr="00994A7E">
              <w:rPr>
                <w:rFonts w:ascii="Raleway" w:hAnsi="Raleway"/>
                <w:sz w:val="27"/>
                <w:szCs w:val="27"/>
              </w:rPr>
              <w:t>. Con excepción del litio y demás minerales declarados como estratégicos por el Estado, en términos de los artículos 27 y 28 constitucionales, la explotación de los minerales o sustancias a que se refiere el artículo 4, así como de las salinas formadas directamente por las aguas marinas provenientes de mares actuales, superficial o subterráneamente, de modo natural o artificial, y de las sales y subproductos de éstas, </w:t>
            </w:r>
            <w:r w:rsidRPr="00994A7E">
              <w:rPr>
                <w:rFonts w:ascii="Raleway" w:hAnsi="Raleway"/>
                <w:b/>
                <w:bCs/>
                <w:sz w:val="27"/>
                <w:szCs w:val="27"/>
              </w:rPr>
              <w:t xml:space="preserve">puede realizarse mediante concesiones mineras otorgadas por la Secretaría a ejidos y comunidades agrarias, pueblos y comunidades indígenas y afromexicanas a que se refiere el artículo 2o. constitucional </w:t>
            </w:r>
            <w:r w:rsidRPr="00994A7E">
              <w:rPr>
                <w:rFonts w:ascii="Raleway" w:hAnsi="Raleway"/>
                <w:b/>
                <w:bCs/>
                <w:sz w:val="27"/>
                <w:szCs w:val="27"/>
              </w:rPr>
              <w:lastRenderedPageBreak/>
              <w:t>reconocidos como tales por las constituciones y leyes de las Entidades Federativas, así como a las personas de nacionalidad mexicana que acrediten tener la capacidad técnica, jurídica, económica y administrativa señaladas en la presente Ley y en la normativa aplicable.</w:t>
            </w:r>
          </w:p>
          <w:p w14:paraId="5FA954C1"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Corresponde a la Secretaría dirigir la exploración del territorio nacional con objeto de identificar y cuantificar los recursos minerales potenciales de la Nación, a través de órdenes de exploración emitidas al Servicio Geológico Mexicano, las cuales deben ser publicadas en el Diario Oficial de la Federación. Las órdenes otorgadas no tendrán vigencia. A efecto de determinar geográficamente la exploración, el Reglamento de esta Ley conformará un órgano deliberativo que coadyuve con la Secretaría en la definición de la política de exploración nacional minera.</w:t>
            </w:r>
          </w:p>
          <w:p w14:paraId="7E256586"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sz w:val="27"/>
                <w:szCs w:val="27"/>
              </w:rPr>
              <w:lastRenderedPageBreak/>
              <w:t>La exploración, explotación, beneficio y aprovechamiento del litio quedan exclusivamente a cargo del Estado, y se llevarán a cabo por el organismo público descentralizado que determine el Ejecutivo Federal en términos de las disposiciones aplicables. El cumplimiento de la legislación y Tratados Internacionales en materia de protección al medio ambiente y derechos de los pueblos originarios, comunidades indígenas y afromexicanas será escrupuloso por parte de dicho organismo público.</w:t>
            </w:r>
          </w:p>
          <w:p w14:paraId="7BB4B7B8"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Por causas de utilidad pública o para la satisfacción de necesidades futuras del país se pueden declarar zonas de reservas mineras, mediante decreto del Ejecutivo Federal publicado en el Diario Oficial de la Federación</w:t>
            </w:r>
            <w:r w:rsidRPr="00994A7E">
              <w:rPr>
                <w:rFonts w:ascii="Raleway" w:hAnsi="Raleway"/>
                <w:sz w:val="27"/>
                <w:szCs w:val="27"/>
              </w:rPr>
              <w:t>.</w:t>
            </w:r>
          </w:p>
          <w:p w14:paraId="5EF8F95D"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 xml:space="preserve">Los títulos de concesión y de asignación mineras y los decretos de declaración de zonas de reservas mineras se expedirán siempre y cuando se satisfagan las condiciones y requisitos establecidos por esta Ley y su </w:t>
            </w:r>
            <w:r w:rsidRPr="00994A7E">
              <w:rPr>
                <w:rFonts w:ascii="Raleway" w:hAnsi="Raleway"/>
                <w:b/>
                <w:bCs/>
                <w:sz w:val="27"/>
                <w:szCs w:val="27"/>
              </w:rPr>
              <w:lastRenderedPageBreak/>
              <w:t>Reglamento, sin perjuicio de terceros</w:t>
            </w:r>
            <w:r w:rsidRPr="00994A7E">
              <w:rPr>
                <w:rFonts w:ascii="Raleway" w:hAnsi="Raleway"/>
                <w:sz w:val="27"/>
                <w:szCs w:val="27"/>
              </w:rPr>
              <w:t>.</w:t>
            </w:r>
          </w:p>
          <w:p w14:paraId="108357CE" w14:textId="77777777" w:rsidR="008227F7" w:rsidRPr="00994A7E" w:rsidRDefault="008227F7" w:rsidP="00C77BE5">
            <w:pPr>
              <w:pStyle w:val="Prrafo"/>
              <w:spacing w:before="0" w:after="0"/>
              <w:rPr>
                <w:rFonts w:ascii="Raleway" w:hAnsi="Raleway"/>
                <w:b/>
                <w:bCs/>
                <w:sz w:val="27"/>
                <w:szCs w:val="27"/>
              </w:rPr>
            </w:pPr>
          </w:p>
        </w:tc>
      </w:tr>
      <w:tr w:rsidR="008227F7" w:rsidRPr="00994A7E" w14:paraId="04E4639E" w14:textId="77777777" w:rsidTr="00C77BE5">
        <w:tc>
          <w:tcPr>
            <w:tcW w:w="4531" w:type="dxa"/>
          </w:tcPr>
          <w:p w14:paraId="47E7D3C3"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lastRenderedPageBreak/>
              <w:t xml:space="preserve">Transitorios </w:t>
            </w:r>
          </w:p>
          <w:p w14:paraId="23B3B8DB"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 xml:space="preserve">Primero. </w:t>
            </w:r>
            <w:r w:rsidRPr="00994A7E">
              <w:rPr>
                <w:rFonts w:ascii="Raleway" w:hAnsi="Raleway"/>
                <w:sz w:val="27"/>
                <w:szCs w:val="27"/>
              </w:rPr>
              <w:t>El presente Decreto entrará en vigor al día siguiente de su publicación en el Diario Oficial de la Federación.</w:t>
            </w:r>
          </w:p>
          <w:p w14:paraId="40C77B4E"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Segundo.</w:t>
            </w:r>
            <w:r w:rsidRPr="00994A7E">
              <w:rPr>
                <w:rFonts w:ascii="Raleway" w:hAnsi="Raleway"/>
                <w:sz w:val="27"/>
                <w:szCs w:val="27"/>
              </w:rPr>
              <w:t xml:space="preserve"> Se derogan las disposiciones legales y reglamentarias que se opongan a este ordenamiento. </w:t>
            </w:r>
          </w:p>
          <w:p w14:paraId="3FD23FB2"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 xml:space="preserve">Tercero. </w:t>
            </w:r>
            <w:r w:rsidRPr="00994A7E">
              <w:rPr>
                <w:rFonts w:ascii="Raleway" w:hAnsi="Raleway"/>
                <w:sz w:val="27"/>
                <w:szCs w:val="27"/>
              </w:rPr>
              <w:t>El Ejecutivo Federal, dentro de los noventa días hábiles posteriores a la entrada en vigor del presente Decreto, emitirá conforme a la Ley Federal de las Entidades Paraestatales, el instrumento de creación del organismo público descentralizado a que se refiere el artículo 10 de la Ley.</w:t>
            </w:r>
          </w:p>
          <w:p w14:paraId="7FE259C4"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sz w:val="27"/>
                <w:szCs w:val="27"/>
              </w:rPr>
              <w:t xml:space="preserve">Las erogaciones que se generen con motivo de la entrada en vigor del presente Decreto, incluyendo la creación del organismo señalado en el párrafo anterior, se cubrirán mediante movimientos compensados, conforme a las </w:t>
            </w:r>
            <w:r w:rsidRPr="00994A7E">
              <w:rPr>
                <w:rFonts w:ascii="Raleway" w:hAnsi="Raleway"/>
                <w:sz w:val="27"/>
                <w:szCs w:val="27"/>
              </w:rPr>
              <w:lastRenderedPageBreak/>
              <w:t>disposiciones jurídicas aplicables, con cargo al presupuesto de la dependencia que asuma las funciones de coordinación sectorial del citado organismo de acuerdo con el Decreto de creación, por lo que no se autorizarán ampliaciones al presupuesto del ramo correspondiente para el presente ejercicio fiscal para estos efectos.</w:t>
            </w:r>
          </w:p>
        </w:tc>
        <w:tc>
          <w:tcPr>
            <w:tcW w:w="4531" w:type="dxa"/>
          </w:tcPr>
          <w:p w14:paraId="299AA6B2"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lastRenderedPageBreak/>
              <w:t xml:space="preserve">Transitorios </w:t>
            </w:r>
          </w:p>
          <w:p w14:paraId="2CF9C31F"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 xml:space="preserve">Primero. </w:t>
            </w:r>
            <w:r w:rsidRPr="00994A7E">
              <w:rPr>
                <w:rFonts w:ascii="Raleway" w:hAnsi="Raleway"/>
                <w:sz w:val="27"/>
                <w:szCs w:val="27"/>
              </w:rPr>
              <w:t>El presente Decreto entrará en vigor el día siguiente al de su publicación en el Diario Oficial de la Federación.</w:t>
            </w:r>
          </w:p>
          <w:p w14:paraId="04BF488B" w14:textId="77777777" w:rsidR="008227F7" w:rsidRPr="00994A7E" w:rsidRDefault="008227F7" w:rsidP="00C77BE5">
            <w:pPr>
              <w:pStyle w:val="Prrafo"/>
              <w:spacing w:before="0" w:after="0"/>
              <w:rPr>
                <w:rFonts w:ascii="Raleway" w:hAnsi="Raleway"/>
                <w:sz w:val="27"/>
                <w:szCs w:val="27"/>
              </w:rPr>
            </w:pPr>
            <w:r w:rsidRPr="00994A7E">
              <w:rPr>
                <w:rFonts w:ascii="Raleway" w:hAnsi="Raleway"/>
                <w:b/>
                <w:bCs/>
                <w:sz w:val="27"/>
                <w:szCs w:val="27"/>
              </w:rPr>
              <w:t xml:space="preserve">Segundo. </w:t>
            </w:r>
            <w:r w:rsidRPr="00994A7E">
              <w:rPr>
                <w:rFonts w:ascii="Raleway" w:hAnsi="Raleway"/>
                <w:sz w:val="27"/>
                <w:szCs w:val="27"/>
              </w:rPr>
              <w:t>Se derogan las disposiciones jurídicas que se opongan al presente Decreto.</w:t>
            </w:r>
          </w:p>
          <w:p w14:paraId="394EAC87" w14:textId="77777777" w:rsidR="008227F7" w:rsidRPr="00994A7E" w:rsidRDefault="008227F7" w:rsidP="00C77BE5">
            <w:pPr>
              <w:pStyle w:val="Prrafo"/>
              <w:spacing w:before="0" w:after="0"/>
              <w:rPr>
                <w:rFonts w:ascii="Raleway" w:hAnsi="Raleway"/>
                <w:b/>
                <w:bCs/>
                <w:sz w:val="27"/>
                <w:szCs w:val="27"/>
              </w:rPr>
            </w:pPr>
          </w:p>
          <w:p w14:paraId="1A3D7B15"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Tercero. </w:t>
            </w:r>
            <w:r w:rsidRPr="00994A7E">
              <w:rPr>
                <w:rFonts w:ascii="Raleway" w:hAnsi="Raleway"/>
                <w:sz w:val="27"/>
                <w:szCs w:val="27"/>
              </w:rPr>
              <w:t>Las erogaciones que se generen con motivo de la entrada en vigor del presente Decreto se realizarán con cargo a los recursos aprobados expresamente para esos fines por la Cámara de Diputados en los respectivos presupuestos de egresos de los ejecutores de gasto correspondientes; en caso de que se realice alguna modificación a la</w:t>
            </w:r>
            <w:r w:rsidRPr="00994A7E">
              <w:rPr>
                <w:rFonts w:ascii="Raleway" w:hAnsi="Raleway"/>
                <w:b/>
                <w:bCs/>
                <w:sz w:val="27"/>
                <w:szCs w:val="27"/>
              </w:rPr>
              <w:t xml:space="preserve"> </w:t>
            </w:r>
            <w:r w:rsidRPr="00994A7E">
              <w:rPr>
                <w:rFonts w:ascii="Raleway" w:hAnsi="Raleway"/>
                <w:sz w:val="27"/>
                <w:szCs w:val="27"/>
              </w:rPr>
              <w:t xml:space="preserve">estructura orgánica de los mismos, ésta deberá llevarse a cabo mediante movimientos compensados conforme a las disposiciones jurídicas aplicables, por lo que en ningún caso se </w:t>
            </w:r>
            <w:r w:rsidRPr="00994A7E">
              <w:rPr>
                <w:rFonts w:ascii="Raleway" w:hAnsi="Raleway"/>
                <w:sz w:val="27"/>
                <w:szCs w:val="27"/>
              </w:rPr>
              <w:lastRenderedPageBreak/>
              <w:t>autorizarán ampliaciones a sus</w:t>
            </w:r>
            <w:r w:rsidRPr="00994A7E">
              <w:rPr>
                <w:rFonts w:ascii="Raleway" w:hAnsi="Raleway"/>
                <w:b/>
                <w:bCs/>
                <w:sz w:val="27"/>
                <w:szCs w:val="27"/>
              </w:rPr>
              <w:t xml:space="preserve"> </w:t>
            </w:r>
            <w:r w:rsidRPr="00994A7E">
              <w:rPr>
                <w:rFonts w:ascii="Raleway" w:hAnsi="Raleway"/>
                <w:sz w:val="27"/>
                <w:szCs w:val="27"/>
              </w:rPr>
              <w:t>presupuestos de egresos para el presente ejercicio fiscal.</w:t>
            </w:r>
          </w:p>
          <w:p w14:paraId="43A78568"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Cuarto. La persona titular del Ejecutivo Federal, dentro de un plazo que no excederá los ciento ochenta días contados a partir de la entrada en vigor del presente Decreto, deberá expedir las reformas correspondientes a las disposiciones reglamentarias respectivas.</w:t>
            </w:r>
          </w:p>
          <w:p w14:paraId="0CB5CA24"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Quinto. En tanto se emite la normativa señalada en el artículo anterior, se seguirán aplicando las disposiciones que se encontraban vigentes antes de la entrada en vigor del presente Decreto, siempre que no se opongan a éste.</w:t>
            </w:r>
          </w:p>
          <w:p w14:paraId="35187503"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Las menciones a la Ley Minera contenidas en otras leyes, reglamentos y en cualquier disposición de carácter general se entienden referidas a la Ley de Minería.</w:t>
            </w:r>
          </w:p>
          <w:p w14:paraId="064DB4D5"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Las solicitudes en trámite de nueva concesión de exploración y explotación se desecharán sin mayor trámite, en virtud de lo </w:t>
            </w:r>
            <w:r w:rsidRPr="00994A7E">
              <w:rPr>
                <w:rFonts w:ascii="Raleway" w:hAnsi="Raleway"/>
                <w:b/>
                <w:bCs/>
                <w:sz w:val="27"/>
                <w:szCs w:val="27"/>
              </w:rPr>
              <w:lastRenderedPageBreak/>
              <w:t>dispuesto por el presente Decreto.</w:t>
            </w:r>
          </w:p>
          <w:p w14:paraId="6E1F0074"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Sexto. Las concesiones de exploración y explotación otorgadas con anterioridad a la entrada en vigor del presente Decreto tendrán la duración prevista en el título respectivo.</w:t>
            </w:r>
          </w:p>
          <w:p w14:paraId="3661615F"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Séptimo. A partir de la entrada en vigor del presente Decreto, no se otorgarán prórrogas a las concesiones en Áreas Naturales Protegidas, así como a las ya emitidas para la exploración, explotación y beneficio del mercurio dentro del territorio nacional.</w:t>
            </w:r>
          </w:p>
          <w:p w14:paraId="50E13D79"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Octavo. Para efectos de la caducidad a que se refiere el artículo 53 Bis de la Ley de Minería, los plazos se computarán a partir de la entrada en vigor del presente Decreto.</w:t>
            </w:r>
          </w:p>
          <w:p w14:paraId="6C001B21"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Noveno. Los procedimientos y recursos administrativos relacionados con las actividades de minería y aguas iniciados con anterioridad a la entrada en vigor del presente Decreto, se </w:t>
            </w:r>
            <w:r w:rsidRPr="00994A7E">
              <w:rPr>
                <w:rFonts w:ascii="Raleway" w:hAnsi="Raleway"/>
                <w:b/>
                <w:bCs/>
                <w:sz w:val="27"/>
                <w:szCs w:val="27"/>
              </w:rPr>
              <w:lastRenderedPageBreak/>
              <w:t>tramitarán y resolverán conforme a las disposiciones vigentes en el momento de su inicio, y las demás disposiciones aplicables en la materia de que se trate, siempre que no se opongan a lo previsto en el presente Decreto.</w:t>
            </w:r>
          </w:p>
          <w:p w14:paraId="5B1DA877"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Décimo. Las personas titulares de concesiones mineras, dentro de los trescientos sesenta y cinco días naturales contados a partir de la entrada en vigor del presente Decreto, deberán presentar el vehículo financiero a que se refiere la Ley de Minería, que garantice los posibles daños que se generen durante la ejecución de las actividades mineras, así como presentar para autorización de la Secretaría de Medio Ambiente y Recursos Naturales el Programa de Restauración, Cierre y Post-cierre de Minas.</w:t>
            </w:r>
          </w:p>
          <w:p w14:paraId="1BD4B13A"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Décimo Primero. Las personas titulares de concesiones mineras deben garantizar que los depósitos o sitios de disposición final de terreros, presas de jales o escorias no afecten núcleos de población, zonas productivas o </w:t>
            </w:r>
            <w:r w:rsidRPr="00994A7E">
              <w:rPr>
                <w:rFonts w:ascii="Raleway" w:hAnsi="Raleway"/>
                <w:b/>
                <w:bCs/>
                <w:sz w:val="27"/>
                <w:szCs w:val="27"/>
              </w:rPr>
              <w:lastRenderedPageBreak/>
              <w:t>ecosistemas, de conformidad con las disposiciones jurídicas aplicables.</w:t>
            </w:r>
          </w:p>
          <w:p w14:paraId="499FC94C"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Cuando las autoridades competentes determinen que los depósitos o sitios de disposición final de terreros, presas de jales o escorias presenten riesgos para la seguridad o salud de la población, zonas productivas o de los ecosistemas, las personas concesionarias tendrán un plazo de trescientos sesenta y cinco días naturales contados a partir de la notificación correspondiente por parte de la autoridad competente para realizar la remoción o remediación necesaria.</w:t>
            </w:r>
          </w:p>
          <w:p w14:paraId="11FA508A"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 xml:space="preserve">Décimo Segundo. En los ciento ochenta días siguientes a la entrada en vigor del presente Decreto, el Servicio Geológico Mexicano deberá retirar su participación de fondos de inversión de riesgo compartido en los que tenga activos, en tanto no le genere pérdidas. Para tales efectos, podrá mantener su </w:t>
            </w:r>
            <w:r w:rsidRPr="00994A7E">
              <w:rPr>
                <w:rFonts w:ascii="Raleway" w:hAnsi="Raleway"/>
                <w:b/>
                <w:bCs/>
                <w:sz w:val="27"/>
                <w:szCs w:val="27"/>
              </w:rPr>
              <w:lastRenderedPageBreak/>
              <w:t>posición hasta que éstos se encuentren en los valores en los que se adquirieron.</w:t>
            </w:r>
          </w:p>
          <w:p w14:paraId="4AF06F23" w14:textId="77777777" w:rsidR="008227F7" w:rsidRPr="00994A7E" w:rsidRDefault="008227F7" w:rsidP="00C77BE5">
            <w:pPr>
              <w:pStyle w:val="Prrafo"/>
              <w:spacing w:before="0" w:after="0"/>
              <w:rPr>
                <w:rFonts w:ascii="Raleway" w:hAnsi="Raleway"/>
                <w:b/>
                <w:bCs/>
                <w:sz w:val="27"/>
                <w:szCs w:val="27"/>
              </w:rPr>
            </w:pPr>
            <w:r w:rsidRPr="00994A7E">
              <w:rPr>
                <w:rFonts w:ascii="Raleway" w:hAnsi="Raleway"/>
                <w:b/>
                <w:bCs/>
                <w:sz w:val="27"/>
                <w:szCs w:val="27"/>
              </w:rPr>
              <w:t>Décimo Tercero. Las personas titulares de concesiones de aguas nacionales que realicen actividades de exploración, explotación, beneficio y aprovechamiento minero, dentro de los noventa días naturales posteriores a la entrada en vigor del presente Decreto, deberán solicitar a "la Autoridad del Agua" el cambio de uso industrial al uso industrial en la minería, a efecto de regularizar su situación jurídica, de conformidad con las disposiciones normativas aplicables.</w:t>
            </w:r>
            <w:r w:rsidRPr="00994A7E">
              <w:rPr>
                <w:rFonts w:ascii="Raleway" w:hAnsi="Raleway"/>
                <w:sz w:val="27"/>
                <w:szCs w:val="27"/>
              </w:rPr>
              <w:t xml:space="preserve"> </w:t>
            </w:r>
          </w:p>
        </w:tc>
      </w:tr>
    </w:tbl>
    <w:p w14:paraId="48CE45F7" w14:textId="77777777" w:rsidR="008227F7" w:rsidRPr="00994A7E" w:rsidRDefault="008227F7" w:rsidP="008227F7">
      <w:pPr>
        <w:pStyle w:val="Prrafo"/>
        <w:spacing w:before="0" w:after="0"/>
        <w:rPr>
          <w:rFonts w:ascii="Raleway" w:hAnsi="Raleway"/>
          <w:sz w:val="27"/>
          <w:szCs w:val="27"/>
        </w:rPr>
      </w:pPr>
    </w:p>
    <w:p w14:paraId="2C5EFCF5" w14:textId="77777777" w:rsidR="008227F7" w:rsidRPr="00994A7E" w:rsidRDefault="008227F7" w:rsidP="008227F7">
      <w:pPr>
        <w:tabs>
          <w:tab w:val="num" w:pos="720"/>
        </w:tabs>
        <w:spacing w:before="0" w:after="0" w:line="360" w:lineRule="auto"/>
        <w:rPr>
          <w:rFonts w:ascii="Raleway" w:hAnsi="Raleway"/>
          <w:b/>
          <w:bCs/>
          <w:sz w:val="27"/>
          <w:szCs w:val="27"/>
        </w:rPr>
      </w:pPr>
      <w:r w:rsidRPr="00994A7E">
        <w:rPr>
          <w:rFonts w:ascii="Raleway" w:hAnsi="Raleway"/>
          <w:b/>
          <w:bCs/>
          <w:sz w:val="27"/>
          <w:szCs w:val="27"/>
        </w:rPr>
        <w:t>a) Artículos 1 y 10 de la Ley Minera</w:t>
      </w:r>
    </w:p>
    <w:p w14:paraId="531B0FE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De la demanda se desprende que la minoría accionante cuestiona, entre otros aspectos, la </w:t>
      </w:r>
      <w:r w:rsidRPr="00994A7E">
        <w:rPr>
          <w:rFonts w:ascii="Raleway" w:hAnsi="Raleway"/>
          <w:b/>
          <w:bCs/>
          <w:sz w:val="27"/>
          <w:szCs w:val="27"/>
        </w:rPr>
        <w:t>deficiente regulación del organismo público descentralizado</w:t>
      </w:r>
      <w:r w:rsidRPr="00994A7E">
        <w:rPr>
          <w:rFonts w:ascii="Raleway" w:hAnsi="Raleway"/>
          <w:sz w:val="27"/>
          <w:szCs w:val="27"/>
        </w:rPr>
        <w:t xml:space="preserve"> al que el Decreto impugnado confiere la exploración, explotación, beneficio y aprovechamiento del litio, al considerar que sus funciones y facultades quedaron insuficientemente determinadas y que dicha deficiencia solo podía ser subsanada mediante una regulación legislativa más precisa.</w:t>
      </w:r>
    </w:p>
    <w:p w14:paraId="503D1283" w14:textId="77777777" w:rsidR="008227F7" w:rsidRPr="00994A7E" w:rsidRDefault="008227F7" w:rsidP="008227F7">
      <w:pPr>
        <w:pStyle w:val="Prrafo"/>
        <w:spacing w:before="0" w:after="0"/>
        <w:rPr>
          <w:rFonts w:ascii="Raleway" w:hAnsi="Raleway"/>
          <w:sz w:val="27"/>
          <w:szCs w:val="27"/>
        </w:rPr>
      </w:pPr>
    </w:p>
    <w:p w14:paraId="51FC1B62"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No obstante, este Tribunal Pleno advierte que el Decreto publicado el ocho de mayo de dos mil veintitrés introdujo una </w:t>
      </w:r>
      <w:r w:rsidRPr="00994A7E">
        <w:rPr>
          <w:rFonts w:ascii="Raleway" w:hAnsi="Raleway"/>
          <w:b/>
          <w:bCs/>
          <w:sz w:val="27"/>
          <w:szCs w:val="27"/>
        </w:rPr>
        <w:t xml:space="preserve">reconfiguración </w:t>
      </w:r>
      <w:r w:rsidRPr="00994A7E">
        <w:rPr>
          <w:rFonts w:ascii="Raleway" w:hAnsi="Raleway"/>
          <w:b/>
          <w:bCs/>
          <w:sz w:val="27"/>
          <w:szCs w:val="27"/>
        </w:rPr>
        <w:lastRenderedPageBreak/>
        <w:t>normativa sustancial</w:t>
      </w:r>
      <w:r w:rsidRPr="00994A7E">
        <w:rPr>
          <w:rFonts w:ascii="Raleway" w:hAnsi="Raleway"/>
          <w:sz w:val="27"/>
          <w:szCs w:val="27"/>
        </w:rPr>
        <w:t xml:space="preserve"> del régimen aplicable a dicho organismo, al establecer expresamente que el ente encargado de las actividades relativas al litio estará </w:t>
      </w:r>
      <w:r w:rsidRPr="00994A7E">
        <w:rPr>
          <w:rFonts w:ascii="Raleway" w:hAnsi="Raleway"/>
          <w:b/>
          <w:bCs/>
          <w:sz w:val="27"/>
          <w:szCs w:val="27"/>
        </w:rPr>
        <w:t>sectorizado a la Secretaría de Energía</w:t>
      </w:r>
      <w:r w:rsidRPr="00994A7E">
        <w:rPr>
          <w:rFonts w:ascii="Raleway" w:hAnsi="Raleway"/>
          <w:sz w:val="27"/>
          <w:szCs w:val="27"/>
        </w:rPr>
        <w:t>.</w:t>
      </w:r>
    </w:p>
    <w:p w14:paraId="4FB358BD" w14:textId="77777777" w:rsidR="008227F7" w:rsidRPr="00994A7E" w:rsidRDefault="008227F7" w:rsidP="008227F7">
      <w:pPr>
        <w:pStyle w:val="Prrafodelista"/>
        <w:spacing w:before="0" w:after="0" w:line="360" w:lineRule="auto"/>
        <w:rPr>
          <w:rFonts w:ascii="Raleway" w:hAnsi="Raleway"/>
          <w:sz w:val="27"/>
          <w:szCs w:val="27"/>
        </w:rPr>
      </w:pPr>
    </w:p>
    <w:p w14:paraId="2E60383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Este cambio no constituye una mera modificación terminológica, sino una alteración estructural del diseño institucional, pues redefine el ámbito sectorial al que se adscribe el organismo público descentralizado y, con ello, el marco de conducción administrativa y política pública bajo el cual habrá de operar.</w:t>
      </w:r>
    </w:p>
    <w:p w14:paraId="3C591229" w14:textId="77777777" w:rsidR="008227F7" w:rsidRPr="00994A7E" w:rsidRDefault="008227F7" w:rsidP="008227F7">
      <w:pPr>
        <w:pStyle w:val="Prrafodelista"/>
        <w:spacing w:before="0" w:after="0" w:line="360" w:lineRule="auto"/>
        <w:rPr>
          <w:rFonts w:ascii="Raleway" w:hAnsi="Raleway"/>
          <w:sz w:val="27"/>
          <w:szCs w:val="27"/>
        </w:rPr>
      </w:pPr>
    </w:p>
    <w:p w14:paraId="401A7E9E"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Si bien el artículo 10 conserva, en lo esencial, la redacción originalmente impugnada en cuanto a que la exploración, explotación, beneficio y aprovechamiento del litio se llevarán a cabo por el organismo público descentralizado que determine el Ejecutivo Federal, lo cierto es que la nueva adscripción sectorial implica que el ente originalmente cuestionado —no sectorizado a la Secretaría de Energía— ha dejado de existir en los términos normativos impugnados.</w:t>
      </w:r>
    </w:p>
    <w:p w14:paraId="5378576D" w14:textId="77777777" w:rsidR="008227F7" w:rsidRPr="00994A7E" w:rsidRDefault="008227F7" w:rsidP="008227F7">
      <w:pPr>
        <w:pStyle w:val="Prrafodelista"/>
        <w:spacing w:before="0" w:after="0" w:line="360" w:lineRule="auto"/>
        <w:rPr>
          <w:rFonts w:ascii="Raleway" w:hAnsi="Raleway"/>
          <w:sz w:val="27"/>
          <w:szCs w:val="27"/>
        </w:rPr>
      </w:pPr>
    </w:p>
    <w:p w14:paraId="4ABEDD3E"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estas condiciones, se concluye que el subsistema normativo integrado por los artículos 1 y 10, en lo relativo al diseño institucional del organismo encargado del litio, </w:t>
      </w:r>
      <w:r w:rsidRPr="00994A7E">
        <w:rPr>
          <w:rFonts w:ascii="Raleway" w:hAnsi="Raleway"/>
          <w:b/>
          <w:bCs/>
          <w:sz w:val="27"/>
          <w:szCs w:val="27"/>
        </w:rPr>
        <w:t>ha cesado en sus efectos</w:t>
      </w:r>
      <w:r w:rsidRPr="00994A7E">
        <w:rPr>
          <w:rFonts w:ascii="Raleway" w:hAnsi="Raleway"/>
          <w:sz w:val="27"/>
          <w:szCs w:val="27"/>
        </w:rPr>
        <w:t>, lo que actualiza la causa de improcedencia en estudio.</w:t>
      </w:r>
    </w:p>
    <w:p w14:paraId="173A7BE7" w14:textId="77777777" w:rsidR="008227F7" w:rsidRPr="00994A7E" w:rsidRDefault="008227F7" w:rsidP="008227F7">
      <w:pPr>
        <w:pStyle w:val="Prrafodelista"/>
        <w:spacing w:before="0" w:after="0" w:line="360" w:lineRule="auto"/>
        <w:rPr>
          <w:rFonts w:ascii="Raleway" w:hAnsi="Raleway"/>
          <w:sz w:val="27"/>
          <w:szCs w:val="27"/>
        </w:rPr>
      </w:pPr>
    </w:p>
    <w:p w14:paraId="39B0015E" w14:textId="77777777" w:rsidR="008227F7" w:rsidRPr="00994A7E" w:rsidRDefault="008227F7" w:rsidP="008227F7">
      <w:pPr>
        <w:tabs>
          <w:tab w:val="num" w:pos="720"/>
        </w:tabs>
        <w:spacing w:before="0" w:after="0" w:line="360" w:lineRule="auto"/>
        <w:rPr>
          <w:rFonts w:ascii="Raleway" w:hAnsi="Raleway"/>
          <w:b/>
          <w:bCs/>
          <w:sz w:val="27"/>
          <w:szCs w:val="27"/>
        </w:rPr>
      </w:pPr>
      <w:r w:rsidRPr="00994A7E">
        <w:rPr>
          <w:rFonts w:ascii="Raleway" w:hAnsi="Raleway"/>
          <w:b/>
          <w:bCs/>
          <w:sz w:val="27"/>
          <w:szCs w:val="27"/>
        </w:rPr>
        <w:t>b) Artículo 9 de la Ley Minera</w:t>
      </w:r>
    </w:p>
    <w:p w14:paraId="303152A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Una conclusión similar se impone respecto del artículo 9 de la Ley Minera. Si bien la minoría accionante lo impugna como parte de la supuesta deficiente regulación del organismo descentralizado previsto en el artículo 10, el Decreto de ocho de mayo de dos mil veintitrés modificó de manera relevante el contenido y alcance de dicha disposición.</w:t>
      </w:r>
    </w:p>
    <w:p w14:paraId="6F3DCDC0" w14:textId="77777777" w:rsidR="008227F7" w:rsidRPr="00994A7E" w:rsidRDefault="008227F7" w:rsidP="008227F7">
      <w:pPr>
        <w:pStyle w:val="Prrafo"/>
        <w:spacing w:before="0" w:after="0"/>
        <w:rPr>
          <w:rFonts w:ascii="Raleway" w:hAnsi="Raleway"/>
          <w:sz w:val="27"/>
          <w:szCs w:val="27"/>
        </w:rPr>
      </w:pPr>
    </w:p>
    <w:p w14:paraId="310B383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En efecto, el nuevo texto establece de manera expresa que el Servicio Geológico Mexicano es un organismo público descentralizado coordinado sectorialmente por la Secretaría de Economía, eliminando la ambigüedad que existía en la redacción original respecto de si su coordinación correspondía a dicha Secretaría o al organismo público descentralizado encargado del litio.</w:t>
      </w:r>
    </w:p>
    <w:p w14:paraId="16783408" w14:textId="77777777" w:rsidR="008227F7" w:rsidRPr="00994A7E" w:rsidRDefault="008227F7" w:rsidP="008227F7">
      <w:pPr>
        <w:pStyle w:val="Prrafodelista"/>
        <w:spacing w:before="0" w:after="0" w:line="360" w:lineRule="auto"/>
        <w:rPr>
          <w:rFonts w:ascii="Raleway" w:hAnsi="Raleway"/>
          <w:sz w:val="27"/>
          <w:szCs w:val="27"/>
        </w:rPr>
      </w:pPr>
    </w:p>
    <w:p w14:paraId="1C70C42A"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Adicionalmente, la reforma amplía el objeto del Servicio Geológico Mexicano al encomendarle, de manera explícita, funciones orientadas a </w:t>
      </w:r>
      <w:r w:rsidRPr="00994A7E">
        <w:rPr>
          <w:rFonts w:ascii="Raleway" w:hAnsi="Raleway"/>
          <w:b/>
          <w:bCs/>
          <w:sz w:val="27"/>
          <w:szCs w:val="27"/>
        </w:rPr>
        <w:t>garantizar el aprovechamiento sustentable de los recursos minerales</w:t>
      </w:r>
      <w:r w:rsidRPr="00994A7E">
        <w:rPr>
          <w:rFonts w:ascii="Raleway" w:hAnsi="Raleway"/>
          <w:sz w:val="27"/>
          <w:szCs w:val="27"/>
        </w:rPr>
        <w:t>, lo que implica una redefinición de su función institucional con una perspectiva ambiental y de sostenibilidad.</w:t>
      </w:r>
    </w:p>
    <w:p w14:paraId="2D224E02" w14:textId="77777777" w:rsidR="008227F7" w:rsidRPr="00994A7E" w:rsidRDefault="008227F7" w:rsidP="008227F7">
      <w:pPr>
        <w:pStyle w:val="Prrafodelista"/>
        <w:spacing w:before="0" w:after="0" w:line="360" w:lineRule="auto"/>
        <w:rPr>
          <w:rFonts w:ascii="Raleway" w:hAnsi="Raleway"/>
          <w:sz w:val="27"/>
          <w:szCs w:val="27"/>
        </w:rPr>
      </w:pPr>
    </w:p>
    <w:p w14:paraId="181778E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virtud de estos cambios, este Tribunal Pleno considera que el </w:t>
      </w:r>
      <w:r w:rsidRPr="00994A7E">
        <w:rPr>
          <w:rFonts w:ascii="Raleway" w:hAnsi="Raleway"/>
          <w:b/>
          <w:bCs/>
          <w:sz w:val="27"/>
          <w:szCs w:val="27"/>
        </w:rPr>
        <w:t>artículo 9 originalmente impugnado ha sido sustituido por un nuevo régimen normativo</w:t>
      </w:r>
      <w:r w:rsidRPr="00994A7E">
        <w:rPr>
          <w:rFonts w:ascii="Raleway" w:hAnsi="Raleway"/>
          <w:sz w:val="27"/>
          <w:szCs w:val="27"/>
        </w:rPr>
        <w:t>, lo que impide analizar los conceptos de invalidez formulados en su contra en el presente medio de control constitucional.</w:t>
      </w:r>
    </w:p>
    <w:p w14:paraId="5785BEAF" w14:textId="77777777" w:rsidR="008227F7" w:rsidRPr="00994A7E" w:rsidRDefault="008227F7" w:rsidP="008227F7">
      <w:pPr>
        <w:pStyle w:val="Prrafodelista"/>
        <w:spacing w:before="0" w:after="0" w:line="360" w:lineRule="auto"/>
        <w:rPr>
          <w:rFonts w:ascii="Raleway" w:hAnsi="Raleway"/>
          <w:sz w:val="27"/>
          <w:szCs w:val="27"/>
        </w:rPr>
      </w:pPr>
    </w:p>
    <w:p w14:paraId="40F12314" w14:textId="77777777" w:rsidR="008227F7" w:rsidRPr="00994A7E" w:rsidRDefault="008227F7" w:rsidP="008227F7">
      <w:pPr>
        <w:tabs>
          <w:tab w:val="num" w:pos="720"/>
        </w:tabs>
        <w:spacing w:before="0" w:after="0" w:line="360" w:lineRule="auto"/>
        <w:rPr>
          <w:rFonts w:ascii="Raleway" w:hAnsi="Raleway"/>
          <w:b/>
          <w:bCs/>
          <w:sz w:val="27"/>
          <w:szCs w:val="27"/>
        </w:rPr>
      </w:pPr>
      <w:r w:rsidRPr="00994A7E">
        <w:rPr>
          <w:rFonts w:ascii="Raleway" w:hAnsi="Raleway"/>
          <w:b/>
          <w:bCs/>
          <w:sz w:val="27"/>
          <w:szCs w:val="27"/>
        </w:rPr>
        <w:t>c) Artículo 5 Bis de la Ley Minera (omisión legislativa relativa)</w:t>
      </w:r>
    </w:p>
    <w:p w14:paraId="7DDB987E" w14:textId="10E5E73F"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La minoría accionante también impugna el artículo 5 Bis, de nueva creación en el Decreto de veint</w:t>
      </w:r>
      <w:r w:rsidR="001C0480">
        <w:rPr>
          <w:rFonts w:ascii="Raleway" w:hAnsi="Raleway"/>
          <w:sz w:val="27"/>
          <w:szCs w:val="27"/>
        </w:rPr>
        <w:t xml:space="preserve">e </w:t>
      </w:r>
      <w:r w:rsidRPr="00994A7E">
        <w:rPr>
          <w:rFonts w:ascii="Raleway" w:hAnsi="Raleway"/>
          <w:sz w:val="27"/>
          <w:szCs w:val="27"/>
        </w:rPr>
        <w:t>de abril de dos mil veintidós, al considerar que vulnera el principio de confianza legítima, al eliminar abruptamente el régimen de concesiones sin prever un marco normativo aplicable a las concesiones otorgadas con anterioridad.</w:t>
      </w:r>
    </w:p>
    <w:p w14:paraId="6C761EFE" w14:textId="77777777" w:rsidR="008227F7" w:rsidRPr="00994A7E" w:rsidRDefault="008227F7" w:rsidP="008227F7">
      <w:pPr>
        <w:pStyle w:val="Prrafo"/>
        <w:spacing w:before="0" w:after="0"/>
        <w:rPr>
          <w:rFonts w:ascii="Raleway" w:hAnsi="Raleway"/>
          <w:sz w:val="27"/>
          <w:szCs w:val="27"/>
        </w:rPr>
      </w:pPr>
    </w:p>
    <w:p w14:paraId="0A8FF4F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Este Alto Tribunal advierte que dicho planteamiento se formula en términos de una omisión legislativa relativa, pues no se cuestiona el contenido expreso del artículo 5 Bis, sino la supuesta falta de previsión de un régimen transitorio para las concesiones previamente otorgadas.</w:t>
      </w:r>
    </w:p>
    <w:p w14:paraId="4FB5FAA7" w14:textId="77777777" w:rsidR="008227F7" w:rsidRPr="00994A7E" w:rsidRDefault="008227F7" w:rsidP="008227F7">
      <w:pPr>
        <w:pStyle w:val="Prrafodelista"/>
        <w:spacing w:before="0" w:after="0" w:line="360" w:lineRule="auto"/>
        <w:rPr>
          <w:rFonts w:ascii="Raleway" w:hAnsi="Raleway"/>
          <w:sz w:val="27"/>
          <w:szCs w:val="27"/>
        </w:rPr>
      </w:pPr>
    </w:p>
    <w:p w14:paraId="135DBEB9"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 xml:space="preserve">Si bien el texto del artículo 5 Bis no fue modificado por el Decreto de ocho de mayo de dos mil veintitrés, su </w:t>
      </w:r>
      <w:r w:rsidRPr="00994A7E">
        <w:rPr>
          <w:rFonts w:ascii="Raleway" w:hAnsi="Raleway"/>
          <w:b/>
          <w:bCs/>
          <w:sz w:val="27"/>
          <w:szCs w:val="27"/>
        </w:rPr>
        <w:t>sentido normativo dentro del subsistema aplicable al litio sí fue alterado</w:t>
      </w:r>
      <w:r w:rsidRPr="00994A7E">
        <w:rPr>
          <w:rFonts w:ascii="Raleway" w:hAnsi="Raleway"/>
          <w:sz w:val="27"/>
          <w:szCs w:val="27"/>
        </w:rPr>
        <w:t>, al incorporarse un artículo sexto transitorio que establece expresamente que las concesiones de exploración y explotación otorgadas con anterioridad conservarán la duración prevista en sus respectivos títulos.</w:t>
      </w:r>
      <w:r w:rsidRPr="00994A7E">
        <w:rPr>
          <w:rStyle w:val="Refdenotaalpie"/>
          <w:rFonts w:ascii="Raleway" w:hAnsi="Raleway"/>
          <w:sz w:val="27"/>
          <w:szCs w:val="27"/>
        </w:rPr>
        <w:footnoteReference w:id="10"/>
      </w:r>
    </w:p>
    <w:p w14:paraId="0E6A81D2" w14:textId="77777777" w:rsidR="008227F7" w:rsidRPr="00994A7E" w:rsidRDefault="008227F7" w:rsidP="008227F7">
      <w:pPr>
        <w:pStyle w:val="Prrafodelista"/>
        <w:spacing w:before="0" w:after="0" w:line="360" w:lineRule="auto"/>
        <w:rPr>
          <w:rFonts w:ascii="Raleway" w:hAnsi="Raleway"/>
          <w:sz w:val="27"/>
          <w:szCs w:val="27"/>
        </w:rPr>
      </w:pPr>
    </w:p>
    <w:p w14:paraId="27031B20"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Con esta adición, el legislador colmó el vacío normativo identificado por la minoría accionante, estableciendo un régimen específico para los concesionarios preexistentes. En consecuencia, el supuesto de omisión legislativa alegado ha dejado de existir.</w:t>
      </w:r>
    </w:p>
    <w:p w14:paraId="3D345931" w14:textId="77777777" w:rsidR="008227F7" w:rsidRPr="00994A7E" w:rsidRDefault="008227F7" w:rsidP="008227F7">
      <w:pPr>
        <w:pStyle w:val="Prrafodelista"/>
        <w:spacing w:before="0" w:after="0" w:line="360" w:lineRule="auto"/>
        <w:rPr>
          <w:rFonts w:ascii="Raleway" w:hAnsi="Raleway"/>
          <w:sz w:val="27"/>
          <w:szCs w:val="27"/>
        </w:rPr>
      </w:pPr>
    </w:p>
    <w:p w14:paraId="1C4E79F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Determinar si dicho nuevo régimen es o no constitucional excede los límites de esta acción, pues implicaría analizar una norma distinta a la originalmente impugnada, sin que este Tribunal Pleno pueda sustituirse en la voluntad de los sujetos legitimados para promover una nueva acción de inconstitucionalidad.</w:t>
      </w:r>
    </w:p>
    <w:p w14:paraId="09AA491C" w14:textId="77777777" w:rsidR="008227F7" w:rsidRPr="00994A7E" w:rsidRDefault="008227F7" w:rsidP="008227F7">
      <w:pPr>
        <w:pStyle w:val="Prrafodelista"/>
        <w:spacing w:before="0" w:after="0" w:line="360" w:lineRule="auto"/>
        <w:rPr>
          <w:rFonts w:ascii="Raleway" w:hAnsi="Raleway"/>
          <w:sz w:val="27"/>
          <w:szCs w:val="27"/>
        </w:rPr>
      </w:pPr>
    </w:p>
    <w:p w14:paraId="64C3701E"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Por ello, la impugnación del artículo 5 Bis, en lo relativo a la omisión de establecer un régimen transitorio, </w:t>
      </w:r>
      <w:r w:rsidRPr="00994A7E">
        <w:rPr>
          <w:rFonts w:ascii="Raleway" w:hAnsi="Raleway"/>
          <w:b/>
          <w:bCs/>
          <w:sz w:val="27"/>
          <w:szCs w:val="27"/>
        </w:rPr>
        <w:t>también resulta improcedente por cesación de efectos</w:t>
      </w:r>
      <w:r w:rsidRPr="00994A7E">
        <w:rPr>
          <w:rFonts w:ascii="Raleway" w:hAnsi="Raleway"/>
          <w:sz w:val="27"/>
          <w:szCs w:val="27"/>
        </w:rPr>
        <w:t>.</w:t>
      </w:r>
    </w:p>
    <w:p w14:paraId="38B10A89" w14:textId="77777777" w:rsidR="008227F7" w:rsidRPr="00994A7E" w:rsidRDefault="008227F7" w:rsidP="008227F7">
      <w:pPr>
        <w:pStyle w:val="Prrafodelista"/>
        <w:spacing w:before="0" w:after="0" w:line="360" w:lineRule="auto"/>
        <w:rPr>
          <w:rFonts w:ascii="Raleway" w:hAnsi="Raleway"/>
          <w:sz w:val="27"/>
          <w:szCs w:val="27"/>
        </w:rPr>
      </w:pPr>
    </w:p>
    <w:p w14:paraId="7AEE093A" w14:textId="77777777" w:rsidR="008227F7" w:rsidRPr="00994A7E" w:rsidRDefault="008227F7" w:rsidP="008227F7">
      <w:pPr>
        <w:tabs>
          <w:tab w:val="num" w:pos="720"/>
        </w:tabs>
        <w:spacing w:before="0" w:after="0" w:line="360" w:lineRule="auto"/>
        <w:rPr>
          <w:rFonts w:ascii="Raleway" w:hAnsi="Raleway"/>
          <w:b/>
          <w:bCs/>
          <w:sz w:val="27"/>
          <w:szCs w:val="27"/>
        </w:rPr>
      </w:pPr>
      <w:r w:rsidRPr="00994A7E">
        <w:rPr>
          <w:rFonts w:ascii="Raleway" w:hAnsi="Raleway"/>
          <w:b/>
          <w:bCs/>
          <w:sz w:val="27"/>
          <w:szCs w:val="27"/>
        </w:rPr>
        <w:t>d) Artículo tercero transitorio del Decreto de 20 de abril de 2022</w:t>
      </w:r>
    </w:p>
    <w:p w14:paraId="18E4DFA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Finalmente, la minoría accionante impugna el artículo tercero transitorio del Decreto de veinte de abril de dos mil veintidós,</w:t>
      </w:r>
      <w:r w:rsidRPr="00994A7E">
        <w:rPr>
          <w:rStyle w:val="Refdenotaalpie"/>
          <w:rFonts w:ascii="Raleway" w:hAnsi="Raleway"/>
          <w:sz w:val="27"/>
          <w:szCs w:val="27"/>
        </w:rPr>
        <w:footnoteReference w:id="11"/>
      </w:r>
      <w:r w:rsidRPr="00994A7E">
        <w:rPr>
          <w:rFonts w:ascii="Raleway" w:hAnsi="Raleway"/>
          <w:sz w:val="27"/>
          <w:szCs w:val="27"/>
        </w:rPr>
        <w:t xml:space="preserve"> al considerar que </w:t>
      </w:r>
      <w:r w:rsidRPr="00994A7E">
        <w:rPr>
          <w:rFonts w:ascii="Raleway" w:hAnsi="Raleway"/>
          <w:sz w:val="27"/>
          <w:szCs w:val="27"/>
        </w:rPr>
        <w:lastRenderedPageBreak/>
        <w:t>vulnera el proceso presupuestario y las facultades exclusivas de la Cámara de Diputados en materia de aprobación del Presupuesto de Egresos de la Federación.</w:t>
      </w:r>
    </w:p>
    <w:p w14:paraId="1F64943C" w14:textId="77777777" w:rsidR="008227F7" w:rsidRPr="00994A7E" w:rsidRDefault="008227F7" w:rsidP="008227F7">
      <w:pPr>
        <w:pStyle w:val="Prrafo"/>
        <w:spacing w:before="0" w:after="0"/>
        <w:rPr>
          <w:rFonts w:ascii="Raleway" w:hAnsi="Raleway"/>
          <w:sz w:val="27"/>
          <w:szCs w:val="27"/>
        </w:rPr>
      </w:pPr>
    </w:p>
    <w:p w14:paraId="70978CB9"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esencia, se argumenta que dicha disposición delega indebidamente al Ejecutivo Federal la creación del organismo público descentralizado y permite realizar erogaciones presupuestales sin autorización legislativa expresa, en contravención de los artículos 49 y 126 constitucionales.</w:t>
      </w:r>
    </w:p>
    <w:p w14:paraId="00FE87A0" w14:textId="77777777" w:rsidR="008227F7" w:rsidRPr="00994A7E" w:rsidRDefault="008227F7" w:rsidP="008227F7">
      <w:pPr>
        <w:pStyle w:val="Prrafodelista"/>
        <w:spacing w:before="0" w:after="0" w:line="360" w:lineRule="auto"/>
        <w:rPr>
          <w:rFonts w:ascii="Raleway" w:hAnsi="Raleway"/>
          <w:sz w:val="27"/>
          <w:szCs w:val="27"/>
        </w:rPr>
      </w:pPr>
    </w:p>
    <w:p w14:paraId="3FA5C6B0"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Con independencia de los méritos del argumento, se advierte que la disposición transitoria impugnada se encontraba </w:t>
      </w:r>
      <w:r w:rsidRPr="00994A7E">
        <w:rPr>
          <w:rFonts w:ascii="Raleway" w:hAnsi="Raleway"/>
          <w:b/>
          <w:bCs/>
          <w:sz w:val="27"/>
          <w:szCs w:val="27"/>
        </w:rPr>
        <w:t>limitada temporalmente al ejercicio fiscal de dos mil veintidós</w:t>
      </w:r>
      <w:r w:rsidRPr="00994A7E">
        <w:rPr>
          <w:rFonts w:ascii="Raleway" w:hAnsi="Raleway"/>
          <w:sz w:val="27"/>
          <w:szCs w:val="27"/>
        </w:rPr>
        <w:t>, conforme al principio de anualidad presupuestaria. En efecto, el propio texto del transitorio establece que no se autorizarían ampliaciones presupuestales “para el presente ejercicio fiscal”, lo que circunscribe sus efectos exclusivamente al año en que entró en vigor el Decreto.</w:t>
      </w:r>
    </w:p>
    <w:p w14:paraId="55C4254E" w14:textId="77777777" w:rsidR="008227F7" w:rsidRPr="00994A7E" w:rsidRDefault="008227F7" w:rsidP="008227F7">
      <w:pPr>
        <w:pStyle w:val="Prrafodelista"/>
        <w:spacing w:before="0" w:after="0" w:line="360" w:lineRule="auto"/>
        <w:rPr>
          <w:rFonts w:ascii="Raleway" w:hAnsi="Raleway"/>
          <w:sz w:val="27"/>
          <w:szCs w:val="27"/>
        </w:rPr>
      </w:pPr>
    </w:p>
    <w:p w14:paraId="60D7FEB2"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consecuencia, aun cuando pudiera cuestionarse su regularidad constitucional, lo cierto es que </w:t>
      </w:r>
      <w:r w:rsidRPr="00994A7E">
        <w:rPr>
          <w:rFonts w:ascii="Raleway" w:hAnsi="Raleway"/>
          <w:b/>
          <w:bCs/>
          <w:sz w:val="27"/>
          <w:szCs w:val="27"/>
        </w:rPr>
        <w:t>sus efectos han cesado</w:t>
      </w:r>
      <w:r w:rsidRPr="00994A7E">
        <w:rPr>
          <w:rFonts w:ascii="Raleway" w:hAnsi="Raleway"/>
          <w:sz w:val="27"/>
          <w:szCs w:val="27"/>
        </w:rPr>
        <w:t>, al haber concluido el ejercicio fiscal correspondiente. Esta conclusión se ve reforzada por el hecho notorio de que la Cámara de Diputados asignó al Servicio Geológico Mexicano recursos presupuestales para ejercicios fiscales posteriores, lo que evidencia que la limitación transitoria ya no produce efectos jurídicos.</w:t>
      </w:r>
    </w:p>
    <w:p w14:paraId="5952D8F1" w14:textId="77777777" w:rsidR="008227F7" w:rsidRPr="00994A7E" w:rsidRDefault="008227F7" w:rsidP="008227F7">
      <w:pPr>
        <w:pStyle w:val="Prrafodelista"/>
        <w:spacing w:before="0" w:after="0" w:line="360" w:lineRule="auto"/>
        <w:rPr>
          <w:rFonts w:ascii="Raleway" w:hAnsi="Raleway"/>
          <w:sz w:val="27"/>
          <w:szCs w:val="27"/>
        </w:rPr>
      </w:pPr>
    </w:p>
    <w:p w14:paraId="5A596D11" w14:textId="7DDD1F0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virtud de lo expuesto, se sobresee la presente acción de inconstitucionalidad respecto de los artículos 1, 5 Bis, 9, 10 y tercero </w:t>
      </w:r>
      <w:r w:rsidRPr="00994A7E">
        <w:rPr>
          <w:rFonts w:ascii="Raleway" w:hAnsi="Raleway"/>
          <w:sz w:val="27"/>
          <w:szCs w:val="27"/>
        </w:rPr>
        <w:lastRenderedPageBreak/>
        <w:t xml:space="preserve">transitorio del Decreto de </w:t>
      </w:r>
      <w:r w:rsidR="001C0480">
        <w:rPr>
          <w:rFonts w:ascii="Raleway" w:hAnsi="Raleway"/>
          <w:sz w:val="27"/>
          <w:szCs w:val="27"/>
        </w:rPr>
        <w:t xml:space="preserve">veinte </w:t>
      </w:r>
      <w:r w:rsidRPr="00994A7E">
        <w:rPr>
          <w:rFonts w:ascii="Raleway" w:hAnsi="Raleway"/>
          <w:sz w:val="27"/>
          <w:szCs w:val="27"/>
        </w:rPr>
        <w:t xml:space="preserve">de abril de dos mil veintidós, </w:t>
      </w:r>
      <w:r w:rsidRPr="00994A7E">
        <w:rPr>
          <w:rFonts w:ascii="Raleway" w:hAnsi="Raleway"/>
          <w:b/>
          <w:bCs/>
          <w:sz w:val="27"/>
          <w:szCs w:val="27"/>
        </w:rPr>
        <w:t>en las siguientes porciones normativas:</w:t>
      </w:r>
      <w:r w:rsidRPr="00994A7E">
        <w:rPr>
          <w:rFonts w:ascii="Raleway" w:hAnsi="Raleway"/>
          <w:sz w:val="27"/>
          <w:szCs w:val="27"/>
        </w:rPr>
        <w:t xml:space="preserve"> del 1, “</w:t>
      </w:r>
      <w:r w:rsidRPr="00994A7E">
        <w:rPr>
          <w:rFonts w:ascii="Raleway" w:hAnsi="Raleway"/>
          <w:i/>
          <w:iCs/>
          <w:sz w:val="27"/>
          <w:szCs w:val="27"/>
        </w:rPr>
        <w:t>que quedará a cargo del organismo público descentralizado a que se refiere el artículo 10 de esta Ley</w:t>
      </w:r>
      <w:r w:rsidRPr="00994A7E">
        <w:rPr>
          <w:rFonts w:ascii="Raleway" w:hAnsi="Raleway"/>
          <w:sz w:val="27"/>
          <w:szCs w:val="27"/>
        </w:rPr>
        <w:t>”; del 9, “</w:t>
      </w:r>
      <w:r w:rsidRPr="00994A7E">
        <w:rPr>
          <w:rFonts w:ascii="Raleway" w:hAnsi="Raleway"/>
          <w:i/>
          <w:iCs/>
          <w:sz w:val="27"/>
          <w:szCs w:val="27"/>
        </w:rPr>
        <w:t>Para promover el mejor aprovechamiento de los recursos minerales y generar la información geológica básica de la Nación, la Secretaría y el organismo a que se refiere el artículo 10 de esta Ley</w:t>
      </w:r>
      <w:r w:rsidRPr="00994A7E">
        <w:rPr>
          <w:rFonts w:ascii="Raleway" w:hAnsi="Raleway"/>
          <w:b/>
          <w:bCs/>
          <w:i/>
          <w:iCs/>
          <w:sz w:val="27"/>
          <w:szCs w:val="27"/>
        </w:rPr>
        <w:t xml:space="preserve"> </w:t>
      </w:r>
      <w:r w:rsidRPr="00994A7E">
        <w:rPr>
          <w:rFonts w:ascii="Raleway" w:hAnsi="Raleway"/>
          <w:i/>
          <w:iCs/>
          <w:sz w:val="27"/>
          <w:szCs w:val="27"/>
        </w:rPr>
        <w:t>se apoyarán en el Servicio Geológico Mexicano, organismo público descentralizado con personalidad jurídica y patrimonio propios, coordinado sectorialmente por dicha dependencia</w:t>
      </w:r>
      <w:r w:rsidRPr="00994A7E">
        <w:rPr>
          <w:rFonts w:ascii="Raleway" w:hAnsi="Raleway"/>
          <w:sz w:val="27"/>
          <w:szCs w:val="27"/>
        </w:rPr>
        <w:t>.”; del 10, “</w:t>
      </w:r>
      <w:r w:rsidRPr="00994A7E">
        <w:rPr>
          <w:rFonts w:ascii="Raleway" w:hAnsi="Raleway"/>
          <w:i/>
          <w:iCs/>
          <w:sz w:val="27"/>
          <w:szCs w:val="27"/>
        </w:rPr>
        <w:t>y se llevarán a cabo por el organismo público descentralizado que determine el Ejecutivo Federal en términos de las disposiciones aplicables</w:t>
      </w:r>
      <w:r w:rsidRPr="00994A7E">
        <w:rPr>
          <w:rFonts w:ascii="Raleway" w:hAnsi="Raleway"/>
          <w:sz w:val="27"/>
          <w:szCs w:val="27"/>
        </w:rPr>
        <w:t>”; y del artículo tercero transitorio, “</w:t>
      </w:r>
      <w:r w:rsidRPr="00994A7E">
        <w:rPr>
          <w:rFonts w:ascii="Raleway" w:hAnsi="Raleway"/>
          <w:i/>
          <w:iCs/>
          <w:sz w:val="27"/>
          <w:szCs w:val="27"/>
        </w:rPr>
        <w:t>Las erogaciones que se generen con motivo de la entrada en vigor del presente Decreto, incluyendo la creación del organismo señalado en el párrafo anterior, se cubrirán mediante movimientos compensados, conforme a las disposiciones jurídicas aplicables, con cargo al presupuesto de la dependencia que asuma las funciones de coordinación sectorial del citado organismo de acuerdo con el Decreto de creación, por lo que no se autorizarán ampliaciones al presupuesto del ramo correspondiente para el presente ejercicio fiscal para estos efectos</w:t>
      </w:r>
      <w:r w:rsidRPr="00994A7E">
        <w:rPr>
          <w:rFonts w:ascii="Raleway" w:hAnsi="Raleway"/>
          <w:sz w:val="27"/>
          <w:szCs w:val="27"/>
        </w:rPr>
        <w:t>”, por haberse actualizado la causa de improcedencia consistente en la cesación de efectos.</w:t>
      </w:r>
    </w:p>
    <w:p w14:paraId="33BA0503" w14:textId="77777777" w:rsidR="008227F7" w:rsidRPr="00994A7E" w:rsidRDefault="008227F7" w:rsidP="00D809C3">
      <w:pPr>
        <w:pStyle w:val="Prrafo"/>
        <w:spacing w:before="120" w:after="120"/>
        <w:rPr>
          <w:rFonts w:ascii="Raleway" w:hAnsi="Raleway"/>
          <w:sz w:val="27"/>
          <w:szCs w:val="27"/>
        </w:rPr>
      </w:pPr>
    </w:p>
    <w:p w14:paraId="025F03C8" w14:textId="77777777" w:rsidR="008227F7" w:rsidRPr="00994A7E" w:rsidRDefault="008227F7" w:rsidP="00494272">
      <w:pPr>
        <w:pStyle w:val="Prrafo"/>
        <w:numPr>
          <w:ilvl w:val="0"/>
          <w:numId w:val="3"/>
        </w:numPr>
        <w:spacing w:before="120" w:after="120"/>
        <w:ind w:left="0" w:hanging="567"/>
        <w:rPr>
          <w:rFonts w:ascii="Raleway" w:hAnsi="Raleway"/>
          <w:sz w:val="27"/>
          <w:szCs w:val="27"/>
        </w:rPr>
      </w:pPr>
      <w:r w:rsidRPr="00994A7E">
        <w:rPr>
          <w:rFonts w:ascii="Raleway" w:hAnsi="Raleway"/>
          <w:sz w:val="27"/>
          <w:szCs w:val="27"/>
        </w:rPr>
        <w:t>Tratándose del artículo 5 Bis, al haberse planteado la impugnación en términos de una omisión legislativa relativa, no existe porción normativa específica respecto de la cual proceda el sobreseimiento.</w:t>
      </w:r>
    </w:p>
    <w:p w14:paraId="1220D245" w14:textId="77777777" w:rsidR="008227F7" w:rsidRPr="00994A7E" w:rsidRDefault="008227F7" w:rsidP="00D809C3">
      <w:pPr>
        <w:pStyle w:val="Prrafodelista"/>
        <w:spacing w:before="120" w:after="120" w:line="360" w:lineRule="auto"/>
        <w:rPr>
          <w:rFonts w:ascii="Raleway" w:hAnsi="Raleway"/>
          <w:sz w:val="27"/>
          <w:szCs w:val="27"/>
        </w:rPr>
      </w:pPr>
    </w:p>
    <w:p w14:paraId="102F66E8" w14:textId="77777777" w:rsidR="008227F7" w:rsidRPr="00994A7E" w:rsidRDefault="008227F7" w:rsidP="00494272">
      <w:pPr>
        <w:pStyle w:val="Prrafo"/>
        <w:numPr>
          <w:ilvl w:val="0"/>
          <w:numId w:val="3"/>
        </w:numPr>
        <w:spacing w:before="120" w:after="120"/>
        <w:ind w:left="0" w:hanging="567"/>
        <w:rPr>
          <w:rFonts w:ascii="Raleway" w:hAnsi="Raleway"/>
          <w:sz w:val="27"/>
          <w:szCs w:val="27"/>
        </w:rPr>
      </w:pPr>
      <w:r w:rsidRPr="00994A7E">
        <w:rPr>
          <w:rFonts w:ascii="Raleway" w:hAnsi="Raleway"/>
          <w:sz w:val="27"/>
          <w:szCs w:val="27"/>
        </w:rPr>
        <w:t>Una vez analizadas las causas de improcedencia y sobreseimiento, sin que este Tribunal Pleno advierta la actualización de alguna otra, procede realizar el estudio de fondo.</w:t>
      </w:r>
    </w:p>
    <w:p w14:paraId="058B817D" w14:textId="77777777" w:rsidR="008227F7" w:rsidRPr="00994A7E" w:rsidRDefault="008227F7" w:rsidP="008227F7">
      <w:pPr>
        <w:pStyle w:val="Prrafo"/>
        <w:spacing w:before="0" w:after="0"/>
        <w:rPr>
          <w:rFonts w:ascii="Raleway" w:hAnsi="Raleway"/>
          <w:sz w:val="27"/>
          <w:szCs w:val="27"/>
        </w:rPr>
      </w:pPr>
    </w:p>
    <w:p w14:paraId="53F35C85"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lastRenderedPageBreak/>
        <w:t xml:space="preserve"> ESTUDIO DE FONDO</w:t>
      </w:r>
    </w:p>
    <w:p w14:paraId="3A31386D" w14:textId="77777777" w:rsidR="008227F7" w:rsidRPr="00994A7E" w:rsidRDefault="008227F7" w:rsidP="008227F7">
      <w:pPr>
        <w:spacing w:before="0" w:after="0" w:line="360" w:lineRule="auto"/>
        <w:rPr>
          <w:rFonts w:ascii="Raleway" w:hAnsi="Raleway"/>
          <w:sz w:val="27"/>
          <w:szCs w:val="27"/>
        </w:rPr>
      </w:pPr>
    </w:p>
    <w:p w14:paraId="0D4E8CD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Una vez delimitadas las causas de improcedencia y sobreseimiento advertidas por esta Suprema Corte, subsiste únicamente el análisis de la validez constitucional de los artículos 1, 5 Bis y 10 de la Ley Minera, en lo que atañe al </w:t>
      </w:r>
      <w:r w:rsidRPr="00994A7E">
        <w:rPr>
          <w:rFonts w:ascii="Raleway" w:hAnsi="Raleway"/>
          <w:b/>
          <w:bCs/>
          <w:sz w:val="27"/>
          <w:szCs w:val="27"/>
        </w:rPr>
        <w:t>subsistema normativo</w:t>
      </w:r>
      <w:r w:rsidRPr="00994A7E">
        <w:rPr>
          <w:rFonts w:ascii="Raleway" w:hAnsi="Raleway"/>
          <w:sz w:val="27"/>
          <w:szCs w:val="27"/>
        </w:rPr>
        <w:t xml:space="preserve"> que: (i) declara al litio como de utilidad pública; (ii) prohíbe el otorgamiento de concesiones, licencias, contratos, permisos o autorizaciones a particulares; y (iii) lo define como un área estratégica cuya exploración, explotación, beneficio y aprovechamiento corresponden de manera exclusiva al Estado mexicano.</w:t>
      </w:r>
    </w:p>
    <w:p w14:paraId="197D9C0D" w14:textId="77777777" w:rsidR="008227F7" w:rsidRPr="00994A7E" w:rsidRDefault="008227F7" w:rsidP="008227F7">
      <w:pPr>
        <w:pStyle w:val="Prrafo"/>
        <w:spacing w:before="0" w:after="0"/>
        <w:rPr>
          <w:rFonts w:ascii="Raleway" w:hAnsi="Raleway"/>
          <w:sz w:val="27"/>
          <w:szCs w:val="27"/>
        </w:rPr>
      </w:pPr>
    </w:p>
    <w:p w14:paraId="02D85BF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Asimismo, resta analizar de manera específica la porción normativa contenida en el artículo 5 Bis, primer párrafo, que dispone: “</w:t>
      </w:r>
      <w:r w:rsidRPr="00994A7E">
        <w:rPr>
          <w:rFonts w:ascii="Raleway" w:hAnsi="Raleway"/>
          <w:i/>
          <w:iCs/>
          <w:sz w:val="27"/>
          <w:szCs w:val="27"/>
        </w:rPr>
        <w:t>Serán consideradas zonas de reserva minera aquéllas en que haya yacimientos de litio</w:t>
      </w:r>
      <w:r w:rsidRPr="00994A7E">
        <w:rPr>
          <w:rFonts w:ascii="Raleway" w:hAnsi="Raleway"/>
          <w:sz w:val="27"/>
          <w:szCs w:val="27"/>
        </w:rPr>
        <w:t>.”</w:t>
      </w:r>
    </w:p>
    <w:p w14:paraId="414BEF63" w14:textId="77777777" w:rsidR="008227F7" w:rsidRPr="00994A7E" w:rsidRDefault="008227F7" w:rsidP="008227F7">
      <w:pPr>
        <w:pStyle w:val="Prrafodelista"/>
        <w:spacing w:before="0" w:after="0" w:line="360" w:lineRule="auto"/>
        <w:rPr>
          <w:rFonts w:ascii="Raleway" w:hAnsi="Raleway"/>
          <w:sz w:val="27"/>
          <w:szCs w:val="27"/>
        </w:rPr>
      </w:pPr>
    </w:p>
    <w:p w14:paraId="192B83B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Del estudio de la demanda se advierte que los conceptos de invalidez formulados por la minoría accionante pueden agruparse en dos categorías: i) aquellos dirigidos a obtener la invalidez total del Decreto por la supuesta falta de consulta previa a pueblos y comunidades indígenas; y ii) los orientados a cuestionar la constitucionalidad material de las disposiciones impugnadas. </w:t>
      </w:r>
    </w:p>
    <w:p w14:paraId="35687FF6" w14:textId="77777777" w:rsidR="008227F7" w:rsidRPr="00994A7E" w:rsidRDefault="008227F7" w:rsidP="008227F7">
      <w:pPr>
        <w:pStyle w:val="Prrafodelista"/>
        <w:spacing w:before="0" w:after="0" w:line="360" w:lineRule="auto"/>
        <w:rPr>
          <w:rFonts w:ascii="Raleway" w:hAnsi="Raleway"/>
          <w:sz w:val="27"/>
          <w:szCs w:val="27"/>
        </w:rPr>
      </w:pPr>
    </w:p>
    <w:p w14:paraId="0501C59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Dado que los argumentos de naturaleza procedimental —en particular, la alegada omisión de consulta indígena— se proyectan sobre la validez integral del Decreto, su análisis debe ser abordado de manera preferente, lo que permite a este Alto Tribunal transitar metodológicamente de lo general a lo particular.</w:t>
      </w:r>
    </w:p>
    <w:p w14:paraId="3006787E" w14:textId="77777777" w:rsidR="008227F7" w:rsidRPr="00994A7E" w:rsidRDefault="008227F7" w:rsidP="008227F7">
      <w:pPr>
        <w:pStyle w:val="Prrafodelista"/>
        <w:spacing w:before="0" w:after="0" w:line="360" w:lineRule="auto"/>
        <w:rPr>
          <w:rFonts w:ascii="Raleway" w:hAnsi="Raleway"/>
          <w:sz w:val="27"/>
          <w:szCs w:val="27"/>
        </w:rPr>
      </w:pPr>
    </w:p>
    <w:p w14:paraId="0349418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Desde ahora se adelanta que los argumentos relativos a la falta de consulta previa resultan infundados, por lo que será necesario analizar las disposiciones impugnadas a la luz de sus méritos constitucionales. Para tal efecto, el estudio se dividirá en los siguientes apartados: 1) Falta de consulta previa a pueblos y comunidades indígenas; y 2) Estudio sustantivo del Decreto impugnado.</w:t>
      </w:r>
    </w:p>
    <w:p w14:paraId="3544C9E6" w14:textId="77777777" w:rsidR="001C0480" w:rsidRDefault="001C0480" w:rsidP="008227F7">
      <w:pPr>
        <w:pStyle w:val="Prrafo"/>
        <w:spacing w:before="0" w:after="0"/>
        <w:rPr>
          <w:rFonts w:ascii="Raleway" w:hAnsi="Raleway"/>
          <w:b/>
          <w:bCs/>
          <w:sz w:val="27"/>
          <w:szCs w:val="27"/>
        </w:rPr>
      </w:pPr>
    </w:p>
    <w:p w14:paraId="2FFB6C7F" w14:textId="26FC39DE" w:rsidR="008227F7" w:rsidRPr="00994A7E" w:rsidRDefault="008227F7" w:rsidP="008227F7">
      <w:pPr>
        <w:pStyle w:val="Prrafo"/>
        <w:spacing w:before="0" w:after="0"/>
        <w:rPr>
          <w:rFonts w:ascii="Raleway" w:hAnsi="Raleway"/>
          <w:b/>
          <w:sz w:val="27"/>
          <w:szCs w:val="27"/>
        </w:rPr>
      </w:pPr>
      <w:r w:rsidRPr="00994A7E">
        <w:rPr>
          <w:rFonts w:ascii="Raleway" w:hAnsi="Raleway"/>
          <w:b/>
          <w:bCs/>
          <w:sz w:val="27"/>
          <w:szCs w:val="27"/>
        </w:rPr>
        <w:t xml:space="preserve">1. </w:t>
      </w:r>
      <w:r w:rsidRPr="00994A7E">
        <w:rPr>
          <w:rFonts w:ascii="Raleway" w:hAnsi="Raleway"/>
          <w:b/>
          <w:sz w:val="27"/>
          <w:szCs w:val="27"/>
        </w:rPr>
        <w:t xml:space="preserve">Falta de consulta previa a pueblos y comunidades indígenas </w:t>
      </w:r>
    </w:p>
    <w:p w14:paraId="5B7E1BC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La minoría accionante sostiene que el Decreto es inconstitucional en su totalidad, al vulnerar el derecho a la libre determinación de los pueblos y comunidades indígenas y afromexicanas, pues el Congreso de la Unión omitió llevar a cabo un proceso de consulta previa, libre, informada, culturalmente adecuada y de buena fe antes de aprobar la reforma legislativa. </w:t>
      </w:r>
    </w:p>
    <w:p w14:paraId="0FFD753F" w14:textId="77777777" w:rsidR="008227F7" w:rsidRPr="00994A7E" w:rsidRDefault="008227F7" w:rsidP="008227F7">
      <w:pPr>
        <w:pStyle w:val="Prrafo"/>
        <w:spacing w:before="0" w:after="0"/>
        <w:rPr>
          <w:rFonts w:ascii="Raleway" w:hAnsi="Raleway"/>
          <w:sz w:val="27"/>
          <w:szCs w:val="27"/>
        </w:rPr>
      </w:pPr>
    </w:p>
    <w:p w14:paraId="0987A95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Este Tribunal Pleno estima </w:t>
      </w:r>
      <w:r w:rsidRPr="00994A7E">
        <w:rPr>
          <w:rFonts w:ascii="Raleway" w:hAnsi="Raleway"/>
          <w:b/>
          <w:bCs/>
          <w:sz w:val="27"/>
          <w:szCs w:val="27"/>
        </w:rPr>
        <w:t>infundado</w:t>
      </w:r>
      <w:r w:rsidRPr="00994A7E">
        <w:rPr>
          <w:rFonts w:ascii="Raleway" w:hAnsi="Raleway"/>
          <w:sz w:val="27"/>
          <w:szCs w:val="27"/>
        </w:rPr>
        <w:t xml:space="preserve"> dicho planteamiento. Para mayor claridad expositiva, se desarrollará primero el parámetro de regularidad constitucional aplicable al derecho de consulta indígena y, posteriormente, se aplicará al caso concreto.</w:t>
      </w:r>
    </w:p>
    <w:p w14:paraId="34780B9B" w14:textId="77777777" w:rsidR="008227F7" w:rsidRPr="00994A7E" w:rsidRDefault="008227F7" w:rsidP="008227F7">
      <w:pPr>
        <w:pStyle w:val="Prrafodelista"/>
        <w:spacing w:before="0" w:after="0" w:line="360" w:lineRule="auto"/>
        <w:rPr>
          <w:rFonts w:ascii="Raleway" w:hAnsi="Raleway"/>
          <w:sz w:val="27"/>
          <w:szCs w:val="27"/>
        </w:rPr>
      </w:pPr>
    </w:p>
    <w:p w14:paraId="7C61F818"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El derecho a la consulta previa, libre e informada es un derecho de participación </w:t>
      </w:r>
      <w:r w:rsidRPr="00994A7E">
        <w:rPr>
          <w:rFonts w:ascii="Raleway" w:hAnsi="Raleway"/>
          <w:sz w:val="27"/>
          <w:szCs w:val="27"/>
          <w:lang w:val="es-ES"/>
        </w:rPr>
        <w:t xml:space="preserve">de los pueblos indígenas y afromexicanos en los asuntos que </w:t>
      </w:r>
      <w:r w:rsidRPr="00994A7E">
        <w:rPr>
          <w:rFonts w:ascii="Raleway" w:hAnsi="Raleway"/>
          <w:bCs/>
          <w:iCs/>
          <w:sz w:val="27"/>
          <w:szCs w:val="27"/>
          <w:lang w:val="es-ES"/>
        </w:rPr>
        <w:t>afectan</w:t>
      </w:r>
      <w:r w:rsidRPr="00994A7E">
        <w:rPr>
          <w:rFonts w:ascii="Raleway" w:hAnsi="Raleway"/>
          <w:sz w:val="27"/>
          <w:szCs w:val="27"/>
          <w:lang w:val="es-ES"/>
        </w:rPr>
        <w:t xml:space="preserve"> sus derechos e intereses. Funge como una herramienta de inclusión y participación en las decisiones del Estado, pues asegura la participación de los pueblos y comunidades indígenas en un proceso de diálogo, equilibrado y no condicionado, y al mismo tiempo, de reconocimiento de la pluriculturalidad, a través del fortalecimiento de la cultura, formas de vida e instituciones que rigen a las comunidades y </w:t>
      </w:r>
      <w:r w:rsidRPr="00994A7E">
        <w:rPr>
          <w:rFonts w:ascii="Raleway" w:hAnsi="Raleway"/>
          <w:sz w:val="27"/>
          <w:szCs w:val="27"/>
          <w:lang w:val="es-ES"/>
        </w:rPr>
        <w:lastRenderedPageBreak/>
        <w:t>pueblos indígenas.</w:t>
      </w:r>
      <w:r w:rsidRPr="00994A7E">
        <w:rPr>
          <w:rFonts w:ascii="Raleway" w:hAnsi="Raleway"/>
          <w:sz w:val="27"/>
          <w:szCs w:val="27"/>
          <w:vertAlign w:val="superscript"/>
          <w:lang w:val="es-ES"/>
        </w:rPr>
        <w:footnoteReference w:id="12"/>
      </w:r>
      <w:r w:rsidRPr="00994A7E">
        <w:rPr>
          <w:rFonts w:ascii="Raleway" w:hAnsi="Raleway"/>
          <w:sz w:val="27"/>
          <w:szCs w:val="27"/>
          <w:lang w:val="es-ES"/>
        </w:rPr>
        <w:t xml:space="preserve"> </w:t>
      </w:r>
      <w:r w:rsidRPr="00994A7E">
        <w:rPr>
          <w:rFonts w:ascii="Raleway" w:hAnsi="Raleway"/>
          <w:sz w:val="27"/>
          <w:szCs w:val="27"/>
        </w:rPr>
        <w:t>En este sentido, se advierte su relación intrínseca con el derecho a la autodeterminación.</w:t>
      </w:r>
    </w:p>
    <w:p w14:paraId="5577B92A" w14:textId="77777777" w:rsidR="008227F7" w:rsidRPr="00994A7E" w:rsidRDefault="008227F7" w:rsidP="008227F7">
      <w:pPr>
        <w:pStyle w:val="Prrafodelista"/>
        <w:spacing w:before="0" w:after="0" w:line="360" w:lineRule="auto"/>
        <w:rPr>
          <w:rFonts w:ascii="Raleway" w:hAnsi="Raleway"/>
          <w:sz w:val="27"/>
          <w:szCs w:val="27"/>
        </w:rPr>
      </w:pPr>
    </w:p>
    <w:p w14:paraId="6D07514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Este es el criterio que ha adoptado esta Suprema Corte de Justicia de la Nación a partir de una línea de precedentes que dota de contenido y limita la propia consulta previa en materia indígena. El primer precedente en el cual el Tribunal Pleno evaluó la validez de las leyes a la luz del derecho a la consulta previa en materia indígena fue la controversia constitucional 32/2012, fallada por esta Suprema Corte en sesión de 29 de mayo de 2014. Tal controversia fue promovida por el Municipio de Cherán, Michoacán en contra de los poderes legislativo y ejecutivo locales, así como del resto de municipios de esa entidad por la aprobación de diversas reformas a la Constitución local.</w:t>
      </w:r>
    </w:p>
    <w:p w14:paraId="4CC51204" w14:textId="77777777" w:rsidR="008227F7" w:rsidRPr="00994A7E" w:rsidRDefault="008227F7" w:rsidP="008227F7">
      <w:pPr>
        <w:pStyle w:val="Prrafodelista"/>
        <w:spacing w:before="0" w:after="0" w:line="360" w:lineRule="auto"/>
        <w:rPr>
          <w:rFonts w:ascii="Raleway" w:hAnsi="Raleway"/>
          <w:sz w:val="27"/>
          <w:szCs w:val="27"/>
        </w:rPr>
      </w:pPr>
    </w:p>
    <w:p w14:paraId="3F50F068" w14:textId="77777777" w:rsidR="008227F7" w:rsidRPr="00994A7E" w:rsidRDefault="008227F7" w:rsidP="00494272">
      <w:pPr>
        <w:pStyle w:val="Prrafo"/>
        <w:numPr>
          <w:ilvl w:val="0"/>
          <w:numId w:val="3"/>
        </w:numPr>
        <w:spacing w:before="0" w:after="0"/>
        <w:ind w:left="0" w:hanging="567"/>
        <w:rPr>
          <w:rFonts w:ascii="Raleway" w:hAnsi="Raleway"/>
          <w:sz w:val="27"/>
          <w:szCs w:val="27"/>
          <w:lang w:val="es-ES"/>
        </w:rPr>
      </w:pPr>
      <w:r w:rsidRPr="00994A7E">
        <w:rPr>
          <w:rFonts w:ascii="Raleway" w:hAnsi="Raleway"/>
          <w:sz w:val="27"/>
          <w:szCs w:val="27"/>
          <w:lang w:val="es-ES"/>
        </w:rPr>
        <w:t xml:space="preserve">Esta Suprema Corte determinó que las normas impugnadas eran inconstitucionales por violación al derecho de consulta previa en materia indígena. En este asunto se integró el parámetro de control constitucional a partir del artículo 2 de la Constitución Federal —el cual establece un conjunto de derechos de los pueblos y comunidades indígenas— así como del contenido del Convenio 169 de la Organización Internacional del Trabajo sobre Pueblos Indígenas y Tribales en Países Independientes, al constituir normas de rango constitucional en términos del artículo 1 de la Constitución Federal. </w:t>
      </w:r>
    </w:p>
    <w:p w14:paraId="1F238E2A" w14:textId="77777777" w:rsidR="008227F7" w:rsidRPr="00994A7E" w:rsidRDefault="008227F7" w:rsidP="008227F7">
      <w:pPr>
        <w:pStyle w:val="Prrafo"/>
        <w:spacing w:before="0" w:after="0"/>
        <w:rPr>
          <w:rFonts w:ascii="Raleway" w:hAnsi="Raleway"/>
          <w:sz w:val="27"/>
          <w:szCs w:val="27"/>
          <w:lang w:val="es-ES"/>
        </w:rPr>
      </w:pPr>
    </w:p>
    <w:p w14:paraId="3211A691" w14:textId="77777777" w:rsidR="008227F7" w:rsidRPr="00994A7E" w:rsidRDefault="008227F7" w:rsidP="00494272">
      <w:pPr>
        <w:pStyle w:val="Prrafo"/>
        <w:numPr>
          <w:ilvl w:val="0"/>
          <w:numId w:val="3"/>
        </w:numPr>
        <w:spacing w:before="0" w:after="0"/>
        <w:ind w:left="0" w:hanging="567"/>
        <w:rPr>
          <w:rFonts w:ascii="Raleway" w:hAnsi="Raleway"/>
          <w:sz w:val="27"/>
          <w:szCs w:val="27"/>
          <w:lang w:val="es-ES"/>
        </w:rPr>
      </w:pPr>
      <w:r w:rsidRPr="00994A7E">
        <w:rPr>
          <w:rFonts w:ascii="Raleway" w:hAnsi="Raleway"/>
          <w:sz w:val="27"/>
          <w:szCs w:val="27"/>
          <w:lang w:val="es-ES"/>
        </w:rPr>
        <w:t>En específico, destacamos el contenido de los artículos 6 y 7 del referido convenio para concluir que “</w:t>
      </w:r>
      <w:r w:rsidRPr="00994A7E">
        <w:rPr>
          <w:rFonts w:ascii="Raleway" w:hAnsi="Raleway"/>
          <w:i/>
          <w:sz w:val="27"/>
          <w:szCs w:val="27"/>
          <w:lang w:val="es-ES"/>
        </w:rPr>
        <w:t xml:space="preserve">los pueblos indígenas, como el municipio actor, tienen el derecho humano a ser consultados, mediante procedimientos culturalmente adecuados, informados y de buena fe a </w:t>
      </w:r>
      <w:r w:rsidRPr="00994A7E">
        <w:rPr>
          <w:rFonts w:ascii="Raleway" w:hAnsi="Raleway"/>
          <w:i/>
          <w:sz w:val="27"/>
          <w:szCs w:val="27"/>
          <w:lang w:val="es-ES"/>
        </w:rPr>
        <w:lastRenderedPageBreak/>
        <w:t>través de sus representantes, cada vez que se prevean medidas legislativas susceptibles de afectarles directamente</w:t>
      </w:r>
      <w:r w:rsidRPr="00994A7E">
        <w:rPr>
          <w:rFonts w:ascii="Raleway" w:hAnsi="Raleway"/>
          <w:sz w:val="27"/>
          <w:szCs w:val="27"/>
          <w:lang w:val="es-ES"/>
        </w:rPr>
        <w:t>.”</w:t>
      </w:r>
    </w:p>
    <w:p w14:paraId="6A2FE330" w14:textId="77777777" w:rsidR="008227F7" w:rsidRPr="00994A7E" w:rsidRDefault="008227F7" w:rsidP="008227F7">
      <w:pPr>
        <w:pStyle w:val="Prrafodelista"/>
        <w:spacing w:before="0" w:after="0" w:line="360" w:lineRule="auto"/>
        <w:rPr>
          <w:rFonts w:ascii="Raleway" w:hAnsi="Raleway"/>
          <w:sz w:val="27"/>
          <w:szCs w:val="27"/>
          <w:lang w:val="es-ES"/>
        </w:rPr>
      </w:pPr>
    </w:p>
    <w:p w14:paraId="4A2B9276" w14:textId="77777777" w:rsidR="008227F7" w:rsidRPr="00994A7E" w:rsidRDefault="008227F7" w:rsidP="00494272">
      <w:pPr>
        <w:pStyle w:val="Prrafo"/>
        <w:numPr>
          <w:ilvl w:val="0"/>
          <w:numId w:val="3"/>
        </w:numPr>
        <w:spacing w:before="0" w:after="0"/>
        <w:ind w:left="0" w:hanging="567"/>
        <w:rPr>
          <w:rFonts w:ascii="Raleway" w:hAnsi="Raleway"/>
          <w:sz w:val="27"/>
          <w:szCs w:val="27"/>
          <w:lang w:val="es-ES"/>
        </w:rPr>
      </w:pPr>
      <w:r w:rsidRPr="00994A7E">
        <w:rPr>
          <w:rFonts w:ascii="Raleway" w:hAnsi="Raleway"/>
          <w:sz w:val="27"/>
          <w:szCs w:val="27"/>
          <w:lang w:val="es-ES"/>
        </w:rPr>
        <w:t xml:space="preserve">A </w:t>
      </w:r>
      <w:r w:rsidRPr="00994A7E">
        <w:rPr>
          <w:rFonts w:ascii="Raleway" w:hAnsi="Raleway"/>
          <w:sz w:val="27"/>
          <w:szCs w:val="27"/>
        </w:rPr>
        <w:t>partir de este precedente, se estableció como criterio que, cuando se discutan medidas legislativas susceptibles de afectación directa a pueblos y comunidades indígenas, la consulta previa constituye un requisito adicional de validez del proceso legislativo, aun cuando no esté expresamente prevista en las reglas formales que lo disciplinan.</w:t>
      </w:r>
    </w:p>
    <w:p w14:paraId="049E9389" w14:textId="77777777" w:rsidR="008227F7" w:rsidRPr="00994A7E" w:rsidRDefault="008227F7" w:rsidP="008227F7">
      <w:pPr>
        <w:pStyle w:val="Prrafodelista"/>
        <w:spacing w:before="0" w:after="0" w:line="360" w:lineRule="auto"/>
        <w:rPr>
          <w:rFonts w:ascii="Raleway" w:hAnsi="Raleway"/>
          <w:sz w:val="27"/>
          <w:szCs w:val="27"/>
          <w:lang w:val="es-ES"/>
        </w:rPr>
      </w:pPr>
    </w:p>
    <w:p w14:paraId="528E9A0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Con posterioridad, este Tribunal Pleno ha precisado que la consulta previa es obligatoria únicamente cuando la norma impugnada genere una </w:t>
      </w:r>
      <w:r w:rsidRPr="00994A7E">
        <w:rPr>
          <w:rFonts w:ascii="Raleway" w:hAnsi="Raleway"/>
          <w:b/>
          <w:bCs/>
          <w:sz w:val="27"/>
          <w:szCs w:val="27"/>
        </w:rPr>
        <w:t>afectación directa y diferenciada</w:t>
      </w:r>
      <w:r w:rsidRPr="00994A7E">
        <w:rPr>
          <w:rFonts w:ascii="Raleway" w:hAnsi="Raleway"/>
          <w:sz w:val="27"/>
          <w:szCs w:val="27"/>
        </w:rPr>
        <w:t xml:space="preserve"> a los pueblos y comunidades indígenas y afromexicanas.</w:t>
      </w:r>
    </w:p>
    <w:p w14:paraId="43B6EAC9" w14:textId="77777777" w:rsidR="008227F7" w:rsidRPr="00994A7E" w:rsidRDefault="008227F7" w:rsidP="008227F7">
      <w:pPr>
        <w:pStyle w:val="Prrafodelista"/>
        <w:spacing w:before="0" w:after="0" w:line="360" w:lineRule="auto"/>
        <w:rPr>
          <w:rFonts w:ascii="Raleway" w:hAnsi="Raleway"/>
          <w:sz w:val="27"/>
          <w:szCs w:val="27"/>
        </w:rPr>
      </w:pPr>
    </w:p>
    <w:p w14:paraId="5B59F35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Así, en la acción de inconstitucionalidad 192/2023, este Tribunal sostuvo que el impacto directo se actualiza cuando la norma contiene modificaciones legislativas que inciden en los derechos de dichos pueblos, sin que sea válido presumir dicha afectación a partir de factores extrajurídicos o apreciaciones subjetivas sobre sus cosmovisiones.</w:t>
      </w:r>
      <w:r w:rsidRPr="00994A7E">
        <w:rPr>
          <w:rStyle w:val="Refdenotaalpie"/>
          <w:rFonts w:ascii="Raleway" w:hAnsi="Raleway"/>
          <w:sz w:val="27"/>
          <w:szCs w:val="27"/>
        </w:rPr>
        <w:footnoteReference w:id="13"/>
      </w:r>
    </w:p>
    <w:p w14:paraId="24DA2887" w14:textId="77777777" w:rsidR="008227F7" w:rsidRPr="00994A7E" w:rsidRDefault="008227F7" w:rsidP="008227F7">
      <w:pPr>
        <w:pStyle w:val="Prrafodelista"/>
        <w:spacing w:before="0" w:after="0" w:line="360" w:lineRule="auto"/>
        <w:rPr>
          <w:rFonts w:ascii="Raleway" w:hAnsi="Raleway"/>
          <w:sz w:val="27"/>
          <w:szCs w:val="27"/>
        </w:rPr>
      </w:pPr>
    </w:p>
    <w:p w14:paraId="6051928A" w14:textId="77777777" w:rsidR="008227F7" w:rsidRPr="00994A7E" w:rsidRDefault="008227F7" w:rsidP="00494272">
      <w:pPr>
        <w:pStyle w:val="Prrafo"/>
        <w:numPr>
          <w:ilvl w:val="0"/>
          <w:numId w:val="3"/>
        </w:numPr>
        <w:spacing w:before="0" w:after="0"/>
        <w:ind w:left="0" w:hanging="567"/>
        <w:rPr>
          <w:rFonts w:ascii="Raleway" w:hAnsi="Raleway"/>
          <w:sz w:val="27"/>
          <w:szCs w:val="27"/>
          <w:lang w:val="es-ES"/>
        </w:rPr>
      </w:pPr>
      <w:r w:rsidRPr="00994A7E">
        <w:rPr>
          <w:rFonts w:ascii="Raleway" w:hAnsi="Raleway"/>
          <w:sz w:val="27"/>
          <w:szCs w:val="27"/>
        </w:rPr>
        <w:t xml:space="preserve">El impacto diferenciado, por su parte, se configura cuando la norma incide sobre los intereses y derechos de las comunidades en tanto sujetos colectivos, distinguiéndolos del estatuto general de derechos individuales aplicable a todas las personas. De esta manera, las </w:t>
      </w:r>
      <w:r w:rsidRPr="00994A7E">
        <w:rPr>
          <w:rFonts w:ascii="Raleway" w:hAnsi="Raleway"/>
          <w:sz w:val="27"/>
          <w:szCs w:val="27"/>
        </w:rPr>
        <w:lastRenderedPageBreak/>
        <w:t xml:space="preserve">disposiciones de carácter general que afectan de forma uniforme a la población no están, </w:t>
      </w:r>
      <w:r w:rsidRPr="001C0480">
        <w:rPr>
          <w:rFonts w:ascii="Raleway" w:hAnsi="Raleway"/>
          <w:i/>
          <w:iCs/>
          <w:sz w:val="27"/>
          <w:szCs w:val="27"/>
        </w:rPr>
        <w:t>prima facie</w:t>
      </w:r>
      <w:r w:rsidRPr="00994A7E">
        <w:rPr>
          <w:rFonts w:ascii="Raleway" w:hAnsi="Raleway"/>
          <w:sz w:val="27"/>
          <w:szCs w:val="27"/>
        </w:rPr>
        <w:t>, sujetas al deber de consulta.</w:t>
      </w:r>
      <w:r w:rsidRPr="00994A7E">
        <w:rPr>
          <w:rFonts w:ascii="Raleway" w:hAnsi="Raleway"/>
          <w:sz w:val="27"/>
          <w:szCs w:val="27"/>
          <w:vertAlign w:val="superscript"/>
          <w:lang w:val="es-ES"/>
        </w:rPr>
        <w:footnoteReference w:id="14"/>
      </w:r>
    </w:p>
    <w:p w14:paraId="346FAD9F" w14:textId="77777777" w:rsidR="008227F7" w:rsidRPr="00994A7E" w:rsidRDefault="008227F7" w:rsidP="008227F7">
      <w:pPr>
        <w:pStyle w:val="Prrafodelista"/>
        <w:spacing w:before="0" w:after="0" w:line="360" w:lineRule="auto"/>
        <w:rPr>
          <w:rFonts w:ascii="Raleway" w:hAnsi="Raleway"/>
          <w:sz w:val="27"/>
          <w:szCs w:val="27"/>
          <w:lang w:val="es-ES"/>
        </w:rPr>
      </w:pPr>
    </w:p>
    <w:p w14:paraId="3B647F69" w14:textId="77777777" w:rsidR="008227F7" w:rsidRPr="00994A7E" w:rsidRDefault="008227F7" w:rsidP="00494272">
      <w:pPr>
        <w:pStyle w:val="Prrafo"/>
        <w:numPr>
          <w:ilvl w:val="0"/>
          <w:numId w:val="3"/>
        </w:numPr>
        <w:spacing w:before="0" w:after="0"/>
        <w:ind w:left="0" w:hanging="567"/>
        <w:rPr>
          <w:rFonts w:ascii="Raleway" w:hAnsi="Raleway"/>
          <w:sz w:val="27"/>
          <w:szCs w:val="27"/>
          <w:lang w:val="es-ES"/>
        </w:rPr>
      </w:pPr>
      <w:r w:rsidRPr="00994A7E">
        <w:rPr>
          <w:rFonts w:ascii="Raleway" w:hAnsi="Raleway"/>
          <w:sz w:val="27"/>
          <w:szCs w:val="27"/>
          <w:lang w:val="es-ES"/>
        </w:rPr>
        <w:t xml:space="preserve">Este entendimiento preserva </w:t>
      </w:r>
      <w:r w:rsidRPr="00994A7E">
        <w:rPr>
          <w:rFonts w:ascii="Raleway" w:hAnsi="Raleway"/>
          <w:sz w:val="27"/>
          <w:szCs w:val="27"/>
        </w:rPr>
        <w:t>el carácter instrumental del derecho de consulta como una manifestación del derecho a la autodeterminación, al abrir espacios de diálogo cuando la identidad colectiva de las comunidades puede verse comprometida por decisiones estatales.</w:t>
      </w:r>
      <w:r w:rsidRPr="00994A7E">
        <w:rPr>
          <w:rFonts w:ascii="Raleway" w:hAnsi="Raleway"/>
          <w:sz w:val="27"/>
          <w:szCs w:val="27"/>
          <w:lang w:val="es-ES"/>
        </w:rPr>
        <w:t xml:space="preserve"> </w:t>
      </w:r>
    </w:p>
    <w:p w14:paraId="1978A009" w14:textId="77777777" w:rsidR="008227F7" w:rsidRPr="00994A7E" w:rsidRDefault="008227F7" w:rsidP="008227F7">
      <w:pPr>
        <w:pStyle w:val="Prrafodelista"/>
        <w:spacing w:before="0" w:after="0" w:line="360" w:lineRule="auto"/>
        <w:rPr>
          <w:rFonts w:ascii="Raleway" w:hAnsi="Raleway"/>
          <w:sz w:val="27"/>
          <w:szCs w:val="27"/>
          <w:lang w:val="es-ES"/>
        </w:rPr>
      </w:pPr>
    </w:p>
    <w:p w14:paraId="43A03849" w14:textId="73D70A73"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Bajo esta tesitura, el </w:t>
      </w:r>
      <w:r w:rsidRPr="00994A7E">
        <w:rPr>
          <w:rFonts w:ascii="Raleway" w:hAnsi="Raleway"/>
          <w:sz w:val="27"/>
          <w:szCs w:val="27"/>
          <w:lang w:val="es-ES"/>
        </w:rPr>
        <w:t xml:space="preserve">Convenio 169 de la Organización Internacional del Trabajo sobre </w:t>
      </w:r>
      <w:r w:rsidR="001C0480" w:rsidRPr="00994A7E">
        <w:rPr>
          <w:rFonts w:ascii="Raleway" w:hAnsi="Raleway"/>
          <w:sz w:val="27"/>
          <w:szCs w:val="27"/>
          <w:lang w:val="es-ES"/>
        </w:rPr>
        <w:t xml:space="preserve">Pueblos Indígenas </w:t>
      </w:r>
      <w:r w:rsidRPr="00994A7E">
        <w:rPr>
          <w:rFonts w:ascii="Raleway" w:hAnsi="Raleway"/>
          <w:sz w:val="27"/>
          <w:szCs w:val="27"/>
          <w:lang w:val="es-ES"/>
        </w:rPr>
        <w:t xml:space="preserve">y </w:t>
      </w:r>
      <w:r w:rsidR="001C0480" w:rsidRPr="00994A7E">
        <w:rPr>
          <w:rFonts w:ascii="Raleway" w:hAnsi="Raleway"/>
          <w:sz w:val="27"/>
          <w:szCs w:val="27"/>
          <w:lang w:val="es-ES"/>
        </w:rPr>
        <w:t xml:space="preserve">Tribales </w:t>
      </w:r>
      <w:r w:rsidRPr="00994A7E">
        <w:rPr>
          <w:rFonts w:ascii="Raleway" w:hAnsi="Raleway"/>
          <w:sz w:val="27"/>
          <w:szCs w:val="27"/>
          <w:lang w:val="es-ES"/>
        </w:rPr>
        <w:t>en países independientes, el cual forma parte del parámetro de control constitucional, identifica</w:t>
      </w:r>
      <w:r w:rsidRPr="00994A7E">
        <w:rPr>
          <w:rFonts w:ascii="Raleway" w:hAnsi="Raleway"/>
          <w:sz w:val="27"/>
          <w:szCs w:val="27"/>
        </w:rPr>
        <w:t xml:space="preserve"> tres supuestos específicos en los que se actualiza la obligación de consulta: i) antes de autorizar programas de prospección o explotación de recursos existentes en tierras indígenas;</w:t>
      </w:r>
      <w:r w:rsidRPr="00994A7E">
        <w:rPr>
          <w:rStyle w:val="Refdenotaalpie"/>
          <w:rFonts w:ascii="Raleway" w:hAnsi="Raleway"/>
          <w:sz w:val="27"/>
          <w:szCs w:val="27"/>
        </w:rPr>
        <w:footnoteReference w:id="15"/>
      </w:r>
      <w:r w:rsidRPr="00994A7E">
        <w:rPr>
          <w:rFonts w:ascii="Raleway" w:hAnsi="Raleway"/>
          <w:sz w:val="27"/>
          <w:szCs w:val="27"/>
        </w:rPr>
        <w:t xml:space="preserve"> ii) en casos de traslado o reubicación de comunidades</w:t>
      </w:r>
      <w:r w:rsidRPr="00994A7E">
        <w:rPr>
          <w:rStyle w:val="Refdenotaalpie"/>
          <w:rFonts w:ascii="Raleway" w:hAnsi="Raleway"/>
          <w:sz w:val="27"/>
          <w:szCs w:val="27"/>
        </w:rPr>
        <w:footnoteReference w:id="16"/>
      </w:r>
      <w:r w:rsidRPr="00994A7E">
        <w:rPr>
          <w:rFonts w:ascii="Raleway" w:hAnsi="Raleway"/>
          <w:sz w:val="27"/>
          <w:szCs w:val="27"/>
        </w:rPr>
        <w:t>; y iii) cuando se trate de proyectos que afecten directamente sus tierras, territorios o recursos naturales.</w:t>
      </w:r>
      <w:r w:rsidRPr="00994A7E">
        <w:rPr>
          <w:rStyle w:val="Refdenotaalpie"/>
          <w:rFonts w:ascii="Raleway" w:hAnsi="Raleway"/>
          <w:sz w:val="27"/>
          <w:szCs w:val="27"/>
        </w:rPr>
        <w:footnoteReference w:id="17"/>
      </w:r>
    </w:p>
    <w:p w14:paraId="749C1924" w14:textId="77777777" w:rsidR="008227F7" w:rsidRPr="00994A7E" w:rsidRDefault="008227F7" w:rsidP="008227F7">
      <w:pPr>
        <w:pStyle w:val="Prrafodelista"/>
        <w:spacing w:before="0" w:after="0" w:line="360" w:lineRule="auto"/>
        <w:rPr>
          <w:rFonts w:ascii="Raleway" w:hAnsi="Raleway"/>
          <w:sz w:val="27"/>
          <w:szCs w:val="27"/>
        </w:rPr>
      </w:pPr>
    </w:p>
    <w:p w14:paraId="237D650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A la luz de este parámetro de control, corresponde analizar si el Decreto impugnado genera una afectación directa y diferenciada que haga exigible la consulta previa a los pueblos y comunidades indígenas. </w:t>
      </w:r>
    </w:p>
    <w:p w14:paraId="1C9892A2" w14:textId="77777777" w:rsidR="008227F7" w:rsidRPr="00994A7E" w:rsidRDefault="008227F7" w:rsidP="008227F7">
      <w:pPr>
        <w:pStyle w:val="Prrafodelista"/>
        <w:spacing w:before="0" w:after="0" w:line="360" w:lineRule="auto"/>
        <w:rPr>
          <w:rFonts w:ascii="Raleway" w:hAnsi="Raleway"/>
          <w:sz w:val="27"/>
          <w:szCs w:val="27"/>
        </w:rPr>
      </w:pPr>
    </w:p>
    <w:p w14:paraId="243E1E54"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El Decreto impugnado declara al litio como de utilidad pública y establece que su exploración, explotación, beneficio y aprovechamiento corresponden de manera exclusiva al Estado, mediante un organismo público descentralizado. Se trata, por tanto, de una modificación general del modelo de rectoría estatal en materia de litio.</w:t>
      </w:r>
    </w:p>
    <w:p w14:paraId="7E1E4F4F" w14:textId="77777777" w:rsidR="008227F7" w:rsidRPr="00994A7E" w:rsidRDefault="008227F7" w:rsidP="008227F7">
      <w:pPr>
        <w:pStyle w:val="Prrafodelista"/>
        <w:spacing w:before="0" w:after="0" w:line="360" w:lineRule="auto"/>
        <w:rPr>
          <w:rFonts w:ascii="Raleway" w:hAnsi="Raleway"/>
          <w:sz w:val="27"/>
          <w:szCs w:val="27"/>
        </w:rPr>
      </w:pPr>
    </w:p>
    <w:p w14:paraId="6BD57EE2"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este contexto, esta Suprema Corte concluye que la reforma no genera, en abstracto, un impacto directo sobre los pueblos y comunidades indígenas, pues no implica por sí misma una intervención concreta en territorios específicos ni la autorización de proyectos de exploración o explotación que puedan afectarlos. La reforma impugnada se trata de un cambio </w:t>
      </w:r>
      <w:r w:rsidRPr="00994A7E">
        <w:rPr>
          <w:rFonts w:ascii="Raleway" w:hAnsi="Raleway"/>
          <w:sz w:val="27"/>
          <w:szCs w:val="27"/>
          <w:lang w:val="es-ES"/>
        </w:rPr>
        <w:t>general en el diseño para la exploración, explotación, beneficio y aprovechamiento de litio, quedando como una actividad exclusiva del Estado.</w:t>
      </w:r>
      <w:r w:rsidRPr="00994A7E">
        <w:rPr>
          <w:rFonts w:ascii="Raleway" w:hAnsi="Raleway"/>
          <w:sz w:val="27"/>
          <w:szCs w:val="27"/>
        </w:rPr>
        <w:t xml:space="preserve"> </w:t>
      </w:r>
    </w:p>
    <w:p w14:paraId="7871A799" w14:textId="77777777" w:rsidR="008227F7" w:rsidRPr="00994A7E" w:rsidRDefault="008227F7" w:rsidP="008227F7">
      <w:pPr>
        <w:pStyle w:val="Prrafodelista"/>
        <w:spacing w:before="0" w:after="0" w:line="360" w:lineRule="auto"/>
        <w:rPr>
          <w:rFonts w:ascii="Raleway" w:hAnsi="Raleway"/>
          <w:sz w:val="27"/>
          <w:szCs w:val="27"/>
        </w:rPr>
      </w:pPr>
    </w:p>
    <w:p w14:paraId="3B37906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Lo anterior no prejuzga sobre los posibles impactos diferenciados que pudieran derivarse de actos concretos de aplicación del nuevo esquema normativo, los cuales, en su caso, podrían ser impugnados mediante los medios de control constitucional correspondientes.</w:t>
      </w:r>
    </w:p>
    <w:p w14:paraId="5DAB3740" w14:textId="77777777" w:rsidR="008227F7" w:rsidRPr="00994A7E" w:rsidRDefault="008227F7" w:rsidP="008227F7">
      <w:pPr>
        <w:pStyle w:val="Prrafodelista"/>
        <w:spacing w:before="0" w:after="0" w:line="360" w:lineRule="auto"/>
        <w:rPr>
          <w:rFonts w:ascii="Raleway" w:hAnsi="Raleway"/>
          <w:sz w:val="27"/>
          <w:szCs w:val="27"/>
        </w:rPr>
      </w:pPr>
    </w:p>
    <w:p w14:paraId="0C7373C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eastAsia="Times New Roman" w:hAnsi="Raleway" w:cs="Times New Roman"/>
          <w:sz w:val="27"/>
          <w:szCs w:val="27"/>
          <w:lang w:eastAsia="es-MX"/>
        </w:rPr>
        <w:t xml:space="preserve">Si bien el artículo 15 del Convenio 169 protege los derechos de los pueblos indígenas sobre los recursos naturales existentes en sus tierras, </w:t>
      </w:r>
      <w:r w:rsidRPr="00994A7E">
        <w:rPr>
          <w:rFonts w:ascii="Raleway" w:eastAsia="Times New Roman" w:hAnsi="Raleway" w:cs="Times New Roman"/>
          <w:sz w:val="27"/>
          <w:szCs w:val="27"/>
          <w:lang w:eastAsia="es-MX"/>
        </w:rPr>
        <w:lastRenderedPageBreak/>
        <w:t>la obligación de consulta se activa cuando existe un programa o proyecto específico de exploración o explotación, no por la sola adopción de un marco normativo general.</w:t>
      </w:r>
    </w:p>
    <w:p w14:paraId="442E92B5" w14:textId="77777777" w:rsidR="008227F7" w:rsidRPr="00994A7E" w:rsidRDefault="008227F7" w:rsidP="008227F7">
      <w:pPr>
        <w:pStyle w:val="Prrafodelista"/>
        <w:spacing w:before="0" w:after="0" w:line="360" w:lineRule="auto"/>
        <w:rPr>
          <w:rFonts w:ascii="Raleway" w:hAnsi="Raleway"/>
          <w:sz w:val="27"/>
          <w:szCs w:val="27"/>
        </w:rPr>
      </w:pPr>
    </w:p>
    <w:p w14:paraId="49BF00AC"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eastAsia="Times New Roman" w:hAnsi="Raleway" w:cs="Times New Roman"/>
          <w:sz w:val="27"/>
          <w:szCs w:val="27"/>
          <w:lang w:eastAsia="es-MX"/>
        </w:rPr>
        <w:t xml:space="preserve">En este sentido, la obligación prevista en el artículo 15.2 del Convenio se refiere a decisiones concretas de aprovechamiento de recursos, lo que ha sido confirmado por la Corte Interamericana de Derechos Humanos, entre otros, en el caso </w:t>
      </w:r>
      <w:r w:rsidRPr="00994A7E">
        <w:rPr>
          <w:rFonts w:ascii="Raleway" w:eastAsia="Times New Roman" w:hAnsi="Raleway" w:cs="Times New Roman"/>
          <w:i/>
          <w:iCs/>
          <w:sz w:val="27"/>
          <w:szCs w:val="27"/>
          <w:lang w:eastAsia="es-MX"/>
        </w:rPr>
        <w:t>Saramaka vs. Surinam</w:t>
      </w:r>
      <w:r w:rsidRPr="00994A7E">
        <w:rPr>
          <w:rFonts w:ascii="Raleway" w:eastAsia="Times New Roman" w:hAnsi="Raleway" w:cs="Times New Roman"/>
          <w:sz w:val="27"/>
          <w:szCs w:val="27"/>
          <w:lang w:eastAsia="es-MX"/>
        </w:rPr>
        <w:t>.</w:t>
      </w:r>
    </w:p>
    <w:p w14:paraId="3F8994EF" w14:textId="77777777" w:rsidR="008227F7" w:rsidRPr="00994A7E" w:rsidRDefault="008227F7" w:rsidP="008227F7">
      <w:pPr>
        <w:pStyle w:val="Prrafodelista"/>
        <w:spacing w:before="0" w:after="0" w:line="360" w:lineRule="auto"/>
        <w:rPr>
          <w:rFonts w:ascii="Raleway" w:hAnsi="Raleway"/>
          <w:sz w:val="27"/>
          <w:szCs w:val="27"/>
        </w:rPr>
      </w:pPr>
    </w:p>
    <w:p w14:paraId="1C23757C"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Esta interpretación es consistente con lo resuelto por la extinta Primera Sala en el amparo en revisión 134/2021,</w:t>
      </w:r>
      <w:r w:rsidRPr="00994A7E">
        <w:rPr>
          <w:rStyle w:val="Refdenotaalpie"/>
          <w:rFonts w:ascii="Raleway" w:hAnsi="Raleway"/>
          <w:sz w:val="27"/>
          <w:szCs w:val="27"/>
        </w:rPr>
        <w:footnoteReference w:id="18"/>
      </w:r>
      <w:r w:rsidRPr="00994A7E">
        <w:rPr>
          <w:rFonts w:ascii="Raleway" w:hAnsi="Raleway"/>
          <w:sz w:val="27"/>
          <w:szCs w:val="27"/>
        </w:rPr>
        <w:t xml:space="preserve"> en el que se sostuvo que la impugnación abstracta de una ley por falta de consulta indígena no es procedente en ausencia de una afectación concreta derivada de su aplicación.</w:t>
      </w:r>
    </w:p>
    <w:p w14:paraId="175ED5AA" w14:textId="77777777" w:rsidR="008227F7" w:rsidRPr="00994A7E" w:rsidRDefault="008227F7" w:rsidP="008227F7">
      <w:pPr>
        <w:pStyle w:val="Prrafodelista"/>
        <w:spacing w:before="0" w:after="0" w:line="360" w:lineRule="auto"/>
        <w:rPr>
          <w:rFonts w:ascii="Raleway" w:hAnsi="Raleway"/>
          <w:sz w:val="27"/>
          <w:szCs w:val="27"/>
        </w:rPr>
      </w:pPr>
    </w:p>
    <w:p w14:paraId="2C379667"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No obstante, la Primera Sala reconoció que una impugnación de esta naturaleza podría ser revisada en un medio de control de constitucionalidad abstracto —como la acción de inconstitucionalidad— cuya procedencia no está sujeta a la existencia de un agravio personal. Sin embargo, enfatizó que independientemente del mecanismo procesal el criterio determinante para evaluar si una ley o instrumento normativo requiere consulta indígena es su contenido y finalidad. En otras palabras, debe existir una relación directa entre la norma impugnada y los intereses y derechos de los pueblos indígenas, considerando no solo la intención legislativa sino también el impacto normativo en sus derechos fundamentales.</w:t>
      </w:r>
    </w:p>
    <w:p w14:paraId="6B91B75F" w14:textId="77777777" w:rsidR="008227F7" w:rsidRPr="00994A7E" w:rsidRDefault="008227F7" w:rsidP="008227F7">
      <w:pPr>
        <w:pStyle w:val="Prrafodelista"/>
        <w:spacing w:before="0" w:after="0" w:line="360" w:lineRule="auto"/>
        <w:rPr>
          <w:rFonts w:ascii="Raleway" w:hAnsi="Raleway"/>
          <w:sz w:val="27"/>
          <w:szCs w:val="27"/>
        </w:rPr>
      </w:pPr>
    </w:p>
    <w:p w14:paraId="50349C11" w14:textId="0EC37618"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Este criterio ha sido desarrollado a través de diversos precedentes —en su mayoría acciones de inconstitucionalidad—. Por ejemplo, en la Acción de Inconstitucionalidad </w:t>
      </w:r>
      <w:r w:rsidR="003D1E6F">
        <w:rPr>
          <w:rFonts w:ascii="Raleway" w:hAnsi="Raleway"/>
          <w:sz w:val="27"/>
          <w:szCs w:val="27"/>
        </w:rPr>
        <w:t>151/2017</w:t>
      </w:r>
      <w:r w:rsidRPr="00994A7E">
        <w:rPr>
          <w:rFonts w:ascii="Raleway" w:hAnsi="Raleway"/>
          <w:sz w:val="27"/>
          <w:szCs w:val="27"/>
        </w:rPr>
        <w:t xml:space="preserve">, la Suprema Corte concluyó que el </w:t>
      </w:r>
      <w:r w:rsidRPr="00994A7E">
        <w:rPr>
          <w:rFonts w:ascii="Raleway" w:hAnsi="Raleway"/>
          <w:sz w:val="27"/>
          <w:szCs w:val="27"/>
        </w:rPr>
        <w:lastRenderedPageBreak/>
        <w:t>Congreso del Estado de Yucatán debió consultar a los pueblos indígenas antes de emitir la Ley para la Protección de los Derechos de la Comunidad Maya y la Ley del Sistema de Justicia Maya —pues su contenido estaba directamente relacionado con sus derechos e intereses, afectando el ejercicio de sus formas de organización social y su estructura de justicia propia.</w:t>
      </w:r>
    </w:p>
    <w:p w14:paraId="0D540907" w14:textId="77777777" w:rsidR="008227F7" w:rsidRPr="00994A7E" w:rsidRDefault="008227F7" w:rsidP="008227F7">
      <w:pPr>
        <w:pStyle w:val="Prrafodelista"/>
        <w:spacing w:before="0" w:after="0" w:line="360" w:lineRule="auto"/>
        <w:rPr>
          <w:rFonts w:ascii="Raleway" w:hAnsi="Raleway"/>
          <w:sz w:val="27"/>
          <w:szCs w:val="27"/>
        </w:rPr>
      </w:pPr>
    </w:p>
    <w:p w14:paraId="6BEB04A4"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contraste, en los asuntos que impugnaban leyes de transparencia y acceso a la información pública</w:t>
      </w:r>
      <w:r w:rsidRPr="00994A7E">
        <w:rPr>
          <w:rFonts w:ascii="Raleway" w:hAnsi="Raleway"/>
          <w:sz w:val="27"/>
          <w:szCs w:val="27"/>
          <w:vertAlign w:val="superscript"/>
        </w:rPr>
        <w:footnoteReference w:id="19"/>
      </w:r>
      <w:r w:rsidRPr="00994A7E">
        <w:rPr>
          <w:rFonts w:ascii="Raleway" w:hAnsi="Raleway"/>
          <w:sz w:val="27"/>
          <w:szCs w:val="27"/>
        </w:rPr>
        <w:t>, el Pleno determinó que no era necesaria la consulta indígena —ya que la regulación impugnada no incidía directamente en los derechos de dichas comunidades ni en su autonomía administrativa o cultural—.</w:t>
      </w:r>
    </w:p>
    <w:p w14:paraId="321E0323" w14:textId="77777777" w:rsidR="008227F7" w:rsidRPr="00994A7E" w:rsidRDefault="008227F7" w:rsidP="008227F7">
      <w:pPr>
        <w:pStyle w:val="Prrafodelista"/>
        <w:spacing w:before="0" w:after="0" w:line="360" w:lineRule="auto"/>
        <w:rPr>
          <w:rFonts w:ascii="Raleway" w:hAnsi="Raleway"/>
          <w:sz w:val="27"/>
          <w:szCs w:val="27"/>
        </w:rPr>
      </w:pPr>
    </w:p>
    <w:p w14:paraId="446B1D6C"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Así, la Primera Sala concluyó que el criterio para determinar cuándo se debe llevar a cabo una consulta previa debe atender a aspectos meramente objetivos —como lo es el núcleo u objeto de la regulación del ordenamiento controvertido— y no así a aspectos subjetivos como lo son los actos o eventuales escenarios de aplicación. Estos últimos pudieran ser, por ejemplo, cuando el territorio materia de la concesión intervenga o afecte las tierras que las comunidades indígenas habitan, lo que en todo caso constituye un aspecto de aplicación de la ley que debe ser impugnado en el medio constitucional idóneo.</w:t>
      </w:r>
      <w:r w:rsidRPr="00994A7E">
        <w:rPr>
          <w:rStyle w:val="Refdenotaalpie"/>
          <w:rFonts w:ascii="Raleway" w:hAnsi="Raleway"/>
          <w:sz w:val="27"/>
          <w:szCs w:val="27"/>
        </w:rPr>
        <w:footnoteReference w:id="20"/>
      </w:r>
    </w:p>
    <w:p w14:paraId="5C548B8E" w14:textId="77777777" w:rsidR="008227F7" w:rsidRPr="00994A7E" w:rsidRDefault="008227F7" w:rsidP="008227F7">
      <w:pPr>
        <w:pStyle w:val="Prrafodelista"/>
        <w:spacing w:before="0" w:after="0" w:line="360" w:lineRule="auto"/>
        <w:rPr>
          <w:rFonts w:ascii="Raleway" w:hAnsi="Raleway"/>
          <w:sz w:val="27"/>
          <w:szCs w:val="27"/>
        </w:rPr>
      </w:pPr>
    </w:p>
    <w:p w14:paraId="327A9FD4"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De conformidad con la línea argumentativa, la Primera Sala diferenció el acto legislativo de la emisión de títulos de concesión minera —determinando que sí existe un derecho a consulta cuando se acredite que </w:t>
      </w:r>
      <w:r w:rsidRPr="00994A7E">
        <w:rPr>
          <w:rFonts w:ascii="Raleway" w:hAnsi="Raleway"/>
          <w:sz w:val="27"/>
          <w:szCs w:val="27"/>
        </w:rPr>
        <w:lastRenderedPageBreak/>
        <w:t xml:space="preserve">la concesión afecta territorios indígenas específicos con base en evidencia documentada y peritajes técnicos. Por ello, ordenó a la Secretaría de Economía dejar sin efecto los títulos otorgados en este caso y establecer procedimientos para evitar futuras omisiones en la consulta. </w:t>
      </w:r>
    </w:p>
    <w:p w14:paraId="2552484E" w14:textId="77777777" w:rsidR="008227F7" w:rsidRPr="00994A7E" w:rsidRDefault="008227F7" w:rsidP="008227F7">
      <w:pPr>
        <w:pStyle w:val="Prrafodelista"/>
        <w:spacing w:before="0" w:after="0" w:line="360" w:lineRule="auto"/>
        <w:rPr>
          <w:rFonts w:ascii="Raleway" w:hAnsi="Raleway"/>
          <w:sz w:val="27"/>
          <w:szCs w:val="27"/>
        </w:rPr>
      </w:pPr>
    </w:p>
    <w:p w14:paraId="60ACAC54" w14:textId="786BAE70"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Ahora bien, este Tribunal Pleno reconoce que el criterio sobre la afectación de impacto directo y diferenciado para activar el deber de consulta previa e informada a comunidades indígenas ha venido puliéndose con base en el precedente previamente analizado. En la acción de inconstitucionalidad 192/2023 y sus acumuladas 193/2023, 194/2023, 195/2023 y 196/2023, este Pleno determinó que el impacto directo se configura cuando “la normativa impugnada contenga modificaciones legislativas que incidan en los derechos de </w:t>
      </w:r>
      <w:r w:rsidR="001C0480">
        <w:rPr>
          <w:rFonts w:ascii="Raleway" w:hAnsi="Raleway"/>
          <w:sz w:val="27"/>
          <w:szCs w:val="27"/>
        </w:rPr>
        <w:t xml:space="preserve">dichos </w:t>
      </w:r>
      <w:r w:rsidRPr="00994A7E">
        <w:rPr>
          <w:rFonts w:ascii="Raleway" w:hAnsi="Raleway"/>
          <w:sz w:val="27"/>
          <w:szCs w:val="27"/>
        </w:rPr>
        <w:t xml:space="preserve">pueblos y comunidades, sin que se permita realizar presunciones sobre el nivel o grado de afectación a partir de factores extra normativos o de apreciación externa acerca de las preferencias </w:t>
      </w:r>
      <w:r w:rsidR="001C0480">
        <w:rPr>
          <w:rFonts w:ascii="Raleway" w:hAnsi="Raleway"/>
          <w:sz w:val="27"/>
          <w:szCs w:val="27"/>
        </w:rPr>
        <w:t>y/</w:t>
      </w:r>
      <w:r w:rsidRPr="00994A7E">
        <w:rPr>
          <w:rFonts w:ascii="Raleway" w:hAnsi="Raleway"/>
          <w:sz w:val="27"/>
          <w:szCs w:val="27"/>
        </w:rPr>
        <w:t>o cosmovisiones de los pueblos destinatarios de las normas”</w:t>
      </w:r>
      <w:r w:rsidRPr="00994A7E">
        <w:rPr>
          <w:rStyle w:val="Refdenotaalpie"/>
          <w:rFonts w:ascii="Raleway" w:hAnsi="Raleway"/>
          <w:sz w:val="27"/>
          <w:szCs w:val="27"/>
        </w:rPr>
        <w:footnoteReference w:id="21"/>
      </w:r>
      <w:r w:rsidRPr="00994A7E">
        <w:rPr>
          <w:rFonts w:ascii="Raleway" w:hAnsi="Raleway"/>
          <w:sz w:val="27"/>
          <w:szCs w:val="27"/>
        </w:rPr>
        <w:t>. Con esta determinación, se abandonó expresamente el criterio que exigía una afectación “predominante” o “significativa”.</w:t>
      </w:r>
      <w:r w:rsidRPr="00994A7E">
        <w:rPr>
          <w:rStyle w:val="Refdenotaalpie"/>
          <w:rFonts w:ascii="Raleway" w:hAnsi="Raleway"/>
          <w:sz w:val="27"/>
          <w:szCs w:val="27"/>
        </w:rPr>
        <w:t xml:space="preserve"> </w:t>
      </w:r>
      <w:r w:rsidRPr="00994A7E">
        <w:rPr>
          <w:rStyle w:val="Refdenotaalpie"/>
          <w:rFonts w:ascii="Raleway" w:hAnsi="Raleway"/>
          <w:sz w:val="27"/>
          <w:szCs w:val="27"/>
        </w:rPr>
        <w:footnoteReference w:id="22"/>
      </w:r>
    </w:p>
    <w:p w14:paraId="5B5C041B" w14:textId="77777777" w:rsidR="008227F7" w:rsidRPr="00994A7E" w:rsidRDefault="008227F7" w:rsidP="008227F7">
      <w:pPr>
        <w:pStyle w:val="Prrafodelista"/>
        <w:spacing w:before="0" w:after="0" w:line="360" w:lineRule="auto"/>
        <w:rPr>
          <w:rFonts w:ascii="Raleway" w:hAnsi="Raleway"/>
          <w:sz w:val="27"/>
          <w:szCs w:val="27"/>
        </w:rPr>
      </w:pPr>
    </w:p>
    <w:p w14:paraId="741667B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Sin embargo —como se estableció previamente— incluso bajo este criterio flexibilizado, no se configura una afectación directa, ya que se trata de un cambio general en el diseño para la exploración y explotación de litio, sin que ello se traduzca en una acción específica del Estado en los territorios donde se encuentra este recurso natural que pueda generar una afectación a las comunidades indígenas.</w:t>
      </w:r>
    </w:p>
    <w:p w14:paraId="1A966EAA" w14:textId="77777777" w:rsidR="008227F7" w:rsidRPr="00994A7E" w:rsidRDefault="008227F7" w:rsidP="008227F7">
      <w:pPr>
        <w:pStyle w:val="Prrafodelista"/>
        <w:spacing w:before="0" w:after="0" w:line="360" w:lineRule="auto"/>
        <w:rPr>
          <w:rFonts w:ascii="Raleway" w:hAnsi="Raleway"/>
          <w:sz w:val="27"/>
          <w:szCs w:val="27"/>
        </w:rPr>
      </w:pPr>
    </w:p>
    <w:p w14:paraId="182041CF"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lang w:val="es-ES"/>
        </w:rPr>
        <w:lastRenderedPageBreak/>
        <w:t xml:space="preserve">Así las cosas, </w:t>
      </w:r>
      <w:r w:rsidRPr="00994A7E">
        <w:rPr>
          <w:rFonts w:ascii="Raleway" w:hAnsi="Raleway"/>
          <w:sz w:val="27"/>
          <w:szCs w:val="27"/>
        </w:rPr>
        <w:t>este Tribunal Pleno considera que, en caso de que el plan de acción del Estado en materia de litio impacte directamente a comunidades indígenas, estas tendrán derecho a ser consultadas antes de su implementación y podrán recurrir al juicio de amparo para hacer valer dicha prerrogativa. En este sentido, la consulta no queda descartada, sino condicionada a la existencia de medidas concretas de implementación con impacto sobre territorios indígenas.</w:t>
      </w:r>
    </w:p>
    <w:p w14:paraId="288951B5" w14:textId="77777777" w:rsidR="008227F7" w:rsidRPr="00994A7E" w:rsidRDefault="008227F7" w:rsidP="008227F7">
      <w:pPr>
        <w:pStyle w:val="Prrafodelista"/>
        <w:spacing w:before="0" w:after="0" w:line="360" w:lineRule="auto"/>
        <w:rPr>
          <w:rFonts w:ascii="Raleway" w:hAnsi="Raleway"/>
          <w:sz w:val="27"/>
          <w:szCs w:val="27"/>
        </w:rPr>
      </w:pPr>
    </w:p>
    <w:p w14:paraId="37104660"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conclusión, la línea jurisprudencial de esta Suprema Corte ha buscado garantizar el derecho de los pueblos indígenas a la consulta previa y al acceso a los recursos naturales en sus tierras —al tiempo que delimita los alcances de los mecanismos de control constitucional—. De esta manera, se refuerza la protección de los derechos indígenas sin comprometer la viabilidad de reformas estructurales en sectores estratégicos. Aplicando estos criterios al caso concreto, este Tribunal Pleno concluye que el Decreto impugnado no requería consulta previa, pues su contenido no genera una afectación directa y diferenciada. En consecuencia, el argumento de la minoría accionante resulta infundado. </w:t>
      </w:r>
    </w:p>
    <w:p w14:paraId="06689E81" w14:textId="77777777" w:rsidR="008227F7" w:rsidRPr="00994A7E" w:rsidRDefault="008227F7" w:rsidP="008227F7">
      <w:pPr>
        <w:pStyle w:val="Prrafodelista"/>
        <w:spacing w:before="0" w:after="0" w:line="360" w:lineRule="auto"/>
        <w:rPr>
          <w:rFonts w:ascii="Raleway" w:hAnsi="Raleway"/>
          <w:sz w:val="27"/>
          <w:szCs w:val="27"/>
        </w:rPr>
      </w:pPr>
    </w:p>
    <w:p w14:paraId="7695753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Superado el análisis relativo a la consulta previa, procede examinar los conceptos de invalidez formulados por la minoría accionante en relación con el examen sustantivo del Decreto impugnado, en aquellos extremos que subsisten como objeto válido de control constitucional, conforme a lo resuelto en el apartado de improcedencia.</w:t>
      </w:r>
    </w:p>
    <w:p w14:paraId="5EBF4561" w14:textId="77777777" w:rsidR="008227F7" w:rsidRPr="00994A7E" w:rsidRDefault="008227F7" w:rsidP="008227F7">
      <w:pPr>
        <w:pStyle w:val="Prrafodelista"/>
        <w:spacing w:before="0" w:after="0" w:line="360" w:lineRule="auto"/>
        <w:rPr>
          <w:rFonts w:ascii="Raleway" w:hAnsi="Raleway"/>
          <w:sz w:val="27"/>
          <w:szCs w:val="27"/>
        </w:rPr>
      </w:pPr>
    </w:p>
    <w:p w14:paraId="6AD57845" w14:textId="77777777" w:rsidR="008227F7" w:rsidRPr="00994A7E" w:rsidRDefault="008227F7" w:rsidP="008227F7">
      <w:pPr>
        <w:pStyle w:val="Prrafo"/>
        <w:spacing w:before="0" w:after="0"/>
        <w:rPr>
          <w:rFonts w:ascii="Raleway" w:hAnsi="Raleway"/>
          <w:b/>
          <w:sz w:val="27"/>
          <w:szCs w:val="27"/>
        </w:rPr>
      </w:pPr>
      <w:r w:rsidRPr="00994A7E">
        <w:rPr>
          <w:rFonts w:ascii="Raleway" w:hAnsi="Raleway"/>
          <w:b/>
          <w:bCs/>
          <w:sz w:val="27"/>
          <w:szCs w:val="27"/>
        </w:rPr>
        <w:t xml:space="preserve">2. </w:t>
      </w:r>
      <w:r w:rsidRPr="00994A7E">
        <w:rPr>
          <w:rFonts w:ascii="Raleway" w:hAnsi="Raleway"/>
          <w:b/>
          <w:sz w:val="27"/>
          <w:szCs w:val="27"/>
        </w:rPr>
        <w:t xml:space="preserve">Estudio sustantivo del Decreto </w:t>
      </w:r>
    </w:p>
    <w:p w14:paraId="1A73EDB3"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Antes de abordar de manera específica los conceptos de invalidez, este Alto Tribunal estima pertinente exponer el contenido normativo esencial del Decreto impugnado, con el objeto de contextualizar el debate </w:t>
      </w:r>
      <w:r w:rsidRPr="00994A7E">
        <w:rPr>
          <w:rFonts w:ascii="Raleway" w:hAnsi="Raleway"/>
          <w:sz w:val="27"/>
          <w:szCs w:val="27"/>
        </w:rPr>
        <w:lastRenderedPageBreak/>
        <w:t>constitucional y delimitar con claridad el alcance del análisis que corresponde realizar a esta Suprema Corte.</w:t>
      </w:r>
    </w:p>
    <w:p w14:paraId="6C729E9A" w14:textId="77777777" w:rsidR="008227F7" w:rsidRPr="00994A7E" w:rsidRDefault="008227F7" w:rsidP="008227F7">
      <w:pPr>
        <w:pStyle w:val="Prrafo"/>
        <w:spacing w:before="0" w:after="0"/>
        <w:rPr>
          <w:rFonts w:ascii="Raleway" w:hAnsi="Raleway"/>
          <w:sz w:val="27"/>
          <w:szCs w:val="27"/>
        </w:rPr>
      </w:pPr>
    </w:p>
    <w:p w14:paraId="043B6B17"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El Decreto reformó diversos preceptos de la Ley Minera con el propósito central de </w:t>
      </w:r>
      <w:r w:rsidRPr="00994A7E">
        <w:rPr>
          <w:rFonts w:ascii="Raleway" w:hAnsi="Raleway"/>
          <w:b/>
          <w:bCs/>
          <w:sz w:val="27"/>
          <w:szCs w:val="27"/>
        </w:rPr>
        <w:t>reconfigurar el régimen jurídico del litio</w:t>
      </w:r>
      <w:r w:rsidRPr="00994A7E">
        <w:rPr>
          <w:rFonts w:ascii="Raleway" w:hAnsi="Raleway"/>
          <w:sz w:val="27"/>
          <w:szCs w:val="27"/>
        </w:rPr>
        <w:t xml:space="preserve">, al declararlo recurso de utilidad pública, reservar de manera exclusiva al Estado las actividades de exploración, explotación, beneficio y aprovechamiento, y </w:t>
      </w:r>
      <w:r w:rsidRPr="00994A7E">
        <w:rPr>
          <w:rFonts w:ascii="Raleway" w:hAnsi="Raleway"/>
          <w:b/>
          <w:bCs/>
          <w:sz w:val="27"/>
          <w:szCs w:val="27"/>
        </w:rPr>
        <w:t>excluir expresamente la participación de particulares</w:t>
      </w:r>
      <w:r w:rsidRPr="00994A7E">
        <w:rPr>
          <w:rFonts w:ascii="Raleway" w:hAnsi="Raleway"/>
          <w:sz w:val="27"/>
          <w:szCs w:val="27"/>
        </w:rPr>
        <w:t xml:space="preserve"> mediante concesiones, licencias, contratos, permisos o autorizaciones. En particular, el artículo 5 Bis dispone de manera categórica que </w:t>
      </w:r>
      <w:r w:rsidRPr="00994A7E">
        <w:rPr>
          <w:rFonts w:ascii="Raleway" w:hAnsi="Raleway"/>
          <w:i/>
          <w:iCs/>
          <w:sz w:val="27"/>
          <w:szCs w:val="27"/>
        </w:rPr>
        <w:t>“no se otorgarán concesiones, licencias, contratos, permisos o autorizaciones en la materia”.</w:t>
      </w:r>
    </w:p>
    <w:p w14:paraId="76880F9E" w14:textId="77777777" w:rsidR="008227F7" w:rsidRPr="00994A7E" w:rsidRDefault="008227F7" w:rsidP="008227F7">
      <w:pPr>
        <w:pStyle w:val="Prrafodelista"/>
        <w:spacing w:before="0" w:after="0" w:line="360" w:lineRule="auto"/>
        <w:rPr>
          <w:rFonts w:ascii="Raleway" w:hAnsi="Raleway"/>
          <w:sz w:val="27"/>
          <w:szCs w:val="27"/>
        </w:rPr>
      </w:pPr>
    </w:p>
    <w:p w14:paraId="5CCC1E6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Esta reforma implicó una modificación estructural del esquema de intervención estatal en el sector minero, al sustraer al litio del régimen general de concesiones previsto en la Ley y establecer un modelo de explotación exclusiva a cargo del Estado.</w:t>
      </w:r>
    </w:p>
    <w:p w14:paraId="1DB82985" w14:textId="77777777" w:rsidR="008227F7" w:rsidRPr="00994A7E" w:rsidRDefault="008227F7" w:rsidP="008227F7">
      <w:pPr>
        <w:pStyle w:val="Prrafodelista"/>
        <w:spacing w:before="0" w:after="0" w:line="360" w:lineRule="auto"/>
        <w:rPr>
          <w:rFonts w:ascii="Raleway" w:hAnsi="Raleway"/>
          <w:sz w:val="27"/>
          <w:szCs w:val="27"/>
        </w:rPr>
      </w:pPr>
    </w:p>
    <w:p w14:paraId="3D1D98B3"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Con base en esta delimitación, procede analizar los conceptos de invalidez formulados por la minoría accionante respecto de las disposiciones que integran el subsistema normativo sometido a examen constitucional. </w:t>
      </w:r>
    </w:p>
    <w:p w14:paraId="3377EC83" w14:textId="77777777" w:rsidR="008227F7" w:rsidRPr="00994A7E" w:rsidRDefault="008227F7" w:rsidP="008227F7">
      <w:pPr>
        <w:pStyle w:val="Prrafodelista"/>
        <w:spacing w:before="0" w:after="0" w:line="360" w:lineRule="auto"/>
        <w:rPr>
          <w:rFonts w:ascii="Raleway" w:hAnsi="Raleway"/>
          <w:sz w:val="27"/>
          <w:szCs w:val="27"/>
        </w:rPr>
      </w:pPr>
    </w:p>
    <w:p w14:paraId="1AB91D22" w14:textId="77777777" w:rsidR="008227F7" w:rsidRPr="00994A7E" w:rsidRDefault="008227F7" w:rsidP="008227F7">
      <w:pPr>
        <w:pStyle w:val="Prrafo"/>
        <w:spacing w:before="0" w:after="0"/>
        <w:rPr>
          <w:rFonts w:ascii="Raleway" w:hAnsi="Raleway"/>
          <w:b/>
          <w:bCs/>
          <w:sz w:val="27"/>
          <w:szCs w:val="27"/>
        </w:rPr>
      </w:pPr>
      <w:r w:rsidRPr="00994A7E">
        <w:rPr>
          <w:rFonts w:ascii="Raleway" w:hAnsi="Raleway"/>
          <w:b/>
          <w:bCs/>
          <w:sz w:val="27"/>
          <w:szCs w:val="27"/>
        </w:rPr>
        <w:t>2.1 Declaración del litio y otros minerales como áreas estratégicas y prohibición de otorgamiento de concesiones a particulares</w:t>
      </w:r>
    </w:p>
    <w:p w14:paraId="4A9F5607"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La parte accionante sostiene, en esencia, que la reforma a la Ley Minera es inconstitucional porque, al excluir del régimen ordinario de concesiones la participación de particulares y sociedades constituidas conforme a las leyes mexicanas en la explotación y aprovechamiento del litio, </w:t>
      </w:r>
      <w:r w:rsidRPr="00994A7E">
        <w:rPr>
          <w:rFonts w:ascii="Raleway" w:hAnsi="Raleway"/>
          <w:b/>
          <w:bCs/>
          <w:sz w:val="27"/>
          <w:szCs w:val="27"/>
        </w:rPr>
        <w:t>se habría requerido una reforma constitucional</w:t>
      </w:r>
      <w:r w:rsidRPr="00994A7E">
        <w:rPr>
          <w:rFonts w:ascii="Raleway" w:hAnsi="Raleway"/>
          <w:sz w:val="27"/>
          <w:szCs w:val="27"/>
        </w:rPr>
        <w:t>, y no únicamente una modificación legislativa.</w:t>
      </w:r>
    </w:p>
    <w:p w14:paraId="5DB4189E" w14:textId="77777777" w:rsidR="008227F7" w:rsidRPr="00994A7E" w:rsidRDefault="008227F7" w:rsidP="008227F7">
      <w:pPr>
        <w:pStyle w:val="Prrafo"/>
        <w:spacing w:before="0" w:after="0"/>
        <w:rPr>
          <w:rFonts w:ascii="Raleway" w:hAnsi="Raleway"/>
          <w:sz w:val="27"/>
          <w:szCs w:val="27"/>
        </w:rPr>
      </w:pPr>
    </w:p>
    <w:p w14:paraId="61214993"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lastRenderedPageBreak/>
        <w:t>Si bien reconoce que el artículo 28 constitucional faculta al legislador ordinario para identificar áreas estratégicas, afirma que dicha facultad exige una determinación expresa y clara en la legislación secundaria, requisito que —a su juicio— no se satisface en el caso. Asimismo, sostiene que no es jurídicamente válido interpretar de manera extensiva el proceso legislativo ni relativizar el carácter imperativo de una determinación expresa.</w:t>
      </w:r>
    </w:p>
    <w:p w14:paraId="551086FC" w14:textId="77777777" w:rsidR="008227F7" w:rsidRPr="00994A7E" w:rsidRDefault="008227F7" w:rsidP="008227F7">
      <w:pPr>
        <w:pStyle w:val="Prrafodelista"/>
        <w:spacing w:before="0" w:after="0" w:line="360" w:lineRule="auto"/>
        <w:contextualSpacing w:val="0"/>
        <w:rPr>
          <w:rFonts w:ascii="Raleway" w:hAnsi="Raleway"/>
          <w:sz w:val="27"/>
          <w:szCs w:val="27"/>
        </w:rPr>
      </w:pPr>
    </w:p>
    <w:p w14:paraId="761751A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Adicionalmente, la accionante distingue entre las facultades del legislador ordinario y las del Poder Constituyente, y argumenta que: i) las actividades calificadas como estratégicas en legislación secundaria no pueden alterar situaciones jurídicas preexistentes; y ii) conforme al artículo 25 constitucional, solo las actividades expresamente previstas en la Constitución pueden ser exclusivas del sector público.</w:t>
      </w:r>
    </w:p>
    <w:p w14:paraId="77A55BC5" w14:textId="77777777" w:rsidR="008227F7" w:rsidRPr="00994A7E" w:rsidRDefault="008227F7" w:rsidP="008227F7">
      <w:pPr>
        <w:pStyle w:val="Prrafodelista"/>
        <w:spacing w:before="0" w:after="0" w:line="360" w:lineRule="auto"/>
        <w:rPr>
          <w:rFonts w:ascii="Raleway" w:hAnsi="Raleway"/>
          <w:sz w:val="27"/>
          <w:szCs w:val="27"/>
        </w:rPr>
      </w:pPr>
    </w:p>
    <w:p w14:paraId="1DBE9393"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Estos argumentos resultan </w:t>
      </w:r>
      <w:r w:rsidRPr="00994A7E">
        <w:rPr>
          <w:rFonts w:ascii="Raleway" w:hAnsi="Raleway"/>
          <w:b/>
          <w:bCs/>
          <w:sz w:val="27"/>
          <w:szCs w:val="27"/>
        </w:rPr>
        <w:t>infundados</w:t>
      </w:r>
      <w:r w:rsidRPr="00994A7E">
        <w:rPr>
          <w:rFonts w:ascii="Raleway" w:hAnsi="Raleway"/>
          <w:sz w:val="27"/>
          <w:szCs w:val="27"/>
        </w:rPr>
        <w:t xml:space="preserve">, a la luz del desarrollo constitucional del régimen económico del Estado mexicano y del </w:t>
      </w:r>
      <w:r w:rsidRPr="00994A7E">
        <w:rPr>
          <w:rFonts w:ascii="Raleway" w:hAnsi="Raleway"/>
          <w:b/>
          <w:bCs/>
          <w:sz w:val="27"/>
          <w:szCs w:val="27"/>
        </w:rPr>
        <w:t>cambio en el parámetro de regularidad constitucional</w:t>
      </w:r>
      <w:r w:rsidRPr="00994A7E">
        <w:rPr>
          <w:rFonts w:ascii="Raleway" w:hAnsi="Raleway"/>
          <w:sz w:val="27"/>
          <w:szCs w:val="27"/>
        </w:rPr>
        <w:t xml:space="preserve"> derivado de la reforma constitucional publicada el treinta y uno de octubre de dos mil veinticuatro.</w:t>
      </w:r>
    </w:p>
    <w:p w14:paraId="33301D62" w14:textId="77777777" w:rsidR="008227F7" w:rsidRPr="00994A7E" w:rsidRDefault="008227F7" w:rsidP="008227F7">
      <w:pPr>
        <w:pStyle w:val="Prrafodelista"/>
        <w:spacing w:before="0" w:after="0" w:line="360" w:lineRule="auto"/>
        <w:rPr>
          <w:rFonts w:ascii="Raleway" w:hAnsi="Raleway"/>
          <w:sz w:val="27"/>
          <w:szCs w:val="27"/>
        </w:rPr>
      </w:pPr>
    </w:p>
    <w:p w14:paraId="57E40E2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Como es sabido, la reforma constitucional publicada el tres de febrero de mil novecientos ochenta y tres introdujo un </w:t>
      </w:r>
      <w:r w:rsidRPr="00994A7E">
        <w:rPr>
          <w:rFonts w:ascii="Raleway" w:hAnsi="Raleway"/>
          <w:b/>
          <w:bCs/>
          <w:sz w:val="27"/>
          <w:szCs w:val="27"/>
        </w:rPr>
        <w:t>capítulo económico</w:t>
      </w:r>
      <w:r w:rsidRPr="00994A7E">
        <w:rPr>
          <w:rFonts w:ascii="Raleway" w:hAnsi="Raleway"/>
          <w:sz w:val="27"/>
          <w:szCs w:val="27"/>
        </w:rPr>
        <w:t xml:space="preserve"> en la Constitución Federal, mediante la modificación de los artículos 25, 26, 27 y 28, con el objetivo de definir la rectoría del Estado en el desarrollo nacional, así como los alcances de su intervención directa en determinadas actividades económicas de relevancia estratégica.</w:t>
      </w:r>
    </w:p>
    <w:p w14:paraId="63007218" w14:textId="77777777" w:rsidR="008227F7" w:rsidRPr="00994A7E" w:rsidRDefault="008227F7" w:rsidP="008227F7">
      <w:pPr>
        <w:pStyle w:val="Prrafodelista"/>
        <w:spacing w:before="0" w:after="0" w:line="360" w:lineRule="auto"/>
        <w:rPr>
          <w:rFonts w:ascii="Raleway" w:hAnsi="Raleway"/>
          <w:sz w:val="27"/>
          <w:szCs w:val="27"/>
        </w:rPr>
      </w:pPr>
    </w:p>
    <w:p w14:paraId="2325E0D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ese contexto, se incorporaron los conceptos de rectoría del Estado, planeación del desarrollo y áreas estratégicas, como categorías </w:t>
      </w:r>
      <w:r w:rsidRPr="00994A7E">
        <w:rPr>
          <w:rFonts w:ascii="Raleway" w:hAnsi="Raleway"/>
          <w:sz w:val="27"/>
          <w:szCs w:val="27"/>
        </w:rPr>
        <w:lastRenderedPageBreak/>
        <w:t>constitucionales que delimitan los espacios de actuación exclusiva del sector público.</w:t>
      </w:r>
    </w:p>
    <w:p w14:paraId="7F2F043F" w14:textId="77777777" w:rsidR="008227F7" w:rsidRPr="00994A7E" w:rsidRDefault="008227F7" w:rsidP="008227F7">
      <w:pPr>
        <w:pStyle w:val="Prrafodelista"/>
        <w:spacing w:before="0" w:after="0" w:line="360" w:lineRule="auto"/>
        <w:rPr>
          <w:rFonts w:ascii="Raleway" w:hAnsi="Raleway"/>
          <w:sz w:val="27"/>
          <w:szCs w:val="27"/>
        </w:rPr>
      </w:pPr>
    </w:p>
    <w:p w14:paraId="49C2DFEB" w14:textId="180EC91C"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Este Tribunal ha sostenido que las áreas estratégicas constituyen aquellas actividades económicas que, por su relevancia social, económica o nacional, deben ser realizadas de manera exclusiva por el Estado, ya sea directamente o a través de los organismos y empresas que determine</w:t>
      </w:r>
      <w:r w:rsidR="001C0480">
        <w:rPr>
          <w:rFonts w:ascii="Raleway" w:hAnsi="Raleway"/>
          <w:sz w:val="27"/>
          <w:szCs w:val="27"/>
        </w:rPr>
        <w:t>n</w:t>
      </w:r>
      <w:r w:rsidRPr="00994A7E">
        <w:rPr>
          <w:rFonts w:ascii="Raleway" w:hAnsi="Raleway"/>
          <w:sz w:val="27"/>
          <w:szCs w:val="27"/>
        </w:rPr>
        <w:t>, en atención al interés general y a los fines del desarrollo nacional.</w:t>
      </w:r>
      <w:r w:rsidRPr="00994A7E">
        <w:rPr>
          <w:rStyle w:val="Refdenotaalpie"/>
          <w:rFonts w:ascii="Raleway" w:hAnsi="Raleway"/>
          <w:sz w:val="27"/>
          <w:szCs w:val="27"/>
        </w:rPr>
        <w:footnoteReference w:id="23"/>
      </w:r>
    </w:p>
    <w:p w14:paraId="54151E1A" w14:textId="77777777" w:rsidR="008227F7" w:rsidRPr="00994A7E" w:rsidRDefault="008227F7" w:rsidP="008227F7">
      <w:pPr>
        <w:pStyle w:val="Prrafodelista"/>
        <w:spacing w:before="0" w:after="0" w:line="360" w:lineRule="auto"/>
        <w:rPr>
          <w:rFonts w:ascii="Raleway" w:hAnsi="Raleway"/>
          <w:sz w:val="27"/>
          <w:szCs w:val="27"/>
        </w:rPr>
      </w:pPr>
    </w:p>
    <w:p w14:paraId="49309C38"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Una consecuencia inherente a la calificación de una actividad como estratégica es, precisamente, la </w:t>
      </w:r>
      <w:r w:rsidRPr="00994A7E">
        <w:rPr>
          <w:rFonts w:ascii="Raleway" w:hAnsi="Raleway"/>
          <w:b/>
          <w:bCs/>
          <w:sz w:val="27"/>
          <w:szCs w:val="27"/>
        </w:rPr>
        <w:t>exclusión de los particulares</w:t>
      </w:r>
      <w:r w:rsidRPr="00994A7E">
        <w:rPr>
          <w:rFonts w:ascii="Raleway" w:hAnsi="Raleway"/>
          <w:sz w:val="27"/>
          <w:szCs w:val="27"/>
        </w:rPr>
        <w:t>. Esta exclusividad se justifica en la necesidad de asegurar que dichas actividades se desarrollen bajo criterios de interés público, soberanía y seguridad nacional, y no conforme a lógicas estrictamente mercantiles.</w:t>
      </w:r>
    </w:p>
    <w:p w14:paraId="68E5E2D6" w14:textId="77777777" w:rsidR="008227F7" w:rsidRPr="00994A7E" w:rsidRDefault="008227F7" w:rsidP="008227F7">
      <w:pPr>
        <w:pStyle w:val="Prrafodelista"/>
        <w:spacing w:before="0" w:after="0" w:line="360" w:lineRule="auto"/>
        <w:rPr>
          <w:rFonts w:ascii="Raleway" w:hAnsi="Raleway"/>
          <w:sz w:val="27"/>
          <w:szCs w:val="27"/>
        </w:rPr>
      </w:pPr>
    </w:p>
    <w:p w14:paraId="563C2B6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Ahora bien, mediante el decreto publicado el treinta y uno de octubre de dos mil veinticuatro, se reformaron los artículos 25, 27 y 28 de la Constitución Federal para </w:t>
      </w:r>
      <w:r w:rsidRPr="00994A7E">
        <w:rPr>
          <w:rFonts w:ascii="Raleway" w:hAnsi="Raleway"/>
          <w:b/>
          <w:bCs/>
          <w:sz w:val="27"/>
          <w:szCs w:val="27"/>
        </w:rPr>
        <w:t>reconocer expresamente al litio como área estratégica</w:t>
      </w:r>
      <w:r w:rsidRPr="00994A7E">
        <w:rPr>
          <w:rFonts w:ascii="Raleway" w:hAnsi="Raleway"/>
          <w:sz w:val="27"/>
          <w:szCs w:val="27"/>
        </w:rPr>
        <w:t xml:space="preserve">, y establecer, de manera clara e inequívoca, la </w:t>
      </w:r>
      <w:r w:rsidRPr="00994A7E">
        <w:rPr>
          <w:rFonts w:ascii="Raleway" w:hAnsi="Raleway"/>
          <w:b/>
          <w:bCs/>
          <w:sz w:val="27"/>
          <w:szCs w:val="27"/>
        </w:rPr>
        <w:t>prohibición de otorgar concesiones para su explotación</w:t>
      </w:r>
      <w:r w:rsidRPr="00994A7E">
        <w:rPr>
          <w:rFonts w:ascii="Raleway" w:hAnsi="Raleway"/>
          <w:sz w:val="27"/>
          <w:szCs w:val="27"/>
        </w:rPr>
        <w:t>. A partir de dicha reforma, el litio adquirió un estatus de exclusividad estatal directamente anclado en el texto constitucional.</w:t>
      </w:r>
    </w:p>
    <w:p w14:paraId="5D5A957D" w14:textId="77777777" w:rsidR="008227F7" w:rsidRPr="00994A7E" w:rsidRDefault="008227F7" w:rsidP="008227F7">
      <w:pPr>
        <w:pStyle w:val="Prrafodelista"/>
        <w:spacing w:before="0" w:after="0" w:line="360" w:lineRule="auto"/>
        <w:rPr>
          <w:rFonts w:ascii="Raleway" w:hAnsi="Raleway"/>
          <w:sz w:val="27"/>
          <w:szCs w:val="27"/>
        </w:rPr>
      </w:pPr>
    </w:p>
    <w:p w14:paraId="7725D2A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el régimen constitucional actualmente vigente, las disposiciones impugnadas de la Ley Minera </w:t>
      </w:r>
      <w:r w:rsidRPr="00994A7E">
        <w:rPr>
          <w:rFonts w:ascii="Raleway" w:hAnsi="Raleway"/>
          <w:b/>
          <w:bCs/>
          <w:sz w:val="27"/>
          <w:szCs w:val="27"/>
        </w:rPr>
        <w:t>no amplían ni exceden</w:t>
      </w:r>
      <w:r w:rsidRPr="00994A7E">
        <w:rPr>
          <w:rFonts w:ascii="Raleway" w:hAnsi="Raleway"/>
          <w:sz w:val="27"/>
          <w:szCs w:val="27"/>
        </w:rPr>
        <w:t xml:space="preserve"> las facultades del legislador ordinario, sino que se limitan a </w:t>
      </w:r>
      <w:r w:rsidRPr="00994A7E">
        <w:rPr>
          <w:rFonts w:ascii="Raleway" w:hAnsi="Raleway"/>
          <w:b/>
          <w:bCs/>
          <w:sz w:val="27"/>
          <w:szCs w:val="27"/>
        </w:rPr>
        <w:t>desarrollar legislativamente una decisión ya adoptada por el Poder Revisor de la Constitución</w:t>
      </w:r>
      <w:r w:rsidRPr="00994A7E">
        <w:rPr>
          <w:rFonts w:ascii="Raleway" w:hAnsi="Raleway"/>
          <w:sz w:val="27"/>
          <w:szCs w:val="27"/>
        </w:rPr>
        <w:t>, precisando las actividades reservadas al Estado: exploración, explotación, beneficio y aprovechamiento del litio.</w:t>
      </w:r>
    </w:p>
    <w:p w14:paraId="010EF5E9" w14:textId="77777777" w:rsidR="008227F7" w:rsidRPr="00994A7E" w:rsidRDefault="008227F7" w:rsidP="008227F7">
      <w:pPr>
        <w:pStyle w:val="Prrafodelista"/>
        <w:spacing w:before="0" w:after="0" w:line="360" w:lineRule="auto"/>
        <w:rPr>
          <w:rFonts w:ascii="Raleway" w:hAnsi="Raleway"/>
          <w:sz w:val="27"/>
          <w:szCs w:val="27"/>
        </w:rPr>
      </w:pPr>
    </w:p>
    <w:p w14:paraId="35FCA9C3"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Este Tribunal Pleno advierte que los argumentos de la minoría accionante fueron formulados con anterioridad a la reforma constitucional de treinta y uno de octubre de dos mil veinticuatro. No obstante, dicha reforma constituye un cambio en el parámetro de control constitucional, que incide directamente en la valoración de los conceptos de invalidez planteados.</w:t>
      </w:r>
    </w:p>
    <w:p w14:paraId="38D72727"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efecto, la decisión del Poder Revisor de la Constitución clausura la deliberación legislativa y jurisdiccional en torno a la posibilidad de permitir la participación de particulares en la explotación del litio, al elevar dicha prohibición al rango constitucional.</w:t>
      </w:r>
    </w:p>
    <w:p w14:paraId="3105D836" w14:textId="77777777" w:rsidR="008227F7" w:rsidRPr="00994A7E" w:rsidRDefault="008227F7" w:rsidP="008227F7">
      <w:pPr>
        <w:pStyle w:val="Prrafodelista"/>
        <w:spacing w:before="0" w:after="0" w:line="360" w:lineRule="auto"/>
        <w:rPr>
          <w:rFonts w:ascii="Raleway" w:hAnsi="Raleway"/>
          <w:sz w:val="27"/>
          <w:szCs w:val="27"/>
        </w:rPr>
      </w:pPr>
    </w:p>
    <w:p w14:paraId="48446FA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Tampoco puede sostenerse que la reforma constitucional haya producido una cesación de efectos de la norma impugnada. Conforme al criterio material adoptado por este Tribunal Pleno, no existe un cambio normativo sustantivo, sino un cambio en la fuerza normativa de la misma decisión: lo que antes era una norma legal ahora se erige como </w:t>
      </w:r>
      <w:r w:rsidRPr="00994A7E">
        <w:rPr>
          <w:rFonts w:ascii="Raleway" w:hAnsi="Raleway"/>
          <w:b/>
          <w:bCs/>
          <w:sz w:val="27"/>
          <w:szCs w:val="27"/>
        </w:rPr>
        <w:t>parámetro de control constitucional</w:t>
      </w:r>
      <w:r w:rsidRPr="00994A7E">
        <w:rPr>
          <w:rFonts w:ascii="Raleway" w:hAnsi="Raleway"/>
          <w:sz w:val="27"/>
          <w:szCs w:val="27"/>
        </w:rPr>
        <w:t>.</w:t>
      </w:r>
    </w:p>
    <w:p w14:paraId="047D1472" w14:textId="77777777" w:rsidR="008227F7" w:rsidRPr="00994A7E" w:rsidRDefault="008227F7" w:rsidP="008227F7">
      <w:pPr>
        <w:pStyle w:val="Prrafodelista"/>
        <w:spacing w:before="0" w:after="0" w:line="360" w:lineRule="auto"/>
        <w:rPr>
          <w:rFonts w:ascii="Raleway" w:hAnsi="Raleway"/>
          <w:sz w:val="27"/>
          <w:szCs w:val="27"/>
        </w:rPr>
      </w:pPr>
    </w:p>
    <w:p w14:paraId="4D860FA9"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otras palabras, la norma que reserva al Estado la explotación del litio </w:t>
      </w:r>
      <w:r w:rsidRPr="00994A7E">
        <w:rPr>
          <w:rFonts w:ascii="Raleway" w:hAnsi="Raleway"/>
          <w:b/>
          <w:bCs/>
          <w:sz w:val="27"/>
          <w:szCs w:val="27"/>
        </w:rPr>
        <w:t>no desaparece ni se sustituye</w:t>
      </w:r>
      <w:r w:rsidRPr="00994A7E">
        <w:rPr>
          <w:rFonts w:ascii="Raleway" w:hAnsi="Raleway"/>
          <w:sz w:val="27"/>
          <w:szCs w:val="27"/>
        </w:rPr>
        <w:t>, sino que se constitucionaliza. Por ello, deja de ser susceptible de control constitucional ordinario para convertirse en referente de regularidad del sistema jurídico.</w:t>
      </w:r>
    </w:p>
    <w:p w14:paraId="2B13B3B7" w14:textId="77777777" w:rsidR="008227F7" w:rsidRPr="00994A7E" w:rsidRDefault="008227F7" w:rsidP="008227F7">
      <w:pPr>
        <w:pStyle w:val="Prrafodelista"/>
        <w:spacing w:before="0" w:after="0" w:line="360" w:lineRule="auto"/>
        <w:rPr>
          <w:rFonts w:ascii="Raleway" w:hAnsi="Raleway"/>
          <w:sz w:val="27"/>
          <w:szCs w:val="27"/>
        </w:rPr>
      </w:pPr>
    </w:p>
    <w:p w14:paraId="2DE24DD8"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Lo mismo ocurre con la segunda línea argumentativa de la minoría, relativa a la declaración del litio como de utilidad pública y la supuesta improcedencia de derivar de ella la prohibición de concesiones.</w:t>
      </w:r>
    </w:p>
    <w:p w14:paraId="5DD1338E" w14:textId="77777777" w:rsidR="008227F7" w:rsidRPr="00994A7E" w:rsidRDefault="008227F7" w:rsidP="008227F7">
      <w:pPr>
        <w:pStyle w:val="Prrafodelista"/>
        <w:spacing w:before="0" w:after="0" w:line="360" w:lineRule="auto"/>
        <w:rPr>
          <w:rFonts w:ascii="Raleway" w:hAnsi="Raleway"/>
          <w:sz w:val="27"/>
          <w:szCs w:val="27"/>
        </w:rPr>
      </w:pPr>
    </w:p>
    <w:p w14:paraId="3DB3B17E"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el régimen constitucional actual, es la propia Constitución —en su artículo 27— la que establece expresamente que </w:t>
      </w:r>
      <w:r w:rsidRPr="00994A7E">
        <w:rPr>
          <w:rFonts w:ascii="Raleway" w:hAnsi="Raleway"/>
          <w:b/>
          <w:bCs/>
          <w:sz w:val="27"/>
          <w:szCs w:val="27"/>
        </w:rPr>
        <w:t xml:space="preserve">tratándose de litio no </w:t>
      </w:r>
      <w:r w:rsidRPr="00994A7E">
        <w:rPr>
          <w:rFonts w:ascii="Raleway" w:hAnsi="Raleway"/>
          <w:b/>
          <w:bCs/>
          <w:sz w:val="27"/>
          <w:szCs w:val="27"/>
        </w:rPr>
        <w:lastRenderedPageBreak/>
        <w:t>se otorgarán concesiones</w:t>
      </w:r>
      <w:r w:rsidRPr="00994A7E">
        <w:rPr>
          <w:rFonts w:ascii="Raleway" w:hAnsi="Raleway"/>
          <w:sz w:val="27"/>
          <w:szCs w:val="27"/>
        </w:rPr>
        <w:t>, con independencia de la calificación legislativa de utilidad pública.</w:t>
      </w:r>
    </w:p>
    <w:p w14:paraId="31ACFF9F" w14:textId="77777777" w:rsidR="008227F7" w:rsidRPr="00994A7E" w:rsidRDefault="008227F7" w:rsidP="008227F7">
      <w:pPr>
        <w:pStyle w:val="Prrafodelista"/>
        <w:spacing w:before="0" w:after="0" w:line="360" w:lineRule="auto"/>
        <w:rPr>
          <w:rFonts w:ascii="Raleway" w:hAnsi="Raleway"/>
          <w:sz w:val="27"/>
          <w:szCs w:val="27"/>
        </w:rPr>
      </w:pPr>
    </w:p>
    <w:p w14:paraId="54D7503A"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este contexto, el legislador federal conserva, en todo caso, la facultad de desarrollar normativamente las causas y efectos de la utilidad pública,</w:t>
      </w:r>
      <w:r w:rsidRPr="00994A7E">
        <w:rPr>
          <w:rStyle w:val="Refdenotaalpie"/>
          <w:rFonts w:ascii="Raleway" w:hAnsi="Raleway"/>
          <w:sz w:val="27"/>
          <w:szCs w:val="27"/>
        </w:rPr>
        <w:footnoteReference w:id="24"/>
      </w:r>
      <w:r w:rsidRPr="00994A7E">
        <w:rPr>
          <w:rFonts w:ascii="Raleway" w:hAnsi="Raleway"/>
          <w:sz w:val="27"/>
          <w:szCs w:val="27"/>
        </w:rPr>
        <w:t xml:space="preserve"> pero no puede desconocer ni contradecir la reserva constitucional de exclusividad estatal.</w:t>
      </w:r>
    </w:p>
    <w:p w14:paraId="632D9643" w14:textId="77777777" w:rsidR="008227F7" w:rsidRPr="00994A7E" w:rsidRDefault="008227F7" w:rsidP="008227F7">
      <w:pPr>
        <w:pStyle w:val="Prrafodelista"/>
        <w:spacing w:before="0" w:after="0" w:line="360" w:lineRule="auto"/>
        <w:rPr>
          <w:rFonts w:ascii="Raleway" w:hAnsi="Raleway"/>
          <w:sz w:val="27"/>
          <w:szCs w:val="27"/>
        </w:rPr>
      </w:pPr>
    </w:p>
    <w:p w14:paraId="66EA765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consecuencia, ambos conceptos de invalidez devienen </w:t>
      </w:r>
      <w:r w:rsidRPr="00994A7E">
        <w:rPr>
          <w:rFonts w:ascii="Raleway" w:hAnsi="Raleway"/>
          <w:b/>
          <w:bCs/>
          <w:sz w:val="27"/>
          <w:szCs w:val="27"/>
        </w:rPr>
        <w:t>infundados</w:t>
      </w:r>
      <w:r w:rsidRPr="00994A7E">
        <w:rPr>
          <w:rFonts w:ascii="Raleway" w:hAnsi="Raleway"/>
          <w:sz w:val="27"/>
          <w:szCs w:val="27"/>
        </w:rPr>
        <w:t xml:space="preserve">, no solo por su falta de sustento en el diseño constitucional del régimen económico, sino también por el </w:t>
      </w:r>
      <w:r w:rsidRPr="00994A7E">
        <w:rPr>
          <w:rFonts w:ascii="Raleway" w:hAnsi="Raleway"/>
          <w:b/>
          <w:bCs/>
          <w:sz w:val="27"/>
          <w:szCs w:val="27"/>
        </w:rPr>
        <w:t>cambio del parámetro de regularidad constitucional</w:t>
      </w:r>
      <w:r w:rsidRPr="00994A7E">
        <w:rPr>
          <w:rFonts w:ascii="Raleway" w:hAnsi="Raleway"/>
          <w:sz w:val="27"/>
          <w:szCs w:val="27"/>
        </w:rPr>
        <w:t xml:space="preserve"> operado por el Poder Revisor.</w:t>
      </w:r>
    </w:p>
    <w:p w14:paraId="4BCA8D98" w14:textId="77777777" w:rsidR="008227F7" w:rsidRPr="00994A7E" w:rsidRDefault="008227F7" w:rsidP="008227F7">
      <w:pPr>
        <w:pStyle w:val="Prrafodelista"/>
        <w:spacing w:before="0" w:after="0" w:line="360" w:lineRule="auto"/>
        <w:rPr>
          <w:rFonts w:ascii="Raleway" w:hAnsi="Raleway"/>
          <w:sz w:val="27"/>
          <w:szCs w:val="27"/>
        </w:rPr>
      </w:pPr>
    </w:p>
    <w:p w14:paraId="34A6DD95"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Por tanto, lo procedente es declarar la </w:t>
      </w:r>
      <w:r w:rsidRPr="00994A7E">
        <w:rPr>
          <w:rFonts w:ascii="Raleway" w:hAnsi="Raleway"/>
          <w:b/>
          <w:bCs/>
          <w:sz w:val="27"/>
          <w:szCs w:val="27"/>
        </w:rPr>
        <w:t>validez de los artículos 1, 5 Bis y 10 de la Ley Minera</w:t>
      </w:r>
      <w:r w:rsidRPr="00994A7E">
        <w:rPr>
          <w:rFonts w:ascii="Raleway" w:hAnsi="Raleway"/>
          <w:sz w:val="27"/>
          <w:szCs w:val="27"/>
        </w:rPr>
        <w:t>, interpretados de manera conjunta como un subsistema normativo que establece: i) la declaración del litio como de utilidad pública; ii) la prohibición de otorgar concesiones, licencias, contratos, permisos o autorizaciones a particulares; y iii) su definición como área estratégica de explotación exclusiva del Estado mexicano.</w:t>
      </w:r>
    </w:p>
    <w:p w14:paraId="008F5D0C" w14:textId="77777777" w:rsidR="008227F7" w:rsidRPr="00994A7E" w:rsidRDefault="008227F7" w:rsidP="008227F7">
      <w:pPr>
        <w:pStyle w:val="Prrafodelista"/>
        <w:spacing w:before="0" w:after="0" w:line="360" w:lineRule="auto"/>
        <w:rPr>
          <w:rFonts w:ascii="Raleway" w:hAnsi="Raleway"/>
          <w:sz w:val="27"/>
          <w:szCs w:val="27"/>
        </w:rPr>
      </w:pPr>
    </w:p>
    <w:p w14:paraId="16F14684" w14:textId="77777777" w:rsidR="008227F7" w:rsidRPr="00994A7E" w:rsidRDefault="008227F7" w:rsidP="00494272">
      <w:pPr>
        <w:pStyle w:val="Prrafo"/>
        <w:numPr>
          <w:ilvl w:val="1"/>
          <w:numId w:val="7"/>
        </w:numPr>
        <w:spacing w:before="0" w:after="0"/>
        <w:rPr>
          <w:rFonts w:ascii="Raleway" w:hAnsi="Raleway"/>
          <w:b/>
          <w:bCs/>
          <w:sz w:val="27"/>
          <w:szCs w:val="27"/>
        </w:rPr>
      </w:pPr>
      <w:r w:rsidRPr="00994A7E">
        <w:rPr>
          <w:rFonts w:ascii="Raleway" w:hAnsi="Raleway"/>
          <w:b/>
          <w:bCs/>
          <w:sz w:val="27"/>
          <w:szCs w:val="27"/>
        </w:rPr>
        <w:t xml:space="preserve">Yacimientos de litio como zonas de reserva minera </w:t>
      </w:r>
    </w:p>
    <w:p w14:paraId="412AEF6D"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Resta analizar la validez de la porción normativa del artículo 5 Bis, primer párrafo, que dispone: </w:t>
      </w:r>
      <w:r w:rsidRPr="00994A7E">
        <w:rPr>
          <w:rFonts w:ascii="Raleway" w:hAnsi="Raleway"/>
          <w:i/>
          <w:iCs/>
          <w:sz w:val="27"/>
          <w:szCs w:val="27"/>
        </w:rPr>
        <w:t>“Serán consideradas zonas de reserva minera aquellas en que haya yacimientos de litio.”</w:t>
      </w:r>
    </w:p>
    <w:p w14:paraId="272FF3CA" w14:textId="77777777" w:rsidR="008227F7" w:rsidRPr="00994A7E" w:rsidRDefault="008227F7" w:rsidP="008227F7">
      <w:pPr>
        <w:pStyle w:val="Prrafo"/>
        <w:spacing w:before="0" w:after="0"/>
        <w:rPr>
          <w:rFonts w:ascii="Raleway" w:hAnsi="Raleway"/>
          <w:sz w:val="27"/>
          <w:szCs w:val="27"/>
        </w:rPr>
      </w:pPr>
    </w:p>
    <w:p w14:paraId="75A85D9A"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La parte accionante sostiene que esta disposición permite la declaratoria de zonas de reserva minera sin cumplir con los requisitos técnicos y procedimentales previstos en la Ley Minera y su Reglamento, lo que —a </w:t>
      </w:r>
      <w:r w:rsidRPr="00994A7E">
        <w:rPr>
          <w:rFonts w:ascii="Raleway" w:hAnsi="Raleway"/>
          <w:sz w:val="27"/>
          <w:szCs w:val="27"/>
        </w:rPr>
        <w:lastRenderedPageBreak/>
        <w:t>su juicio— abre la puerta a actos arbitrarios y carentes de sustento técnico.</w:t>
      </w:r>
    </w:p>
    <w:p w14:paraId="571BD940" w14:textId="77777777" w:rsidR="008227F7" w:rsidRPr="00994A7E" w:rsidRDefault="008227F7" w:rsidP="008227F7">
      <w:pPr>
        <w:pStyle w:val="Prrafodelista"/>
        <w:spacing w:before="0" w:after="0" w:line="360" w:lineRule="auto"/>
        <w:rPr>
          <w:rFonts w:ascii="Raleway" w:hAnsi="Raleway"/>
          <w:sz w:val="27"/>
          <w:szCs w:val="27"/>
        </w:rPr>
      </w:pPr>
    </w:p>
    <w:p w14:paraId="626A5346"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Este Alto Tribunal considera </w:t>
      </w:r>
      <w:r w:rsidRPr="00994A7E">
        <w:rPr>
          <w:rFonts w:ascii="Raleway" w:hAnsi="Raleway"/>
          <w:b/>
          <w:bCs/>
          <w:sz w:val="27"/>
          <w:szCs w:val="27"/>
        </w:rPr>
        <w:t>infundado</w:t>
      </w:r>
      <w:r w:rsidRPr="00994A7E">
        <w:rPr>
          <w:rFonts w:ascii="Raleway" w:hAnsi="Raleway"/>
          <w:sz w:val="27"/>
          <w:szCs w:val="27"/>
        </w:rPr>
        <w:t xml:space="preserve"> dicho planteamiento, pues la porción normativa impugnada </w:t>
      </w:r>
      <w:r w:rsidRPr="00994A7E">
        <w:rPr>
          <w:rFonts w:ascii="Raleway" w:hAnsi="Raleway"/>
          <w:b/>
          <w:bCs/>
          <w:sz w:val="27"/>
          <w:szCs w:val="27"/>
        </w:rPr>
        <w:t>no puede interpretarse de manera aislada</w:t>
      </w:r>
      <w:r w:rsidRPr="00994A7E">
        <w:rPr>
          <w:rFonts w:ascii="Raleway" w:hAnsi="Raleway"/>
          <w:sz w:val="27"/>
          <w:szCs w:val="27"/>
        </w:rPr>
        <w:t>, sino en relación sistemática con el resto de la Ley Minera, particularmente con los artículos 13 y 16, que regulan de forma detallada el procedimiento para la declaratoria de zonas de reserva minera.</w:t>
      </w:r>
    </w:p>
    <w:p w14:paraId="24099B45" w14:textId="77777777" w:rsidR="008227F7" w:rsidRPr="00994A7E" w:rsidRDefault="008227F7" w:rsidP="008227F7">
      <w:pPr>
        <w:pStyle w:val="Prrafodelista"/>
        <w:spacing w:before="0" w:after="0" w:line="360" w:lineRule="auto"/>
        <w:rPr>
          <w:rFonts w:ascii="Raleway" w:hAnsi="Raleway"/>
          <w:sz w:val="27"/>
          <w:szCs w:val="27"/>
        </w:rPr>
      </w:pPr>
    </w:p>
    <w:p w14:paraId="1F965CB1"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El artículo 13 exige, entre otros elementos, la justificación del potencial minero mediante trabajos de exploración a semidetalle, así como la acreditación de una causa de utilidad pública o su inclusión en áreas estratégicas. Por su parte, el artículo 16 establece la intervención obligatoria del Servicio Geológico Mexicano, que debe rendir un informe técnico previo a cualquier declaratoria.</w:t>
      </w:r>
    </w:p>
    <w:p w14:paraId="666EB5BC" w14:textId="77777777" w:rsidR="008227F7" w:rsidRPr="00994A7E" w:rsidRDefault="008227F7" w:rsidP="008227F7">
      <w:pPr>
        <w:pStyle w:val="Prrafodelista"/>
        <w:spacing w:before="0" w:after="0" w:line="360" w:lineRule="auto"/>
        <w:rPr>
          <w:rFonts w:ascii="Raleway" w:hAnsi="Raleway"/>
          <w:sz w:val="27"/>
          <w:szCs w:val="27"/>
        </w:rPr>
      </w:pPr>
    </w:p>
    <w:p w14:paraId="403ED96B"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En este marco normativo, la previsión contenida en el artículo 5 Bis no opera de manera automática ni exime a la autoridad del cumplimiento de los requisitos legales. Su función es identificar normativamente al litio como supuesto material susceptible de ser reservado, sin eliminar ni flexibilizar el procedimiento legalmente establecido.</w:t>
      </w:r>
    </w:p>
    <w:p w14:paraId="4627BBD5" w14:textId="77777777" w:rsidR="008227F7" w:rsidRPr="00994A7E" w:rsidRDefault="008227F7" w:rsidP="008227F7">
      <w:pPr>
        <w:pStyle w:val="Prrafodelista"/>
        <w:spacing w:before="0" w:after="0" w:line="360" w:lineRule="auto"/>
        <w:rPr>
          <w:rFonts w:ascii="Raleway" w:hAnsi="Raleway"/>
          <w:sz w:val="27"/>
          <w:szCs w:val="27"/>
        </w:rPr>
      </w:pPr>
    </w:p>
    <w:p w14:paraId="7D5DABAC"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Por tanto, no se actualiza vulneración alguna a los principios de legalidad ni de seguridad jurídica, pues la determinación de zonas de reserva minera </w:t>
      </w:r>
      <w:r w:rsidRPr="00994A7E">
        <w:rPr>
          <w:rFonts w:ascii="Raleway" w:hAnsi="Raleway"/>
          <w:b/>
          <w:bCs/>
          <w:sz w:val="27"/>
          <w:szCs w:val="27"/>
        </w:rPr>
        <w:t>continúa sujeta a un procedimiento reglado</w:t>
      </w:r>
      <w:r w:rsidRPr="00994A7E">
        <w:rPr>
          <w:rFonts w:ascii="Raleway" w:hAnsi="Raleway"/>
          <w:sz w:val="27"/>
          <w:szCs w:val="27"/>
        </w:rPr>
        <w:t>, técnico y verificable.</w:t>
      </w:r>
    </w:p>
    <w:p w14:paraId="0D8FE8C3" w14:textId="77777777" w:rsidR="008227F7" w:rsidRPr="00994A7E" w:rsidRDefault="008227F7" w:rsidP="008227F7">
      <w:pPr>
        <w:pStyle w:val="Prrafodelista"/>
        <w:spacing w:before="0" w:after="0" w:line="360" w:lineRule="auto"/>
        <w:rPr>
          <w:rFonts w:ascii="Raleway" w:hAnsi="Raleway"/>
          <w:sz w:val="27"/>
          <w:szCs w:val="27"/>
        </w:rPr>
      </w:pPr>
    </w:p>
    <w:p w14:paraId="64E13D4E" w14:textId="77777777" w:rsidR="008227F7" w:rsidRPr="00994A7E"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 xml:space="preserve">En consecuencia, se declara la </w:t>
      </w:r>
      <w:r w:rsidRPr="00994A7E">
        <w:rPr>
          <w:rFonts w:ascii="Raleway" w:hAnsi="Raleway"/>
          <w:b/>
          <w:bCs/>
          <w:sz w:val="27"/>
          <w:szCs w:val="27"/>
        </w:rPr>
        <w:t>validez del artículo 5 Bis de la Ley de Minería</w:t>
      </w:r>
      <w:r w:rsidRPr="00994A7E">
        <w:rPr>
          <w:rFonts w:ascii="Raleway" w:hAnsi="Raleway"/>
          <w:sz w:val="27"/>
          <w:szCs w:val="27"/>
        </w:rPr>
        <w:t xml:space="preserve">, en su porción normativa: </w:t>
      </w:r>
      <w:r w:rsidRPr="00994A7E">
        <w:rPr>
          <w:rFonts w:ascii="Raleway" w:hAnsi="Raleway"/>
          <w:i/>
          <w:iCs/>
          <w:sz w:val="27"/>
          <w:szCs w:val="27"/>
        </w:rPr>
        <w:t>“Serán consideradas zonas de reserva minera aquellas en que haya yacimientos de litio.”</w:t>
      </w:r>
    </w:p>
    <w:p w14:paraId="2FF9C994" w14:textId="77777777" w:rsidR="008227F7" w:rsidRPr="00994A7E" w:rsidRDefault="008227F7" w:rsidP="008227F7">
      <w:pPr>
        <w:pStyle w:val="Prrafodelista"/>
        <w:spacing w:before="0" w:after="0" w:line="360" w:lineRule="auto"/>
        <w:rPr>
          <w:rFonts w:ascii="Raleway" w:hAnsi="Raleway"/>
          <w:sz w:val="27"/>
          <w:szCs w:val="27"/>
        </w:rPr>
      </w:pPr>
    </w:p>
    <w:p w14:paraId="1CB7105B" w14:textId="77777777" w:rsidR="008227F7" w:rsidRPr="00994A7E" w:rsidRDefault="008227F7" w:rsidP="00494272">
      <w:pPr>
        <w:pStyle w:val="Ttulo3"/>
        <w:numPr>
          <w:ilvl w:val="0"/>
          <w:numId w:val="5"/>
        </w:numPr>
        <w:spacing w:before="0" w:after="0"/>
        <w:ind w:left="0" w:firstLine="0"/>
        <w:rPr>
          <w:rFonts w:ascii="Raleway" w:hAnsi="Raleway"/>
          <w:b w:val="0"/>
          <w:bCs/>
          <w:sz w:val="27"/>
          <w:szCs w:val="27"/>
        </w:rPr>
      </w:pPr>
      <w:r w:rsidRPr="00994A7E">
        <w:rPr>
          <w:rFonts w:ascii="Raleway" w:hAnsi="Raleway"/>
          <w:bCs/>
          <w:sz w:val="27"/>
          <w:szCs w:val="27"/>
        </w:rPr>
        <w:lastRenderedPageBreak/>
        <w:t xml:space="preserve"> DECISIÓN</w:t>
      </w:r>
    </w:p>
    <w:p w14:paraId="35FB2184" w14:textId="77777777" w:rsidR="008227F7" w:rsidRPr="00994A7E" w:rsidRDefault="008227F7" w:rsidP="008227F7">
      <w:pPr>
        <w:spacing w:before="0" w:after="0" w:line="360" w:lineRule="auto"/>
        <w:rPr>
          <w:rFonts w:ascii="Raleway" w:hAnsi="Raleway"/>
          <w:sz w:val="27"/>
          <w:szCs w:val="27"/>
        </w:rPr>
      </w:pPr>
    </w:p>
    <w:p w14:paraId="7E41901A" w14:textId="77777777" w:rsidR="008227F7" w:rsidRDefault="008227F7" w:rsidP="00494272">
      <w:pPr>
        <w:pStyle w:val="Prrafo"/>
        <w:numPr>
          <w:ilvl w:val="0"/>
          <w:numId w:val="3"/>
        </w:numPr>
        <w:spacing w:before="0" w:after="0"/>
        <w:ind w:left="0" w:hanging="567"/>
        <w:rPr>
          <w:rFonts w:ascii="Raleway" w:hAnsi="Raleway"/>
          <w:sz w:val="27"/>
          <w:szCs w:val="27"/>
        </w:rPr>
      </w:pPr>
      <w:r w:rsidRPr="00994A7E">
        <w:rPr>
          <w:rFonts w:ascii="Raleway" w:hAnsi="Raleway"/>
          <w:sz w:val="27"/>
          <w:szCs w:val="27"/>
        </w:rPr>
        <w:t>Por lo antes expuesto, el Tribunal Pleno de la Suprema Corte de Justicia de la Nación resuelve:</w:t>
      </w:r>
    </w:p>
    <w:p w14:paraId="10709223" w14:textId="77777777" w:rsidR="00E86099" w:rsidRPr="00994A7E" w:rsidRDefault="00E86099" w:rsidP="00E86099">
      <w:pPr>
        <w:pStyle w:val="Prrafo"/>
        <w:spacing w:before="0" w:after="0"/>
        <w:rPr>
          <w:rFonts w:ascii="Raleway" w:hAnsi="Raleway"/>
          <w:sz w:val="27"/>
          <w:szCs w:val="27"/>
        </w:rPr>
      </w:pPr>
    </w:p>
    <w:p w14:paraId="34423CC4" w14:textId="77777777" w:rsidR="008227F7" w:rsidRPr="00994A7E" w:rsidRDefault="008227F7" w:rsidP="008227F7">
      <w:pPr>
        <w:pStyle w:val="Prrafo"/>
        <w:spacing w:before="0" w:after="0"/>
        <w:rPr>
          <w:rFonts w:ascii="Raleway" w:hAnsi="Raleway"/>
          <w:sz w:val="27"/>
          <w:szCs w:val="27"/>
        </w:rPr>
      </w:pPr>
      <w:r w:rsidRPr="00994A7E">
        <w:rPr>
          <w:rFonts w:ascii="Raleway" w:hAnsi="Raleway"/>
          <w:b/>
          <w:sz w:val="27"/>
          <w:szCs w:val="27"/>
        </w:rPr>
        <w:t>PRIMERO.</w:t>
      </w:r>
      <w:r w:rsidRPr="00994A7E">
        <w:rPr>
          <w:rFonts w:ascii="Raleway" w:hAnsi="Raleway"/>
          <w:sz w:val="27"/>
          <w:szCs w:val="27"/>
        </w:rPr>
        <w:t xml:space="preserve"> Es </w:t>
      </w:r>
      <w:r w:rsidRPr="00994A7E">
        <w:rPr>
          <w:rFonts w:ascii="Raleway" w:hAnsi="Raleway"/>
          <w:b/>
          <w:bCs/>
          <w:sz w:val="27"/>
          <w:szCs w:val="27"/>
        </w:rPr>
        <w:t>parcialmente procedente, pero infundada</w:t>
      </w:r>
      <w:r w:rsidRPr="00994A7E">
        <w:rPr>
          <w:rFonts w:ascii="Raleway" w:hAnsi="Raleway"/>
          <w:sz w:val="27"/>
          <w:szCs w:val="27"/>
        </w:rPr>
        <w:t xml:space="preserve"> la presente acción de inconstitucionalidad. </w:t>
      </w:r>
    </w:p>
    <w:p w14:paraId="6C2206D7" w14:textId="77777777" w:rsidR="008227F7" w:rsidRPr="00994A7E" w:rsidRDefault="008227F7" w:rsidP="008227F7">
      <w:pPr>
        <w:pStyle w:val="Prrafo"/>
        <w:spacing w:before="0" w:after="0"/>
        <w:rPr>
          <w:rFonts w:ascii="Raleway" w:hAnsi="Raleway"/>
          <w:sz w:val="27"/>
          <w:szCs w:val="27"/>
        </w:rPr>
      </w:pPr>
    </w:p>
    <w:p w14:paraId="706D4590" w14:textId="77777777" w:rsidR="008227F7" w:rsidRPr="00994A7E" w:rsidRDefault="008227F7" w:rsidP="008227F7">
      <w:pPr>
        <w:pStyle w:val="Prrafo"/>
        <w:spacing w:before="0" w:after="0"/>
        <w:rPr>
          <w:rFonts w:ascii="Raleway" w:hAnsi="Raleway"/>
          <w:sz w:val="27"/>
          <w:szCs w:val="27"/>
        </w:rPr>
      </w:pPr>
      <w:r w:rsidRPr="00994A7E">
        <w:rPr>
          <w:rFonts w:ascii="Raleway" w:hAnsi="Raleway"/>
          <w:b/>
          <w:sz w:val="27"/>
          <w:szCs w:val="27"/>
        </w:rPr>
        <w:t>SEGUNDO.</w:t>
      </w:r>
      <w:r w:rsidRPr="00994A7E">
        <w:rPr>
          <w:rFonts w:ascii="Raleway" w:hAnsi="Raleway"/>
          <w:sz w:val="27"/>
          <w:szCs w:val="27"/>
        </w:rPr>
        <w:t xml:space="preserve"> Se </w:t>
      </w:r>
      <w:r w:rsidRPr="00994A7E">
        <w:rPr>
          <w:rFonts w:ascii="Raleway" w:hAnsi="Raleway"/>
          <w:b/>
          <w:bCs/>
          <w:sz w:val="27"/>
          <w:szCs w:val="27"/>
        </w:rPr>
        <w:t xml:space="preserve">sobresee </w:t>
      </w:r>
      <w:r w:rsidRPr="00994A7E">
        <w:rPr>
          <w:rFonts w:ascii="Raleway" w:hAnsi="Raleway"/>
          <w:sz w:val="27"/>
          <w:szCs w:val="27"/>
        </w:rPr>
        <w:t xml:space="preserve">en la acción de inconstitucionalidad en los términos del apartado sexto de esta resolución. </w:t>
      </w:r>
    </w:p>
    <w:p w14:paraId="2B128F0A" w14:textId="77777777" w:rsidR="008227F7" w:rsidRPr="00994A7E" w:rsidRDefault="008227F7" w:rsidP="008227F7">
      <w:pPr>
        <w:pStyle w:val="Prrafo"/>
        <w:spacing w:before="0" w:after="0"/>
        <w:rPr>
          <w:rFonts w:ascii="Raleway" w:hAnsi="Raleway"/>
          <w:sz w:val="27"/>
          <w:szCs w:val="27"/>
        </w:rPr>
      </w:pPr>
    </w:p>
    <w:p w14:paraId="02063180" w14:textId="77777777" w:rsidR="008227F7" w:rsidRPr="00994A7E" w:rsidRDefault="008227F7" w:rsidP="008227F7">
      <w:pPr>
        <w:pStyle w:val="Prrafo"/>
        <w:spacing w:before="0" w:after="0"/>
        <w:rPr>
          <w:rFonts w:ascii="Raleway" w:hAnsi="Raleway"/>
          <w:sz w:val="27"/>
          <w:szCs w:val="27"/>
        </w:rPr>
      </w:pPr>
      <w:r w:rsidRPr="00994A7E">
        <w:rPr>
          <w:rFonts w:ascii="Raleway" w:hAnsi="Raleway"/>
          <w:b/>
          <w:bCs/>
          <w:sz w:val="27"/>
          <w:szCs w:val="27"/>
        </w:rPr>
        <w:t>TERCERO.</w:t>
      </w:r>
      <w:r w:rsidRPr="00994A7E">
        <w:rPr>
          <w:rFonts w:ascii="Raleway" w:hAnsi="Raleway"/>
          <w:sz w:val="27"/>
          <w:szCs w:val="27"/>
        </w:rPr>
        <w:t xml:space="preserve"> Se </w:t>
      </w:r>
      <w:r w:rsidRPr="00994A7E">
        <w:rPr>
          <w:rFonts w:ascii="Raleway" w:hAnsi="Raleway"/>
          <w:b/>
          <w:bCs/>
          <w:sz w:val="27"/>
          <w:szCs w:val="27"/>
        </w:rPr>
        <w:t>reconoce la validez</w:t>
      </w:r>
      <w:r w:rsidRPr="00994A7E">
        <w:rPr>
          <w:rFonts w:ascii="Raleway" w:hAnsi="Raleway"/>
          <w:sz w:val="27"/>
          <w:szCs w:val="27"/>
        </w:rPr>
        <w:t xml:space="preserve"> de los artículos 1, 5 Bis y 10 del Decreto publicado en el Diario Oficial de la Federación el veinte de abril del dos mil veintidós, mediante el cual se reforman y adicionan diversas disposiciones de la Ley Minera, en las porciones normativas: “</w:t>
      </w:r>
      <w:r w:rsidRPr="00994A7E">
        <w:rPr>
          <w:rFonts w:ascii="Raleway" w:hAnsi="Raleway"/>
          <w:i/>
          <w:iCs/>
          <w:sz w:val="27"/>
          <w:szCs w:val="27"/>
        </w:rPr>
        <w:t>salvo lo relativo a la exploración, la explotación, beneficio y el aprovechamiento del litio</w:t>
      </w:r>
      <w:r w:rsidRPr="00994A7E">
        <w:rPr>
          <w:rFonts w:ascii="Raleway" w:hAnsi="Raleway"/>
          <w:sz w:val="27"/>
          <w:szCs w:val="27"/>
        </w:rPr>
        <w:t>”, “</w:t>
      </w:r>
      <w:r w:rsidRPr="00994A7E">
        <w:rPr>
          <w:rFonts w:ascii="Raleway" w:hAnsi="Raleway"/>
          <w:i/>
          <w:iCs/>
          <w:sz w:val="27"/>
          <w:szCs w:val="27"/>
        </w:rPr>
        <w:t>Se declara de utilidad pública el litio, por lo que no se otorgarán concesiones, licencias, contratos, permisos o autorizaciones en la materia</w:t>
      </w:r>
      <w:r w:rsidRPr="00994A7E">
        <w:rPr>
          <w:rFonts w:ascii="Raleway" w:hAnsi="Raleway"/>
          <w:sz w:val="27"/>
          <w:szCs w:val="27"/>
        </w:rPr>
        <w:t>”, “</w:t>
      </w:r>
      <w:r w:rsidRPr="00994A7E">
        <w:rPr>
          <w:rFonts w:ascii="Raleway" w:hAnsi="Raleway"/>
          <w:i/>
          <w:iCs/>
          <w:sz w:val="27"/>
          <w:szCs w:val="27"/>
        </w:rPr>
        <w:t>Con excepción del litio y demás minerales declarados como estratégicos por el Estado</w:t>
      </w:r>
      <w:r w:rsidRPr="00994A7E">
        <w:rPr>
          <w:rFonts w:ascii="Raleway" w:hAnsi="Raleway"/>
          <w:sz w:val="27"/>
          <w:szCs w:val="27"/>
        </w:rPr>
        <w:t>” y “</w:t>
      </w:r>
      <w:r w:rsidRPr="00994A7E">
        <w:rPr>
          <w:rFonts w:ascii="Raleway" w:hAnsi="Raleway"/>
          <w:i/>
          <w:iCs/>
          <w:sz w:val="27"/>
          <w:szCs w:val="27"/>
        </w:rPr>
        <w:t>Serán consideradas zonas de reserva minera aquellas en que haya yacimientos de litio</w:t>
      </w:r>
      <w:r w:rsidRPr="00994A7E">
        <w:rPr>
          <w:rFonts w:ascii="Raleway" w:hAnsi="Raleway"/>
          <w:sz w:val="27"/>
          <w:szCs w:val="27"/>
        </w:rPr>
        <w:t>”.</w:t>
      </w:r>
      <w:bookmarkStart w:id="9" w:name="_Hlk64367249"/>
    </w:p>
    <w:p w14:paraId="42A5BE30" w14:textId="77777777" w:rsidR="008227F7" w:rsidRPr="00994A7E" w:rsidRDefault="008227F7" w:rsidP="008227F7">
      <w:pPr>
        <w:pStyle w:val="Prrafo"/>
        <w:spacing w:before="0" w:after="0"/>
        <w:rPr>
          <w:rFonts w:ascii="Raleway" w:hAnsi="Raleway"/>
          <w:sz w:val="27"/>
          <w:szCs w:val="27"/>
        </w:rPr>
      </w:pPr>
    </w:p>
    <w:bookmarkEnd w:id="9"/>
    <w:p w14:paraId="6B7E043D" w14:textId="77777777" w:rsidR="008227F7" w:rsidRPr="00994A7E" w:rsidRDefault="008227F7" w:rsidP="008227F7">
      <w:pPr>
        <w:pStyle w:val="Prrafo"/>
        <w:spacing w:before="0" w:after="0"/>
        <w:rPr>
          <w:rFonts w:ascii="Raleway" w:hAnsi="Raleway"/>
          <w:sz w:val="27"/>
          <w:szCs w:val="27"/>
          <w:lang w:val="es-ES_tradnl"/>
        </w:rPr>
      </w:pPr>
      <w:r w:rsidRPr="00994A7E">
        <w:rPr>
          <w:rFonts w:ascii="Raleway" w:hAnsi="Raleway"/>
          <w:b/>
          <w:sz w:val="27"/>
          <w:szCs w:val="27"/>
          <w:lang w:val="es-ES_tradnl"/>
        </w:rPr>
        <w:t>CUARTO.</w:t>
      </w:r>
      <w:bookmarkStart w:id="10" w:name="_Hlk64367261"/>
      <w:r w:rsidRPr="00994A7E">
        <w:rPr>
          <w:rFonts w:ascii="Raleway" w:hAnsi="Raleway"/>
          <w:sz w:val="27"/>
          <w:szCs w:val="27"/>
          <w:lang w:val="es-ES_tradnl"/>
        </w:rPr>
        <w:t xml:space="preserve"> Publíquese esta sentencia en el Diario Oficial de la Federación</w:t>
      </w:r>
      <w:bookmarkEnd w:id="10"/>
      <w:r w:rsidRPr="00994A7E">
        <w:rPr>
          <w:rFonts w:ascii="Raleway" w:hAnsi="Raleway"/>
          <w:sz w:val="27"/>
          <w:szCs w:val="27"/>
          <w:lang w:val="es-ES_tradnl"/>
        </w:rPr>
        <w:t xml:space="preserve"> y en el Semanario Judicial de la Federación y su Gaceta.</w:t>
      </w:r>
    </w:p>
    <w:p w14:paraId="5C758FF8" w14:textId="77777777" w:rsidR="008227F7" w:rsidRPr="00994A7E" w:rsidRDefault="008227F7" w:rsidP="008227F7">
      <w:pPr>
        <w:pStyle w:val="Prrafo"/>
        <w:spacing w:before="0" w:after="0"/>
        <w:rPr>
          <w:rFonts w:ascii="Raleway" w:hAnsi="Raleway"/>
          <w:sz w:val="27"/>
          <w:szCs w:val="27"/>
        </w:rPr>
      </w:pPr>
    </w:p>
    <w:p w14:paraId="25210805" w14:textId="3725ED45" w:rsidR="008227F7" w:rsidRPr="00994A7E" w:rsidRDefault="008227F7" w:rsidP="003D1E6F">
      <w:pPr>
        <w:pStyle w:val="corte4fondo"/>
        <w:widowControl w:val="0"/>
        <w:tabs>
          <w:tab w:val="left" w:pos="567"/>
          <w:tab w:val="left" w:pos="1276"/>
        </w:tabs>
        <w:ind w:left="3" w:firstLine="0"/>
        <w:rPr>
          <w:rFonts w:ascii="Raleway" w:hAnsi="Raleway"/>
          <w:sz w:val="27"/>
          <w:szCs w:val="27"/>
        </w:rPr>
      </w:pPr>
      <w:r w:rsidRPr="00994A7E">
        <w:rPr>
          <w:rFonts w:ascii="Raleway" w:hAnsi="Raleway"/>
          <w:b/>
          <w:bCs/>
          <w:sz w:val="27"/>
          <w:szCs w:val="27"/>
        </w:rPr>
        <w:t>Notifíquese;</w:t>
      </w:r>
      <w:r w:rsidRPr="00994A7E">
        <w:rPr>
          <w:rFonts w:ascii="Raleway" w:hAnsi="Raleway"/>
          <w:sz w:val="27"/>
          <w:szCs w:val="27"/>
        </w:rPr>
        <w:t xml:space="preserve"> mediante oficio a las partes y, en su oportunidad devuélvase el expediente a la Sección de Trámite de Controversias Constitucionales y de Acciones de Inconstitucionalidad para los efectos legales a que haya luga</w:t>
      </w:r>
      <w:r w:rsidRPr="001C0480">
        <w:rPr>
          <w:rFonts w:ascii="Raleway" w:hAnsi="Raleway"/>
          <w:sz w:val="27"/>
          <w:szCs w:val="27"/>
        </w:rPr>
        <w:t>r</w:t>
      </w:r>
      <w:r w:rsidR="001C0480" w:rsidRPr="001C0480">
        <w:rPr>
          <w:rFonts w:ascii="Raleway" w:hAnsi="Raleway"/>
          <w:sz w:val="27"/>
          <w:szCs w:val="27"/>
        </w:rPr>
        <w:t xml:space="preserve"> </w:t>
      </w:r>
      <w:r w:rsidR="001C0480" w:rsidRPr="001C0480">
        <w:rPr>
          <w:rFonts w:ascii="Raleway" w:hAnsi="Raleway"/>
          <w:sz w:val="27"/>
          <w:szCs w:val="27"/>
          <w:lang w:val="es-MX"/>
        </w:rPr>
        <w:t>y, en su oportunidad, archívese el expediente como asunto concluido</w:t>
      </w:r>
      <w:r w:rsidRPr="00994A7E">
        <w:rPr>
          <w:rFonts w:ascii="Raleway" w:hAnsi="Raleway"/>
          <w:sz w:val="27"/>
          <w:szCs w:val="27"/>
        </w:rPr>
        <w:t>.</w:t>
      </w:r>
    </w:p>
    <w:p w14:paraId="7F3D6302" w14:textId="77777777" w:rsidR="008227F7" w:rsidRPr="00994A7E" w:rsidRDefault="008227F7" w:rsidP="008227F7">
      <w:pPr>
        <w:tabs>
          <w:tab w:val="left" w:pos="709"/>
        </w:tabs>
        <w:spacing w:before="0" w:after="0" w:line="360" w:lineRule="auto"/>
        <w:rPr>
          <w:rFonts w:ascii="Raleway" w:hAnsi="Raleway"/>
          <w:sz w:val="27"/>
          <w:szCs w:val="27"/>
          <w:lang w:val="es-ES"/>
        </w:rPr>
      </w:pPr>
    </w:p>
    <w:p w14:paraId="023C8CC1" w14:textId="77777777" w:rsidR="00C411FB" w:rsidRPr="00C411FB" w:rsidRDefault="00C411FB" w:rsidP="00C411FB">
      <w:pPr>
        <w:tabs>
          <w:tab w:val="left" w:pos="709"/>
        </w:tabs>
        <w:spacing w:before="0" w:after="0" w:line="360" w:lineRule="auto"/>
        <w:rPr>
          <w:rFonts w:ascii="Raleway" w:hAnsi="Raleway"/>
          <w:sz w:val="27"/>
          <w:szCs w:val="27"/>
          <w:lang w:val="es-ES"/>
        </w:rPr>
      </w:pPr>
      <w:r w:rsidRPr="00C411FB">
        <w:rPr>
          <w:rFonts w:ascii="Raleway" w:hAnsi="Raleway"/>
          <w:sz w:val="27"/>
          <w:szCs w:val="27"/>
          <w:lang w:val="es-ES"/>
        </w:rPr>
        <w:lastRenderedPageBreak/>
        <w:t>Así lo resolvió el Pleno de la Suprema Corte de Justicia de la Nación:</w:t>
      </w:r>
    </w:p>
    <w:p w14:paraId="67F075AB" w14:textId="77777777" w:rsidR="00C411FB" w:rsidRPr="00C411FB" w:rsidRDefault="00C411FB" w:rsidP="00C411FB">
      <w:pPr>
        <w:tabs>
          <w:tab w:val="left" w:pos="709"/>
        </w:tabs>
        <w:spacing w:before="0" w:after="0" w:line="360" w:lineRule="auto"/>
        <w:rPr>
          <w:rFonts w:ascii="Raleway" w:hAnsi="Raleway"/>
          <w:sz w:val="27"/>
          <w:szCs w:val="27"/>
          <w:lang w:val="es-ES"/>
        </w:rPr>
      </w:pPr>
    </w:p>
    <w:p w14:paraId="0EDF0BC0" w14:textId="06283449" w:rsidR="00C411FB" w:rsidRPr="006E71FD" w:rsidRDefault="00C411FB" w:rsidP="00C411FB">
      <w:pPr>
        <w:tabs>
          <w:tab w:val="left" w:pos="709"/>
        </w:tabs>
        <w:spacing w:before="0" w:after="0" w:line="360" w:lineRule="auto"/>
        <w:rPr>
          <w:rFonts w:ascii="Raleway" w:hAnsi="Raleway"/>
          <w:sz w:val="27"/>
          <w:szCs w:val="27"/>
          <w:lang w:val="es-ES"/>
        </w:rPr>
      </w:pPr>
      <w:r w:rsidRPr="006E71FD">
        <w:rPr>
          <w:rFonts w:ascii="Raleway" w:hAnsi="Raleway"/>
          <w:sz w:val="27"/>
          <w:szCs w:val="27"/>
          <w:lang w:val="es-ES"/>
        </w:rPr>
        <w:t xml:space="preserve">Se aprobó por </w:t>
      </w:r>
      <w:r w:rsidR="006E71FD" w:rsidRPr="006E71FD">
        <w:rPr>
          <w:rFonts w:ascii="Raleway" w:eastAsia="Times New Roman" w:hAnsi="Raleway"/>
          <w:sz w:val="27"/>
          <w:szCs w:val="27"/>
          <w:lang w:eastAsia="es-MX"/>
        </w:rPr>
        <w:t>mayoría de siete votos de las personas Ministras Herrerías Guerra; Espinosa Betanzo; Esquivel Mossa apartándose de las consideraciones, por razones distintas en cuanto al precepto transitorio tercero y por el sobreseimiento de todo el texto de los artículos 1, 9, 10, párrafo primero, y transitorio tercero; Batres Guadarrama; Ortiz Ahlf; Figueroa Mejía separándose del párrafo 38; y Guerrero García; en cuanto a sobreseer respecto de los artículos 1, en su porción normativa “que quedará a cargo del organismo público descentralizado a que se refiere el artículo 10 de esta Ley”, 9, párrafo primero, y 10, párrafo tercero, en su porción normativa “y se llevarán a cabo por el organismo público descentralizado que determine el Ejecutivo Federal en términos de las disposiciones aplicables”, de la Ley Minera y transitorio tercero, párrafo segundo, del decreto reclamado. Las personas Ministras Ríos González y Presidente Aguilar Ortiz votaron por el sobreseimiento total del asunto. La señora Ministra Esquivel Mossa anunció voto concurrente.</w:t>
      </w:r>
    </w:p>
    <w:p w14:paraId="1DD27B13" w14:textId="77777777" w:rsidR="00C411FB" w:rsidRPr="00C411FB" w:rsidRDefault="00C411FB" w:rsidP="00C411FB">
      <w:pPr>
        <w:tabs>
          <w:tab w:val="left" w:pos="709"/>
        </w:tabs>
        <w:spacing w:before="0" w:after="0" w:line="360" w:lineRule="auto"/>
        <w:rPr>
          <w:rFonts w:ascii="Raleway" w:hAnsi="Raleway"/>
          <w:sz w:val="27"/>
          <w:szCs w:val="27"/>
          <w:lang w:val="es-ES"/>
        </w:rPr>
      </w:pPr>
    </w:p>
    <w:p w14:paraId="710C3098" w14:textId="15CFF0B5" w:rsidR="008227F7" w:rsidRDefault="00C411FB" w:rsidP="00C411FB">
      <w:pPr>
        <w:tabs>
          <w:tab w:val="left" w:pos="709"/>
        </w:tabs>
        <w:spacing w:before="0" w:after="0" w:line="360" w:lineRule="auto"/>
        <w:rPr>
          <w:rFonts w:ascii="Raleway" w:hAnsi="Raleway"/>
          <w:sz w:val="27"/>
          <w:szCs w:val="27"/>
          <w:lang w:val="es-ES"/>
        </w:rPr>
      </w:pPr>
      <w:r w:rsidRPr="00C411FB">
        <w:rPr>
          <w:rFonts w:ascii="Raleway" w:hAnsi="Raleway"/>
          <w:sz w:val="27"/>
          <w:szCs w:val="27"/>
          <w:lang w:val="es-ES"/>
        </w:rPr>
        <w:t xml:space="preserve">Se aprobó por </w:t>
      </w:r>
      <w:r w:rsidR="006E71FD" w:rsidRPr="006E71FD">
        <w:rPr>
          <w:rFonts w:ascii="Raleway" w:hAnsi="Raleway"/>
          <w:sz w:val="27"/>
          <w:szCs w:val="27"/>
          <w:lang w:val="es-ES"/>
        </w:rPr>
        <w:t xml:space="preserve">unanimidad de nueve votos de las personas Ministras Herrerías Guerra; Espinosa Betanzo; Ríos González obligada por la mayoría; Esquivel Mossa únicamente por estudiar  los artículos 5 Bis y 10, párrafo tercero, y apartándose de todas las consideraciones; Batres Guadarrama con consideraciones adicionales; Ortiz Ahlf; Figueroa Mejía separándose del párrafo 98 y del reconocimiento de validez de la porción normativa “Serán consideradas zonas de reserva minera aquéllas en que haya yacimientos de litio” del párrafo primero del artículo 5 Bis; Guerrero García; y Presidente Aguilar Ortiz obligado por la mayoría; respecto de declarar infundado el concepto de invalidez en torno a la falta de consulta previa a pueblos y comunidades indígenas y de reconocer la validez de los artículos 1, en su porción normativa “salvo lo relativo a la exploración, </w:t>
      </w:r>
      <w:r w:rsidR="006E71FD" w:rsidRPr="006E71FD">
        <w:rPr>
          <w:rFonts w:ascii="Raleway" w:hAnsi="Raleway"/>
          <w:sz w:val="27"/>
          <w:szCs w:val="27"/>
          <w:lang w:val="es-ES"/>
        </w:rPr>
        <w:lastRenderedPageBreak/>
        <w:t>la explotación, beneficio y el aprovechamiento del litio”, 5 Bis, párrafo primero, y 10, párrafo primero, en su porción normativa “Con excepción del litio y demás minerales declarados como estratégicos por el Estado”, de la Ley Minera. Las personas Ministras Espinosa Betanzo, Esquivel Mossa y Ríos González anunciaron sendos votos concurrentes. El señor Ministro Figueroa Mejía reservó su derecho de formular voto concurrente</w:t>
      </w:r>
      <w:r w:rsidR="0041625F">
        <w:rPr>
          <w:rStyle w:val="Refdenotaalpie"/>
          <w:rFonts w:ascii="Raleway" w:hAnsi="Raleway"/>
          <w:sz w:val="27"/>
          <w:szCs w:val="27"/>
          <w:lang w:val="es-ES"/>
        </w:rPr>
        <w:footnoteReference w:id="25"/>
      </w:r>
      <w:r w:rsidR="006E71FD" w:rsidRPr="006E71FD">
        <w:rPr>
          <w:rFonts w:ascii="Raleway" w:hAnsi="Raleway"/>
          <w:sz w:val="27"/>
          <w:szCs w:val="27"/>
          <w:lang w:val="es-ES"/>
        </w:rPr>
        <w:t>.</w:t>
      </w:r>
    </w:p>
    <w:p w14:paraId="742C1A72" w14:textId="77777777" w:rsidR="006E71FD" w:rsidRPr="00994A7E" w:rsidRDefault="006E71FD" w:rsidP="00C411FB">
      <w:pPr>
        <w:tabs>
          <w:tab w:val="left" w:pos="709"/>
        </w:tabs>
        <w:spacing w:before="0" w:after="0" w:line="360" w:lineRule="auto"/>
        <w:rPr>
          <w:rFonts w:ascii="Raleway" w:hAnsi="Raleway"/>
          <w:sz w:val="27"/>
          <w:szCs w:val="27"/>
          <w:lang w:val="es-ES"/>
        </w:rPr>
      </w:pPr>
    </w:p>
    <w:p w14:paraId="583AC0E5" w14:textId="77777777" w:rsidR="008227F7" w:rsidRPr="00994A7E" w:rsidRDefault="008227F7" w:rsidP="008227F7">
      <w:pPr>
        <w:tabs>
          <w:tab w:val="left" w:pos="709"/>
        </w:tabs>
        <w:spacing w:before="0" w:after="0" w:line="360" w:lineRule="auto"/>
        <w:rPr>
          <w:rFonts w:ascii="Raleway" w:hAnsi="Raleway"/>
          <w:sz w:val="27"/>
          <w:szCs w:val="27"/>
          <w:lang w:val="es-ES"/>
        </w:rPr>
      </w:pPr>
      <w:r w:rsidRPr="00994A7E">
        <w:rPr>
          <w:rFonts w:ascii="Raleway" w:hAnsi="Raleway"/>
          <w:sz w:val="27"/>
          <w:szCs w:val="27"/>
          <w:lang w:val="es-ES"/>
        </w:rPr>
        <w:t>El señor Ministro Presidente Aguilar Ortiz declaró que el asunto se resolvió en los términos propuestos.</w:t>
      </w:r>
    </w:p>
    <w:p w14:paraId="6106F4C5" w14:textId="77777777" w:rsidR="008227F7" w:rsidRPr="00994A7E" w:rsidRDefault="008227F7" w:rsidP="008227F7">
      <w:pPr>
        <w:tabs>
          <w:tab w:val="left" w:pos="709"/>
        </w:tabs>
        <w:spacing w:before="0" w:after="0" w:line="360" w:lineRule="auto"/>
        <w:rPr>
          <w:rFonts w:ascii="Raleway" w:hAnsi="Raleway"/>
          <w:sz w:val="27"/>
          <w:szCs w:val="27"/>
        </w:rPr>
      </w:pPr>
    </w:p>
    <w:p w14:paraId="62E912C4" w14:textId="77777777" w:rsidR="008227F7" w:rsidRPr="00994A7E" w:rsidRDefault="008227F7" w:rsidP="008227F7">
      <w:pPr>
        <w:tabs>
          <w:tab w:val="left" w:pos="709"/>
        </w:tabs>
        <w:spacing w:before="0" w:after="0" w:line="360" w:lineRule="auto"/>
        <w:rPr>
          <w:rFonts w:ascii="Raleway" w:hAnsi="Raleway"/>
          <w:sz w:val="27"/>
          <w:szCs w:val="27"/>
        </w:rPr>
      </w:pPr>
      <w:r w:rsidRPr="00994A7E">
        <w:rPr>
          <w:rFonts w:ascii="Raleway" w:hAnsi="Raleway"/>
          <w:sz w:val="27"/>
          <w:szCs w:val="27"/>
        </w:rPr>
        <w:t>Firman el señor Ministro Presidente y la señora Ministra Ponente con el Secretario General de Acuerdos, que autoriza y da fe.</w:t>
      </w:r>
    </w:p>
    <w:p w14:paraId="2281C3F2" w14:textId="77777777" w:rsidR="008227F7" w:rsidRDefault="008227F7" w:rsidP="008227F7">
      <w:pPr>
        <w:tabs>
          <w:tab w:val="left" w:pos="709"/>
        </w:tabs>
        <w:spacing w:before="0" w:after="0" w:line="360" w:lineRule="auto"/>
        <w:rPr>
          <w:rFonts w:ascii="Raleway" w:hAnsi="Raleway"/>
          <w:sz w:val="27"/>
          <w:szCs w:val="27"/>
        </w:rPr>
      </w:pPr>
    </w:p>
    <w:p w14:paraId="235BB89B" w14:textId="77777777" w:rsidR="00C411FB" w:rsidRDefault="00C411FB" w:rsidP="00C411FB">
      <w:pPr>
        <w:pStyle w:val="corte4fondo"/>
        <w:tabs>
          <w:tab w:val="left" w:pos="0"/>
        </w:tabs>
        <w:ind w:left="-57" w:firstLine="0"/>
        <w:jc w:val="center"/>
        <w:rPr>
          <w:rFonts w:ascii="Raleway" w:hAnsi="Raleway"/>
          <w:b/>
          <w:sz w:val="27"/>
          <w:szCs w:val="27"/>
          <w:lang w:val="es-MX"/>
        </w:rPr>
      </w:pPr>
      <w:r w:rsidRPr="00C411FB">
        <w:rPr>
          <w:rFonts w:ascii="Raleway" w:hAnsi="Raleway"/>
          <w:b/>
          <w:sz w:val="27"/>
          <w:szCs w:val="27"/>
          <w:lang w:val="es-MX"/>
        </w:rPr>
        <w:t>PRESIDENTE</w:t>
      </w:r>
    </w:p>
    <w:p w14:paraId="0092EFC0" w14:textId="77777777" w:rsidR="00000701" w:rsidRDefault="00000701" w:rsidP="00C411FB">
      <w:pPr>
        <w:pStyle w:val="corte4fondo"/>
        <w:tabs>
          <w:tab w:val="left" w:pos="0"/>
        </w:tabs>
        <w:ind w:left="-57" w:firstLine="0"/>
        <w:jc w:val="center"/>
        <w:rPr>
          <w:rFonts w:ascii="Raleway" w:hAnsi="Raleway"/>
          <w:b/>
          <w:sz w:val="27"/>
          <w:szCs w:val="27"/>
          <w:lang w:val="es-MX"/>
        </w:rPr>
      </w:pPr>
    </w:p>
    <w:p w14:paraId="10C5C530"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 xml:space="preserve">(Esta sentencia se suscribe </w:t>
      </w:r>
    </w:p>
    <w:p w14:paraId="0E2A82BB"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con Firma Electrónica Certificada del Poder Judicial de la Federación [FIREL]).</w:t>
      </w:r>
    </w:p>
    <w:p w14:paraId="0FE5ED91" w14:textId="77777777" w:rsidR="00C411FB" w:rsidRPr="00C411FB" w:rsidRDefault="00C411FB" w:rsidP="00C411FB">
      <w:pPr>
        <w:pStyle w:val="corte4fondo"/>
        <w:tabs>
          <w:tab w:val="left" w:pos="0"/>
        </w:tabs>
        <w:ind w:left="-57" w:firstLine="0"/>
        <w:jc w:val="center"/>
        <w:rPr>
          <w:rFonts w:ascii="Raleway" w:hAnsi="Raleway"/>
          <w:b/>
          <w:sz w:val="27"/>
          <w:szCs w:val="27"/>
          <w:lang w:val="es-MX"/>
        </w:rPr>
      </w:pPr>
      <w:r w:rsidRPr="00C411FB">
        <w:rPr>
          <w:rFonts w:ascii="Raleway" w:hAnsi="Raleway"/>
          <w:b/>
          <w:sz w:val="27"/>
          <w:szCs w:val="27"/>
          <w:lang w:val="es-MX"/>
        </w:rPr>
        <w:t>MINISTRO HUGO AGUILAR ORTIZ</w:t>
      </w:r>
    </w:p>
    <w:p w14:paraId="02D79EE8" w14:textId="77777777" w:rsidR="00C411FB" w:rsidRDefault="00C411FB" w:rsidP="00C411FB">
      <w:pPr>
        <w:pStyle w:val="corte4fondo"/>
        <w:tabs>
          <w:tab w:val="left" w:pos="0"/>
        </w:tabs>
        <w:ind w:left="-57" w:firstLine="0"/>
        <w:jc w:val="center"/>
        <w:rPr>
          <w:rFonts w:ascii="Raleway" w:hAnsi="Raleway"/>
          <w:b/>
          <w:sz w:val="27"/>
          <w:szCs w:val="27"/>
          <w:lang w:val="es-MX"/>
        </w:rPr>
      </w:pPr>
    </w:p>
    <w:p w14:paraId="5EE964D1" w14:textId="77777777" w:rsidR="00C411FB" w:rsidRDefault="00C411FB" w:rsidP="00C411FB">
      <w:pPr>
        <w:pStyle w:val="corte4fondo"/>
        <w:tabs>
          <w:tab w:val="left" w:pos="0"/>
        </w:tabs>
        <w:ind w:left="-57" w:firstLine="0"/>
        <w:jc w:val="center"/>
        <w:rPr>
          <w:rFonts w:ascii="Raleway" w:hAnsi="Raleway"/>
          <w:b/>
          <w:sz w:val="27"/>
          <w:szCs w:val="27"/>
          <w:lang w:val="es-MX"/>
        </w:rPr>
      </w:pPr>
    </w:p>
    <w:p w14:paraId="3BB00A99" w14:textId="77777777" w:rsidR="00000701" w:rsidRPr="00C411FB" w:rsidRDefault="00000701" w:rsidP="00C411FB">
      <w:pPr>
        <w:pStyle w:val="corte4fondo"/>
        <w:tabs>
          <w:tab w:val="left" w:pos="0"/>
        </w:tabs>
        <w:ind w:left="-57" w:firstLine="0"/>
        <w:jc w:val="center"/>
        <w:rPr>
          <w:rFonts w:ascii="Raleway" w:hAnsi="Raleway"/>
          <w:b/>
          <w:sz w:val="27"/>
          <w:szCs w:val="27"/>
          <w:lang w:val="es-MX"/>
        </w:rPr>
      </w:pPr>
    </w:p>
    <w:p w14:paraId="24F7EBD8" w14:textId="4EACE944" w:rsidR="00C411FB" w:rsidRDefault="00C411FB" w:rsidP="00C411FB">
      <w:pPr>
        <w:pStyle w:val="corte4fondo"/>
        <w:tabs>
          <w:tab w:val="left" w:pos="0"/>
        </w:tabs>
        <w:ind w:left="-57" w:firstLine="0"/>
        <w:jc w:val="center"/>
        <w:rPr>
          <w:rFonts w:ascii="Raleway" w:hAnsi="Raleway"/>
          <w:b/>
          <w:sz w:val="27"/>
          <w:szCs w:val="27"/>
          <w:lang w:val="es-MX"/>
        </w:rPr>
      </w:pPr>
      <w:r w:rsidRPr="00C411FB">
        <w:rPr>
          <w:rFonts w:ascii="Raleway" w:hAnsi="Raleway"/>
          <w:b/>
          <w:sz w:val="27"/>
          <w:szCs w:val="27"/>
          <w:lang w:val="es-MX"/>
        </w:rPr>
        <w:t>PONENTE</w:t>
      </w:r>
    </w:p>
    <w:p w14:paraId="0F51BC27" w14:textId="77777777" w:rsidR="00000701" w:rsidRDefault="00000701" w:rsidP="00C411FB">
      <w:pPr>
        <w:pStyle w:val="corte4fondo"/>
        <w:tabs>
          <w:tab w:val="left" w:pos="0"/>
        </w:tabs>
        <w:ind w:left="-57" w:firstLine="0"/>
        <w:jc w:val="center"/>
        <w:rPr>
          <w:rFonts w:ascii="Raleway" w:hAnsi="Raleway"/>
          <w:b/>
          <w:sz w:val="27"/>
          <w:szCs w:val="27"/>
          <w:lang w:val="es-MX"/>
        </w:rPr>
      </w:pPr>
    </w:p>
    <w:p w14:paraId="561F94D6"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 xml:space="preserve">(Esta sentencia se suscribe </w:t>
      </w:r>
    </w:p>
    <w:p w14:paraId="149DBEA5"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con Firma Electrónica Certificada del Poder Judicial de la Federación [FIREL]).</w:t>
      </w:r>
    </w:p>
    <w:p w14:paraId="02A77ECF" w14:textId="77777777" w:rsidR="00C411FB" w:rsidRPr="00C411FB" w:rsidRDefault="00C411FB" w:rsidP="00C411FB">
      <w:pPr>
        <w:pStyle w:val="corte4fondo"/>
        <w:tabs>
          <w:tab w:val="left" w:pos="0"/>
        </w:tabs>
        <w:ind w:left="-57" w:firstLine="0"/>
        <w:jc w:val="center"/>
        <w:rPr>
          <w:rFonts w:ascii="Raleway" w:hAnsi="Raleway"/>
          <w:b/>
          <w:sz w:val="27"/>
          <w:szCs w:val="27"/>
          <w:lang w:val="es-MX"/>
        </w:rPr>
      </w:pPr>
      <w:r w:rsidRPr="00C411FB">
        <w:rPr>
          <w:rFonts w:ascii="Raleway" w:hAnsi="Raleway"/>
          <w:b/>
          <w:sz w:val="27"/>
          <w:szCs w:val="27"/>
          <w:lang w:val="es-MX"/>
        </w:rPr>
        <w:t>MINISTRA SARA IRENE HERRERÍAS GUERRA</w:t>
      </w:r>
    </w:p>
    <w:p w14:paraId="6EB88DE2" w14:textId="77777777" w:rsidR="00C411FB" w:rsidRPr="00C411FB" w:rsidRDefault="00C411FB" w:rsidP="00C411FB">
      <w:pPr>
        <w:pStyle w:val="corte4fondo"/>
        <w:tabs>
          <w:tab w:val="left" w:pos="0"/>
        </w:tabs>
        <w:ind w:left="-57" w:firstLine="0"/>
        <w:jc w:val="center"/>
        <w:rPr>
          <w:rFonts w:ascii="Raleway" w:hAnsi="Raleway"/>
          <w:b/>
          <w:sz w:val="27"/>
          <w:szCs w:val="27"/>
          <w:lang w:val="es-MX"/>
        </w:rPr>
      </w:pPr>
    </w:p>
    <w:p w14:paraId="7DF74A56" w14:textId="77777777" w:rsidR="00000701" w:rsidRDefault="00000701" w:rsidP="00C411FB">
      <w:pPr>
        <w:pStyle w:val="corte4fondo"/>
        <w:tabs>
          <w:tab w:val="left" w:pos="0"/>
        </w:tabs>
        <w:ind w:left="-57" w:firstLine="0"/>
        <w:jc w:val="center"/>
        <w:rPr>
          <w:rFonts w:ascii="Raleway" w:hAnsi="Raleway"/>
          <w:b/>
          <w:sz w:val="27"/>
          <w:szCs w:val="27"/>
          <w:lang w:val="es-MX"/>
        </w:rPr>
      </w:pPr>
    </w:p>
    <w:p w14:paraId="0CE29347" w14:textId="77777777" w:rsidR="00E86099" w:rsidRDefault="00E86099" w:rsidP="00C411FB">
      <w:pPr>
        <w:pStyle w:val="corte4fondo"/>
        <w:tabs>
          <w:tab w:val="left" w:pos="0"/>
        </w:tabs>
        <w:ind w:left="-57" w:firstLine="0"/>
        <w:jc w:val="center"/>
        <w:rPr>
          <w:rFonts w:ascii="Raleway" w:hAnsi="Raleway"/>
          <w:b/>
          <w:sz w:val="27"/>
          <w:szCs w:val="27"/>
          <w:lang w:val="es-MX"/>
        </w:rPr>
      </w:pPr>
    </w:p>
    <w:p w14:paraId="7BD6C400" w14:textId="77777777" w:rsidR="00E86099" w:rsidRPr="00C411FB" w:rsidRDefault="00E86099" w:rsidP="00C411FB">
      <w:pPr>
        <w:pStyle w:val="corte4fondo"/>
        <w:tabs>
          <w:tab w:val="left" w:pos="0"/>
        </w:tabs>
        <w:ind w:left="-57" w:firstLine="0"/>
        <w:jc w:val="center"/>
        <w:rPr>
          <w:rFonts w:ascii="Raleway" w:hAnsi="Raleway"/>
          <w:b/>
          <w:sz w:val="27"/>
          <w:szCs w:val="27"/>
          <w:lang w:val="es-MX"/>
        </w:rPr>
      </w:pPr>
    </w:p>
    <w:p w14:paraId="501ECA83" w14:textId="77777777" w:rsidR="00C411FB" w:rsidRDefault="00C411FB" w:rsidP="00C411FB">
      <w:pPr>
        <w:pStyle w:val="corte4fondo"/>
        <w:tabs>
          <w:tab w:val="left" w:pos="0"/>
        </w:tabs>
        <w:ind w:left="-57" w:firstLine="0"/>
        <w:jc w:val="center"/>
        <w:rPr>
          <w:rFonts w:ascii="Raleway" w:hAnsi="Raleway"/>
          <w:b/>
          <w:sz w:val="27"/>
          <w:szCs w:val="27"/>
          <w:lang w:val="es-MX"/>
        </w:rPr>
      </w:pPr>
      <w:r w:rsidRPr="00C411FB">
        <w:rPr>
          <w:rFonts w:ascii="Raleway" w:hAnsi="Raleway"/>
          <w:b/>
          <w:sz w:val="27"/>
          <w:szCs w:val="27"/>
          <w:lang w:val="es-MX"/>
        </w:rPr>
        <w:t>SECRETARIO GENERAL DE ACUERDOS</w:t>
      </w:r>
    </w:p>
    <w:p w14:paraId="2B8B8A7D" w14:textId="77777777" w:rsidR="00000701" w:rsidRDefault="00000701" w:rsidP="00C411FB">
      <w:pPr>
        <w:pStyle w:val="corte4fondo"/>
        <w:tabs>
          <w:tab w:val="left" w:pos="0"/>
        </w:tabs>
        <w:ind w:left="-57" w:firstLine="0"/>
        <w:jc w:val="center"/>
        <w:rPr>
          <w:rFonts w:ascii="Raleway" w:hAnsi="Raleway"/>
          <w:b/>
          <w:sz w:val="27"/>
          <w:szCs w:val="27"/>
          <w:lang w:val="es-MX"/>
        </w:rPr>
      </w:pPr>
    </w:p>
    <w:p w14:paraId="4ED47E4E" w14:textId="77777777" w:rsidR="00000701" w:rsidRPr="00C411FB" w:rsidRDefault="00000701" w:rsidP="00C411FB">
      <w:pPr>
        <w:pStyle w:val="corte4fondo"/>
        <w:tabs>
          <w:tab w:val="left" w:pos="0"/>
        </w:tabs>
        <w:ind w:left="-57" w:firstLine="0"/>
        <w:jc w:val="center"/>
        <w:rPr>
          <w:rFonts w:ascii="Raleway" w:hAnsi="Raleway"/>
          <w:b/>
          <w:sz w:val="27"/>
          <w:szCs w:val="27"/>
          <w:lang w:val="es-MX"/>
        </w:rPr>
      </w:pPr>
    </w:p>
    <w:p w14:paraId="484BEE70"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 xml:space="preserve">(Esta sentencia se suscribe </w:t>
      </w:r>
    </w:p>
    <w:p w14:paraId="24071947" w14:textId="77777777" w:rsidR="00C411FB" w:rsidRPr="00C411FB" w:rsidRDefault="00C411FB" w:rsidP="00C411FB">
      <w:pPr>
        <w:spacing w:line="240" w:lineRule="auto"/>
        <w:jc w:val="center"/>
        <w:rPr>
          <w:rFonts w:ascii="Raleway" w:hAnsi="Raleway"/>
          <w:i/>
          <w:iCs/>
          <w:sz w:val="20"/>
          <w:szCs w:val="20"/>
        </w:rPr>
      </w:pPr>
      <w:r w:rsidRPr="00C411FB">
        <w:rPr>
          <w:rFonts w:ascii="Raleway" w:hAnsi="Raleway"/>
          <w:i/>
          <w:iCs/>
          <w:sz w:val="20"/>
          <w:szCs w:val="20"/>
        </w:rPr>
        <w:t>con Firma Electrónica Certificada del Poder Judicial de la Federación [FIREL]).</w:t>
      </w:r>
    </w:p>
    <w:p w14:paraId="3F61836C" w14:textId="77777777" w:rsidR="00C411FB" w:rsidRPr="00C411FB" w:rsidRDefault="00C411FB" w:rsidP="00C411FB">
      <w:pPr>
        <w:jc w:val="center"/>
        <w:rPr>
          <w:rFonts w:ascii="Raleway" w:eastAsia="Times New Roman" w:hAnsi="Raleway" w:cs="Times New Roman"/>
          <w:b/>
          <w:sz w:val="27"/>
          <w:szCs w:val="27"/>
          <w:lang w:eastAsia="es-ES"/>
        </w:rPr>
      </w:pPr>
      <w:r w:rsidRPr="00C411FB">
        <w:rPr>
          <w:rFonts w:ascii="Raleway" w:eastAsia="Times New Roman" w:hAnsi="Raleway" w:cs="Times New Roman"/>
          <w:b/>
          <w:sz w:val="27"/>
          <w:szCs w:val="27"/>
          <w:lang w:eastAsia="es-ES"/>
        </w:rPr>
        <w:t>DANIEL ÁLVAREZ TOLEDO</w:t>
      </w:r>
    </w:p>
    <w:p w14:paraId="1E8C909F" w14:textId="77777777" w:rsidR="008227F7" w:rsidRPr="00C411FB" w:rsidRDefault="008227F7" w:rsidP="008227F7">
      <w:pPr>
        <w:pStyle w:val="corte4fondo"/>
        <w:rPr>
          <w:rFonts w:ascii="Raleway" w:hAnsi="Raleway" w:cs="Arial"/>
          <w:sz w:val="27"/>
          <w:szCs w:val="27"/>
        </w:rPr>
      </w:pPr>
    </w:p>
    <w:p w14:paraId="3D115161" w14:textId="2D2FD3A9" w:rsidR="00FB3B8D" w:rsidRPr="008227F7" w:rsidRDefault="008227F7" w:rsidP="009940A4">
      <w:pPr>
        <w:pStyle w:val="corte4fondo"/>
      </w:pPr>
      <w:r w:rsidRPr="001B78CC">
        <w:rPr>
          <w:rFonts w:ascii="Raleway" w:hAnsi="Raleway" w:cs="Arial"/>
          <w:sz w:val="22"/>
          <w:szCs w:val="22"/>
        </w:rPr>
        <w:t xml:space="preserve">Esta hoja corresponde a la sentencia emitida en </w:t>
      </w:r>
      <w:r>
        <w:rPr>
          <w:rFonts w:ascii="Raleway" w:hAnsi="Raleway" w:cs="Arial"/>
          <w:sz w:val="22"/>
          <w:szCs w:val="22"/>
        </w:rPr>
        <w:t>la Acción de Inconstitucionalidad 78</w:t>
      </w:r>
      <w:r w:rsidRPr="001B78CC">
        <w:rPr>
          <w:rFonts w:ascii="Raleway" w:hAnsi="Raleway" w:cs="Arial"/>
          <w:sz w:val="22"/>
          <w:szCs w:val="22"/>
        </w:rPr>
        <w:t>/202</w:t>
      </w:r>
      <w:r>
        <w:rPr>
          <w:rFonts w:ascii="Raleway" w:hAnsi="Raleway" w:cs="Arial"/>
          <w:sz w:val="22"/>
          <w:szCs w:val="22"/>
        </w:rPr>
        <w:t>2</w:t>
      </w:r>
      <w:r w:rsidRPr="001B78CC">
        <w:rPr>
          <w:rFonts w:ascii="Raleway" w:hAnsi="Raleway" w:cs="Arial"/>
          <w:sz w:val="22"/>
          <w:szCs w:val="22"/>
        </w:rPr>
        <w:t>, fallad</w:t>
      </w:r>
      <w:r w:rsidR="00D32F7C">
        <w:rPr>
          <w:rFonts w:ascii="Raleway" w:hAnsi="Raleway" w:cs="Arial"/>
          <w:sz w:val="22"/>
          <w:szCs w:val="22"/>
        </w:rPr>
        <w:t>a</w:t>
      </w:r>
      <w:r w:rsidRPr="001B78CC">
        <w:rPr>
          <w:rFonts w:ascii="Raleway" w:hAnsi="Raleway" w:cs="Arial"/>
          <w:sz w:val="22"/>
          <w:szCs w:val="22"/>
        </w:rPr>
        <w:t xml:space="preserve"> por el Pleno de la Suprema Corte de Justicia de la Nación, en sesión del </w:t>
      </w:r>
      <w:r>
        <w:rPr>
          <w:rFonts w:ascii="Raleway" w:hAnsi="Raleway" w:cs="Arial"/>
          <w:sz w:val="22"/>
          <w:szCs w:val="22"/>
        </w:rPr>
        <w:t xml:space="preserve">veinticuatro de marzo </w:t>
      </w:r>
      <w:r w:rsidRPr="001B78CC">
        <w:rPr>
          <w:rFonts w:ascii="Raleway" w:hAnsi="Raleway" w:cs="Arial"/>
          <w:sz w:val="22"/>
          <w:szCs w:val="22"/>
        </w:rPr>
        <w:t xml:space="preserve">de dos mil veintiséis. </w:t>
      </w:r>
      <w:r w:rsidRPr="001B78CC">
        <w:rPr>
          <w:rFonts w:ascii="Raleway" w:hAnsi="Raleway" w:cs="Arial"/>
          <w:b/>
          <w:bCs/>
          <w:sz w:val="22"/>
          <w:szCs w:val="22"/>
        </w:rPr>
        <w:t>CONSTE.</w:t>
      </w:r>
    </w:p>
    <w:sectPr w:rsidR="00FB3B8D" w:rsidRPr="008227F7" w:rsidSect="006619AF">
      <w:headerReference w:type="even" r:id="rId20"/>
      <w:headerReference w:type="default" r:id="rId21"/>
      <w:headerReference w:type="first" r:id="rId22"/>
      <w:pgSz w:w="12242" w:h="19442" w:code="10005"/>
      <w:pgMar w:top="2268" w:right="1469" w:bottom="1701" w:left="1701" w:header="1134" w:footer="172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F96C4" w14:textId="77777777" w:rsidR="004655BD" w:rsidRDefault="004655BD" w:rsidP="00F15FD9">
      <w:pPr>
        <w:spacing w:before="0" w:after="0" w:line="240" w:lineRule="auto"/>
      </w:pPr>
      <w:r>
        <w:separator/>
      </w:r>
    </w:p>
  </w:endnote>
  <w:endnote w:type="continuationSeparator" w:id="0">
    <w:p w14:paraId="66CB3C2E" w14:textId="77777777" w:rsidR="004655BD" w:rsidRDefault="004655BD" w:rsidP="00F15FD9">
      <w:pPr>
        <w:spacing w:before="0" w:after="0" w:line="240" w:lineRule="auto"/>
      </w:pPr>
      <w:r>
        <w:continuationSeparator/>
      </w:r>
    </w:p>
  </w:endnote>
  <w:endnote w:type="continuationNotice" w:id="1">
    <w:p w14:paraId="6714D5BA" w14:textId="77777777" w:rsidR="004655BD" w:rsidRDefault="004655B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grita">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773989"/>
      <w:docPartObj>
        <w:docPartGallery w:val="Page Numbers (Bottom of Page)"/>
        <w:docPartUnique/>
      </w:docPartObj>
    </w:sdtPr>
    <w:sdtEndPr>
      <w:rPr>
        <w:rFonts w:ascii="Raleway" w:hAnsi="Raleway"/>
      </w:rPr>
    </w:sdtEndPr>
    <w:sdtContent>
      <w:p w14:paraId="3F20C8CA" w14:textId="4D776382" w:rsidR="006B12AC" w:rsidRPr="006B12AC" w:rsidRDefault="006B12AC">
        <w:pPr>
          <w:pStyle w:val="Piedepgina"/>
          <w:jc w:val="center"/>
          <w:rPr>
            <w:rFonts w:ascii="Raleway" w:hAnsi="Raleway"/>
          </w:rPr>
        </w:pPr>
        <w:r w:rsidRPr="006B12AC">
          <w:rPr>
            <w:rFonts w:ascii="Raleway" w:hAnsi="Raleway"/>
          </w:rPr>
          <w:fldChar w:fldCharType="begin"/>
        </w:r>
        <w:r w:rsidRPr="006B12AC">
          <w:rPr>
            <w:rFonts w:ascii="Raleway" w:hAnsi="Raleway"/>
          </w:rPr>
          <w:instrText>PAGE   \* MERGEFORMAT</w:instrText>
        </w:r>
        <w:r w:rsidRPr="006B12AC">
          <w:rPr>
            <w:rFonts w:ascii="Raleway" w:hAnsi="Raleway"/>
          </w:rPr>
          <w:fldChar w:fldCharType="separate"/>
        </w:r>
        <w:r w:rsidRPr="006B12AC">
          <w:rPr>
            <w:rFonts w:ascii="Raleway" w:hAnsi="Raleway"/>
          </w:rPr>
          <w:t>2</w:t>
        </w:r>
        <w:r w:rsidRPr="006B12AC">
          <w:rPr>
            <w:rFonts w:ascii="Raleway" w:hAnsi="Raleway"/>
          </w:rPr>
          <w:fldChar w:fldCharType="end"/>
        </w:r>
      </w:p>
    </w:sdtContent>
  </w:sdt>
  <w:p w14:paraId="5E7939DA" w14:textId="77777777" w:rsidR="006B12AC" w:rsidRDefault="006B12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2D2E" w14:textId="77777777" w:rsidR="008227F7" w:rsidRDefault="008227F7">
    <w:pPr>
      <w:pStyle w:val="Piedepgina"/>
      <w:jc w:val="center"/>
    </w:pPr>
  </w:p>
  <w:sdt>
    <w:sdtPr>
      <w:id w:val="342753650"/>
      <w:docPartObj>
        <w:docPartGallery w:val="Page Numbers (Bottom of Page)"/>
        <w:docPartUnique/>
      </w:docPartObj>
    </w:sdtPr>
    <w:sdtEndPr>
      <w:rPr>
        <w:rFonts w:ascii="Raleway" w:hAnsi="Raleway"/>
      </w:rPr>
    </w:sdtEndPr>
    <w:sdtContent>
      <w:p w14:paraId="69C31A3F" w14:textId="77777777" w:rsidR="008227F7" w:rsidRPr="006B12AC" w:rsidRDefault="008227F7">
        <w:pPr>
          <w:pStyle w:val="Piedepgina"/>
          <w:jc w:val="center"/>
          <w:rPr>
            <w:rFonts w:ascii="Raleway" w:hAnsi="Raleway"/>
          </w:rPr>
        </w:pPr>
        <w:r w:rsidRPr="006B12AC">
          <w:rPr>
            <w:rFonts w:ascii="Raleway" w:hAnsi="Raleway"/>
          </w:rPr>
          <w:fldChar w:fldCharType="begin"/>
        </w:r>
        <w:r w:rsidRPr="006B12AC">
          <w:rPr>
            <w:rFonts w:ascii="Raleway" w:hAnsi="Raleway"/>
          </w:rPr>
          <w:instrText>PAGE   \* MERGEFORMAT</w:instrText>
        </w:r>
        <w:r w:rsidRPr="006B12AC">
          <w:rPr>
            <w:rFonts w:ascii="Raleway" w:hAnsi="Raleway"/>
          </w:rPr>
          <w:fldChar w:fldCharType="separate"/>
        </w:r>
        <w:r w:rsidRPr="006B12AC">
          <w:rPr>
            <w:rFonts w:ascii="Raleway" w:hAnsi="Raleway"/>
            <w:lang w:val="es-ES"/>
          </w:rPr>
          <w:t>2</w:t>
        </w:r>
        <w:r w:rsidRPr="006B12AC">
          <w:rPr>
            <w:rFonts w:ascii="Raleway" w:hAnsi="Raleway"/>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07A5" w14:textId="124F096F" w:rsidR="008227F7" w:rsidRPr="007D65F1" w:rsidRDefault="008227F7">
    <w:pPr>
      <w:pStyle w:val="Piedepgina"/>
      <w:jc w:val="center"/>
      <w:rPr>
        <w:b/>
        <w:bCs/>
      </w:rPr>
    </w:pPr>
  </w:p>
  <w:p w14:paraId="4D5520BA" w14:textId="77777777" w:rsidR="008227F7" w:rsidRPr="007D65F1" w:rsidRDefault="008227F7">
    <w:pPr>
      <w:pStyle w:val="Piedepgina"/>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F94FE" w14:textId="77777777" w:rsidR="004655BD" w:rsidRDefault="004655BD" w:rsidP="00F15FD9">
      <w:pPr>
        <w:spacing w:before="0" w:after="0" w:line="240" w:lineRule="auto"/>
      </w:pPr>
      <w:r>
        <w:separator/>
      </w:r>
    </w:p>
  </w:footnote>
  <w:footnote w:type="continuationSeparator" w:id="0">
    <w:p w14:paraId="04A44AB1" w14:textId="77777777" w:rsidR="004655BD" w:rsidRDefault="004655BD" w:rsidP="00F15FD9">
      <w:pPr>
        <w:spacing w:before="0" w:after="0" w:line="240" w:lineRule="auto"/>
      </w:pPr>
      <w:r>
        <w:continuationSeparator/>
      </w:r>
    </w:p>
  </w:footnote>
  <w:footnote w:type="continuationNotice" w:id="1">
    <w:p w14:paraId="6F302218" w14:textId="77777777" w:rsidR="004655BD" w:rsidRDefault="004655BD">
      <w:pPr>
        <w:spacing w:before="0" w:after="0" w:line="240" w:lineRule="auto"/>
      </w:pPr>
    </w:p>
  </w:footnote>
  <w:footnote w:id="2">
    <w:p w14:paraId="19EEE459" w14:textId="77777777" w:rsidR="008227F7" w:rsidRPr="00B342F1" w:rsidRDefault="008227F7" w:rsidP="008227F7">
      <w:pPr>
        <w:pStyle w:val="Textonotapie"/>
        <w:rPr>
          <w:rFonts w:ascii="Raleway" w:hAnsi="Raleway"/>
        </w:rPr>
      </w:pPr>
      <w:r w:rsidRPr="00B342F1">
        <w:rPr>
          <w:rStyle w:val="Refdenotaalpie"/>
          <w:rFonts w:ascii="Raleway" w:hAnsi="Raleway"/>
        </w:rPr>
        <w:footnoteRef/>
      </w:r>
      <w:r w:rsidRPr="00B342F1">
        <w:rPr>
          <w:rFonts w:ascii="Raleway" w:hAnsi="Raleway"/>
        </w:rPr>
        <w:t xml:space="preserve"> Aunque el Decreto impugnado se refiere a la “Ley Minera”, mediante diverso Decreto publicado en el Diario Oficial de la Federación el ocho de mayo de dos mil veintitrés dicha legislación fue reformada, entre otros aspectos, para modificar su denominación a “Ley de Minería”. No obstante, para efectos del presente asunto y en atención al contenido y temporalidad del Decreto aquí controvertido, se utilizará la denominación “Ley Minera”.</w:t>
      </w:r>
    </w:p>
  </w:footnote>
  <w:footnote w:id="3">
    <w:p w14:paraId="7CBADF27" w14:textId="77777777" w:rsidR="008227F7" w:rsidRPr="00475567" w:rsidRDefault="008227F7" w:rsidP="008227F7">
      <w:pPr>
        <w:pStyle w:val="Textonotapie"/>
        <w:ind w:left="284" w:hanging="284"/>
        <w:rPr>
          <w:rFonts w:ascii="Raleway" w:hAnsi="Raleway" w:cs="Times New Roman"/>
        </w:rPr>
      </w:pPr>
      <w:r w:rsidRPr="00475567">
        <w:rPr>
          <w:rStyle w:val="Refdenotaalpie"/>
          <w:rFonts w:ascii="Raleway" w:hAnsi="Raleway"/>
        </w:rPr>
        <w:footnoteRef/>
      </w:r>
      <w:r w:rsidRPr="00475567">
        <w:rPr>
          <w:rFonts w:ascii="Raleway" w:hAnsi="Raleway"/>
        </w:rPr>
        <w:t xml:space="preserve"> </w:t>
      </w:r>
      <w:r w:rsidRPr="00475567">
        <w:rPr>
          <w:rFonts w:ascii="Raleway" w:hAnsi="Raleway" w:cs="Times New Roman"/>
          <w:b/>
          <w:bCs/>
        </w:rPr>
        <w:t>Artículo 105.</w:t>
      </w:r>
      <w:r w:rsidRPr="00475567">
        <w:rPr>
          <w:rFonts w:ascii="Raleway" w:hAnsi="Raleway" w:cs="Times New Roman"/>
        </w:rPr>
        <w:t xml:space="preserve"> La Suprema Corte de Justicia de la Nación conocerá, en los términos que señale la ley reglamentaria, de los asuntos siguientes:</w:t>
      </w:r>
    </w:p>
    <w:p w14:paraId="280FDD8C" w14:textId="77777777" w:rsidR="008227F7" w:rsidRPr="00475567" w:rsidRDefault="008227F7" w:rsidP="008227F7">
      <w:pPr>
        <w:pStyle w:val="Textonotapie"/>
        <w:ind w:left="284" w:hanging="284"/>
        <w:rPr>
          <w:rFonts w:ascii="Raleway" w:hAnsi="Raleway" w:cs="Times New Roman"/>
        </w:rPr>
      </w:pPr>
      <w:r w:rsidRPr="00475567">
        <w:rPr>
          <w:rFonts w:ascii="Raleway" w:hAnsi="Raleway" w:cs="Times New Roman"/>
        </w:rPr>
        <w:t>II. De las acciones de inconstitucionalidad que tengan por objeto plantear la posible contradicción entre una norma de carácter general y esta Constitución.</w:t>
      </w:r>
    </w:p>
    <w:p w14:paraId="03B2F970" w14:textId="77777777" w:rsidR="008227F7" w:rsidRPr="00475567" w:rsidRDefault="008227F7" w:rsidP="008227F7">
      <w:pPr>
        <w:pStyle w:val="Textonotapie"/>
        <w:ind w:left="284" w:hanging="284"/>
        <w:rPr>
          <w:rFonts w:ascii="Raleway" w:hAnsi="Raleway" w:cs="Times New Roman"/>
        </w:rPr>
      </w:pPr>
      <w:r w:rsidRPr="00475567">
        <w:rPr>
          <w:rFonts w:ascii="Raleway" w:hAnsi="Raleway" w:cs="Times New Roman"/>
        </w:rPr>
        <w:t>Las acciones de inconstitucionalidad podrán ejercitarse, dentro de los treinta días naturales siguientes a la fecha de publicación de la norma, por: […]</w:t>
      </w:r>
    </w:p>
    <w:p w14:paraId="0417EC4C" w14:textId="77777777" w:rsidR="008227F7" w:rsidRPr="00475567" w:rsidRDefault="008227F7" w:rsidP="008227F7">
      <w:pPr>
        <w:pStyle w:val="Textonotapie"/>
        <w:spacing w:after="120"/>
        <w:ind w:left="284" w:hanging="284"/>
        <w:rPr>
          <w:rFonts w:ascii="Raleway" w:hAnsi="Raleway"/>
        </w:rPr>
      </w:pPr>
      <w:r w:rsidRPr="00475567">
        <w:rPr>
          <w:rFonts w:ascii="Raleway" w:hAnsi="Raleway" w:cs="Times New Roman"/>
        </w:rPr>
        <w:t>b) El equivalente al treinta y tres por ciento de los integrantes del Senado, en contra de las leyes federales o de tratados internacionales celebrados por el Estado Mexicano;</w:t>
      </w:r>
      <w:r w:rsidRPr="00475567">
        <w:rPr>
          <w:rFonts w:ascii="Raleway" w:hAnsi="Raleway" w:cs="Times New Roman"/>
          <w:b/>
          <w:bCs/>
        </w:rPr>
        <w:t xml:space="preserve"> </w:t>
      </w:r>
      <w:r w:rsidRPr="00475567">
        <w:rPr>
          <w:rFonts w:ascii="Raleway" w:hAnsi="Raleway" w:cs="Times New Roman"/>
        </w:rPr>
        <w:t>[…]</w:t>
      </w:r>
    </w:p>
  </w:footnote>
  <w:footnote w:id="4">
    <w:p w14:paraId="24D0D256" w14:textId="77777777" w:rsidR="008227F7" w:rsidRPr="00B748CB" w:rsidRDefault="008227F7" w:rsidP="008227F7">
      <w:pPr>
        <w:pStyle w:val="Estilo"/>
        <w:rPr>
          <w:rFonts w:ascii="Raleway" w:hAnsi="Raleway"/>
          <w:sz w:val="20"/>
          <w:szCs w:val="20"/>
        </w:rPr>
      </w:pPr>
      <w:r w:rsidRPr="00475567">
        <w:rPr>
          <w:rStyle w:val="Refdenotaalpie"/>
          <w:rFonts w:ascii="Raleway" w:hAnsi="Raleway"/>
          <w:sz w:val="20"/>
          <w:szCs w:val="20"/>
        </w:rPr>
        <w:footnoteRef/>
      </w:r>
      <w:r w:rsidRPr="00475567">
        <w:rPr>
          <w:rFonts w:ascii="Raleway" w:hAnsi="Raleway"/>
          <w:sz w:val="20"/>
          <w:szCs w:val="20"/>
        </w:rPr>
        <w:t xml:space="preserve"> </w:t>
      </w:r>
      <w:r w:rsidRPr="00475567">
        <w:rPr>
          <w:rFonts w:ascii="Raleway" w:hAnsi="Raleway"/>
          <w:b/>
          <w:bCs/>
          <w:sz w:val="20"/>
          <w:szCs w:val="20"/>
        </w:rPr>
        <w:t>Artículo 1.</w:t>
      </w:r>
      <w:r w:rsidRPr="00475567">
        <w:rPr>
          <w:rFonts w:ascii="Raleway" w:hAnsi="Raleway"/>
          <w:sz w:val="20"/>
          <w:szCs w:val="20"/>
        </w:rPr>
        <w:t xml:space="preserve"> La Suprema Corte de Justicia de la Nación conocerá y resolverá con base en las disposiciones del presente Título, las controversias constitucionales en las que se hagan valer violaciones a la Constitución Política de los Estados Unidos Mexicanos, así como las acciones de inconstitucionalidad a que se refieren las fracciones I y II del artículo 105 de la Constitución Política de los </w:t>
      </w:r>
      <w:r w:rsidRPr="00B748CB">
        <w:rPr>
          <w:rFonts w:ascii="Raleway" w:hAnsi="Raleway"/>
          <w:sz w:val="20"/>
          <w:szCs w:val="20"/>
        </w:rPr>
        <w:t>Estados Unidos Mexicanos. A falta de disposición expresa, se estará a las prevenciones del Código Nacional de Procedimientos Civiles y Familiares.</w:t>
      </w:r>
    </w:p>
    <w:p w14:paraId="7A2205F4" w14:textId="77777777" w:rsidR="008227F7" w:rsidRPr="00B748CB" w:rsidRDefault="008227F7" w:rsidP="008227F7">
      <w:pPr>
        <w:pStyle w:val="Textonotapie"/>
        <w:rPr>
          <w:rFonts w:ascii="Raleway" w:hAnsi="Raleway"/>
        </w:rPr>
      </w:pPr>
    </w:p>
  </w:footnote>
  <w:footnote w:id="5">
    <w:p w14:paraId="064B643F" w14:textId="77777777" w:rsidR="008227F7" w:rsidRPr="00B748CB" w:rsidRDefault="008227F7" w:rsidP="008227F7">
      <w:pPr>
        <w:pStyle w:val="Textonotapie"/>
        <w:ind w:left="284" w:hanging="284"/>
        <w:rPr>
          <w:rFonts w:ascii="Raleway" w:hAnsi="Raleway" w:cs="Times New Roman"/>
        </w:rPr>
      </w:pPr>
      <w:r w:rsidRPr="00B748CB">
        <w:rPr>
          <w:rStyle w:val="Refdenotaalpie"/>
          <w:rFonts w:ascii="Raleway" w:hAnsi="Raleway"/>
        </w:rPr>
        <w:footnoteRef/>
      </w:r>
      <w:r w:rsidRPr="00B748CB">
        <w:rPr>
          <w:rFonts w:ascii="Raleway" w:hAnsi="Raleway"/>
        </w:rPr>
        <w:t xml:space="preserve"> </w:t>
      </w:r>
      <w:r w:rsidRPr="00B748CB">
        <w:rPr>
          <w:rFonts w:ascii="Raleway" w:hAnsi="Raleway" w:cs="Times New Roman"/>
          <w:b/>
          <w:bCs/>
        </w:rPr>
        <w:t xml:space="preserve">Artículo 16. </w:t>
      </w:r>
      <w:r w:rsidRPr="00B748CB">
        <w:rPr>
          <w:rFonts w:ascii="Raleway" w:hAnsi="Raleway" w:cs="Times New Roman"/>
        </w:rPr>
        <w:t>La Suprema Corte de Justicia de la Nación conocerá:</w:t>
      </w:r>
    </w:p>
    <w:p w14:paraId="15516914" w14:textId="77777777" w:rsidR="008227F7" w:rsidRPr="00B748CB" w:rsidRDefault="008227F7" w:rsidP="008227F7">
      <w:pPr>
        <w:pStyle w:val="Textonotapie"/>
        <w:spacing w:after="120"/>
        <w:ind w:left="284" w:hanging="284"/>
        <w:rPr>
          <w:rFonts w:ascii="Raleway" w:hAnsi="Raleway" w:cs="Times New Roman"/>
        </w:rPr>
      </w:pPr>
      <w:r w:rsidRPr="00B748CB">
        <w:rPr>
          <w:rFonts w:ascii="Raleway" w:hAnsi="Raleway" w:cs="Times New Roman"/>
        </w:rPr>
        <w:t>I</w:t>
      </w:r>
      <w:r w:rsidRPr="00B748CB">
        <w:rPr>
          <w:rFonts w:ascii="Raleway" w:hAnsi="Raleway" w:cs="Times New Roman"/>
          <w:b/>
          <w:bCs/>
        </w:rPr>
        <w:t xml:space="preserve">. </w:t>
      </w:r>
      <w:r w:rsidRPr="00B748CB">
        <w:rPr>
          <w:rFonts w:ascii="Raleway" w:hAnsi="Raleway" w:cs="Times New Roman"/>
        </w:rPr>
        <w:t>De las controversias constitucionales y acciones de inconstitucionalidad a que se refieren las fracciones I y II del artículo 105 de la Constitución Política de los Estados Unidos Mexicanos.</w:t>
      </w:r>
      <w:r w:rsidRPr="00B748CB">
        <w:rPr>
          <w:rFonts w:ascii="Raleway" w:hAnsi="Raleway" w:cs="Times New Roman"/>
          <w:b/>
          <w:bCs/>
        </w:rPr>
        <w:t xml:space="preserve"> </w:t>
      </w:r>
      <w:r w:rsidRPr="00B748CB">
        <w:rPr>
          <w:rFonts w:ascii="Raleway" w:hAnsi="Raleway" w:cs="Times New Roman"/>
        </w:rPr>
        <w:t>[…]</w:t>
      </w:r>
    </w:p>
    <w:p w14:paraId="6F38F3D6" w14:textId="77777777" w:rsidR="008227F7" w:rsidRPr="00B748CB" w:rsidRDefault="008227F7" w:rsidP="008227F7">
      <w:pPr>
        <w:pStyle w:val="Textonotapie"/>
        <w:rPr>
          <w:rFonts w:ascii="Raleway" w:hAnsi="Raleway"/>
        </w:rPr>
      </w:pPr>
    </w:p>
  </w:footnote>
  <w:footnote w:id="6">
    <w:p w14:paraId="76EF5532" w14:textId="77777777" w:rsidR="008227F7" w:rsidRPr="00B748CB" w:rsidRDefault="008227F7" w:rsidP="008227F7">
      <w:pPr>
        <w:pStyle w:val="Textonotapie"/>
        <w:rPr>
          <w:rFonts w:ascii="Raleway" w:hAnsi="Raleway"/>
        </w:rPr>
      </w:pPr>
      <w:r w:rsidRPr="00B748CB">
        <w:rPr>
          <w:rStyle w:val="Refdenotaalpie"/>
          <w:rFonts w:ascii="Raleway" w:hAnsi="Raleway"/>
        </w:rPr>
        <w:footnoteRef/>
      </w:r>
      <w:r w:rsidRPr="00B748CB">
        <w:rPr>
          <w:rFonts w:ascii="Raleway" w:hAnsi="Raleway"/>
        </w:rPr>
        <w:t xml:space="preserve"> </w:t>
      </w:r>
      <w:r w:rsidRPr="00B748CB">
        <w:rPr>
          <w:rFonts w:ascii="Raleway" w:hAnsi="Raleway" w:cs="Times New Roman"/>
          <w:b/>
          <w:bCs/>
        </w:rPr>
        <w:t>Artículo 60</w:t>
      </w:r>
      <w:r w:rsidRPr="00B748CB">
        <w:rPr>
          <w:rFonts w:ascii="Raleway" w:hAnsi="Raleway" w:cs="Times New Roman"/>
        </w:rPr>
        <w:t>. El plazo para ejercitar la acción de inconstitucionalidad será de treinta días naturales contados a partir del día siguiente a la fecha en que la ley o tratado internacional impugnado sean publicados en el correspondiente medio oficial. […]</w:t>
      </w:r>
    </w:p>
  </w:footnote>
  <w:footnote w:id="7">
    <w:p w14:paraId="56A45420" w14:textId="77777777" w:rsidR="008227F7" w:rsidRPr="00B34E8B" w:rsidRDefault="008227F7" w:rsidP="008227F7">
      <w:pPr>
        <w:pStyle w:val="Textonotapie"/>
        <w:rPr>
          <w:rFonts w:ascii="Raleway" w:hAnsi="Raleway"/>
          <w:color w:val="000000" w:themeColor="text1"/>
        </w:rPr>
      </w:pPr>
      <w:r w:rsidRPr="00B34E8B">
        <w:rPr>
          <w:rStyle w:val="Refdenotaalpie"/>
          <w:rFonts w:ascii="Raleway" w:hAnsi="Raleway"/>
          <w:color w:val="000000" w:themeColor="text1"/>
        </w:rPr>
        <w:footnoteRef/>
      </w:r>
      <w:r w:rsidRPr="00B34E8B">
        <w:rPr>
          <w:rFonts w:ascii="Raleway" w:hAnsi="Raleway"/>
          <w:b/>
          <w:bCs/>
          <w:color w:val="000000" w:themeColor="text1"/>
        </w:rPr>
        <w:t>Artículo 105</w:t>
      </w:r>
      <w:r w:rsidRPr="00B34E8B">
        <w:rPr>
          <w:rFonts w:ascii="Raleway" w:hAnsi="Raleway"/>
          <w:color w:val="000000" w:themeColor="text1"/>
        </w:rPr>
        <w:t>. La Suprema Corte de Justicia de la Nación conocerá, en los términos que señale la ley</w:t>
      </w:r>
    </w:p>
    <w:p w14:paraId="793C3E4A" w14:textId="77777777" w:rsidR="008227F7" w:rsidRPr="00B34E8B" w:rsidRDefault="008227F7" w:rsidP="008227F7">
      <w:pPr>
        <w:pStyle w:val="Textonotapie"/>
        <w:rPr>
          <w:rFonts w:ascii="Raleway" w:hAnsi="Raleway"/>
          <w:color w:val="000000" w:themeColor="text1"/>
        </w:rPr>
      </w:pPr>
      <w:r w:rsidRPr="00B34E8B">
        <w:rPr>
          <w:rFonts w:ascii="Raleway" w:hAnsi="Raleway"/>
          <w:color w:val="000000" w:themeColor="text1"/>
        </w:rPr>
        <w:t>reglamentaria, de los asuntos siguientes:</w:t>
      </w:r>
    </w:p>
    <w:p w14:paraId="172EA7F4" w14:textId="77777777" w:rsidR="008227F7" w:rsidRPr="00B34E8B" w:rsidRDefault="008227F7" w:rsidP="008227F7">
      <w:pPr>
        <w:pStyle w:val="Textonotapie"/>
        <w:rPr>
          <w:rFonts w:ascii="Raleway" w:hAnsi="Raleway"/>
          <w:color w:val="000000" w:themeColor="text1"/>
        </w:rPr>
      </w:pPr>
      <w:r w:rsidRPr="00B34E8B">
        <w:rPr>
          <w:rFonts w:ascii="Raleway" w:hAnsi="Raleway"/>
          <w:color w:val="000000" w:themeColor="text1"/>
        </w:rPr>
        <w:t>[…]</w:t>
      </w:r>
    </w:p>
    <w:p w14:paraId="73EDF3E9" w14:textId="77777777" w:rsidR="008227F7" w:rsidRPr="00B34E8B" w:rsidRDefault="008227F7" w:rsidP="008227F7">
      <w:pPr>
        <w:pStyle w:val="Textonotapie"/>
        <w:rPr>
          <w:rFonts w:ascii="Raleway" w:hAnsi="Raleway"/>
          <w:color w:val="000000" w:themeColor="text1"/>
        </w:rPr>
      </w:pPr>
      <w:r w:rsidRPr="00B34E8B">
        <w:rPr>
          <w:rFonts w:ascii="Raleway" w:hAnsi="Raleway"/>
          <w:color w:val="000000" w:themeColor="text1"/>
        </w:rPr>
        <w:t>II. De las acciones de inconstitucionalidad que tengan por objeto plantear la posible contradicción entre una norma de carácter general y esta Constitución.</w:t>
      </w:r>
    </w:p>
    <w:p w14:paraId="0AB31B4C" w14:textId="77777777" w:rsidR="008227F7" w:rsidRPr="00B34E8B" w:rsidRDefault="008227F7" w:rsidP="00494272">
      <w:pPr>
        <w:pStyle w:val="Textonotapie"/>
        <w:numPr>
          <w:ilvl w:val="0"/>
          <w:numId w:val="6"/>
        </w:numPr>
        <w:ind w:left="0" w:firstLine="0"/>
        <w:rPr>
          <w:rFonts w:ascii="Raleway" w:hAnsi="Raleway"/>
          <w:color w:val="000000" w:themeColor="text1"/>
        </w:rPr>
      </w:pPr>
      <w:r w:rsidRPr="00B34E8B">
        <w:rPr>
          <w:rFonts w:ascii="Raleway" w:hAnsi="Raleway"/>
          <w:color w:val="000000" w:themeColor="text1"/>
        </w:rPr>
        <w:t>El equivalente al treinta y tres por ciento de los integrantes del Senado, en contra de las leyes federales o de tratados internacionales celebrados por el Estado Mexicano;</w:t>
      </w:r>
    </w:p>
  </w:footnote>
  <w:footnote w:id="8">
    <w:p w14:paraId="142AEA95" w14:textId="77777777" w:rsidR="008227F7" w:rsidRPr="00B34E8B" w:rsidRDefault="008227F7" w:rsidP="008227F7">
      <w:pPr>
        <w:pStyle w:val="Estilo"/>
        <w:rPr>
          <w:rFonts w:ascii="Raleway" w:hAnsi="Raleway"/>
          <w:sz w:val="20"/>
          <w:szCs w:val="20"/>
        </w:rPr>
      </w:pPr>
      <w:r w:rsidRPr="00B34E8B">
        <w:rPr>
          <w:rStyle w:val="Refdenotaalpie"/>
          <w:rFonts w:ascii="Raleway" w:hAnsi="Raleway"/>
          <w:sz w:val="20"/>
          <w:szCs w:val="20"/>
        </w:rPr>
        <w:footnoteRef/>
      </w:r>
      <w:r w:rsidRPr="00B34E8B">
        <w:rPr>
          <w:rFonts w:ascii="Raleway" w:hAnsi="Raleway"/>
          <w:sz w:val="20"/>
          <w:szCs w:val="20"/>
        </w:rPr>
        <w:t xml:space="preserve"> </w:t>
      </w:r>
      <w:r w:rsidRPr="00B34E8B">
        <w:rPr>
          <w:rFonts w:ascii="Raleway" w:hAnsi="Raleway"/>
          <w:b/>
          <w:bCs/>
          <w:sz w:val="20"/>
          <w:szCs w:val="20"/>
        </w:rPr>
        <w:t>Artículo 19.</w:t>
      </w:r>
      <w:r w:rsidRPr="00B34E8B">
        <w:rPr>
          <w:rFonts w:ascii="Raleway" w:hAnsi="Raleway"/>
          <w:sz w:val="20"/>
          <w:szCs w:val="20"/>
        </w:rPr>
        <w:t xml:space="preserve"> Las controversias constitucionales son improcedentes:</w:t>
      </w:r>
    </w:p>
    <w:p w14:paraId="4D7623E7" w14:textId="77777777" w:rsidR="008227F7" w:rsidRPr="00B34E8B" w:rsidRDefault="008227F7" w:rsidP="008227F7">
      <w:pPr>
        <w:pStyle w:val="Textonotapie"/>
        <w:rPr>
          <w:rFonts w:ascii="Raleway" w:hAnsi="Raleway"/>
        </w:rPr>
      </w:pPr>
      <w:r w:rsidRPr="00B34E8B">
        <w:rPr>
          <w:rFonts w:ascii="Raleway" w:hAnsi="Raleway"/>
        </w:rPr>
        <w:t>[…]</w:t>
      </w:r>
    </w:p>
    <w:p w14:paraId="484C4396" w14:textId="77777777" w:rsidR="008227F7" w:rsidRPr="00B34E8B" w:rsidRDefault="008227F7" w:rsidP="008227F7">
      <w:pPr>
        <w:pStyle w:val="Estilo"/>
        <w:rPr>
          <w:rFonts w:ascii="Raleway" w:hAnsi="Raleway"/>
          <w:sz w:val="20"/>
          <w:szCs w:val="20"/>
        </w:rPr>
      </w:pPr>
      <w:r w:rsidRPr="00B34E8B">
        <w:rPr>
          <w:rFonts w:ascii="Raleway" w:hAnsi="Raleway"/>
          <w:sz w:val="20"/>
          <w:szCs w:val="20"/>
        </w:rPr>
        <w:t>V. Cuando hayan cesado los efectos de la norma general o acto materia de la controversia;</w:t>
      </w:r>
    </w:p>
    <w:p w14:paraId="30C9B632" w14:textId="77777777" w:rsidR="008227F7" w:rsidRPr="00B34E8B" w:rsidRDefault="008227F7" w:rsidP="008227F7">
      <w:pPr>
        <w:pStyle w:val="Textonotapie"/>
        <w:rPr>
          <w:rFonts w:ascii="Raleway" w:hAnsi="Raleway"/>
        </w:rPr>
      </w:pPr>
    </w:p>
  </w:footnote>
  <w:footnote w:id="9">
    <w:p w14:paraId="455F7ACC" w14:textId="77777777" w:rsidR="008227F7" w:rsidRPr="00B34E8B" w:rsidRDefault="008227F7" w:rsidP="008227F7">
      <w:pPr>
        <w:spacing w:line="240" w:lineRule="auto"/>
        <w:rPr>
          <w:rFonts w:ascii="Raleway" w:hAnsi="Raleway"/>
          <w:color w:val="000000" w:themeColor="text1"/>
          <w:sz w:val="20"/>
          <w:szCs w:val="20"/>
        </w:rPr>
      </w:pPr>
      <w:r w:rsidRPr="00B34E8B">
        <w:rPr>
          <w:rStyle w:val="Refdenotaalpie"/>
          <w:rFonts w:ascii="Raleway" w:hAnsi="Raleway"/>
          <w:sz w:val="20"/>
          <w:szCs w:val="20"/>
        </w:rPr>
        <w:footnoteRef/>
      </w:r>
      <w:r w:rsidRPr="00B34E8B">
        <w:rPr>
          <w:rFonts w:ascii="Raleway" w:hAnsi="Raleway"/>
          <w:sz w:val="20"/>
          <w:szCs w:val="20"/>
        </w:rPr>
        <w:t xml:space="preserve"> </w:t>
      </w:r>
      <w:r w:rsidRPr="00B34E8B">
        <w:rPr>
          <w:rFonts w:ascii="Raleway" w:hAnsi="Raleway"/>
          <w:color w:val="000000" w:themeColor="text1"/>
          <w:sz w:val="20"/>
          <w:szCs w:val="20"/>
        </w:rPr>
        <w:t>“Decreto por el que se reforman, adicionan y derogan disposiciones de la Ley Minera, de la Ley de Aguas Nacionales, de la Ley General del Equilibrio Ecológico y la Protección al Ambiente y de la Ley General para la Prevención y Gestión Integral de los Residuos, en materia de concesiones para minería y agua”.</w:t>
      </w:r>
    </w:p>
    <w:p w14:paraId="7AF6CDC1" w14:textId="77777777" w:rsidR="008227F7" w:rsidRDefault="008227F7" w:rsidP="008227F7">
      <w:pPr>
        <w:pStyle w:val="Textonotapie"/>
      </w:pPr>
    </w:p>
  </w:footnote>
  <w:footnote w:id="10">
    <w:p w14:paraId="694069A9" w14:textId="77777777" w:rsidR="008227F7" w:rsidRPr="00010977" w:rsidRDefault="008227F7" w:rsidP="008227F7">
      <w:pPr>
        <w:pStyle w:val="Textonotapie"/>
        <w:rPr>
          <w:rFonts w:ascii="Raleway" w:hAnsi="Raleway"/>
        </w:rPr>
      </w:pPr>
      <w:r>
        <w:rPr>
          <w:rStyle w:val="Refdenotaalpie"/>
        </w:rPr>
        <w:footnoteRef/>
      </w:r>
      <w:r>
        <w:t xml:space="preserve"> </w:t>
      </w:r>
      <w:r w:rsidRPr="00010977">
        <w:rPr>
          <w:rFonts w:ascii="Raleway" w:hAnsi="Raleway"/>
          <w:b/>
          <w:bCs/>
        </w:rPr>
        <w:t xml:space="preserve">Sexto. </w:t>
      </w:r>
      <w:r w:rsidRPr="00010977">
        <w:rPr>
          <w:rFonts w:ascii="Raleway" w:hAnsi="Raleway"/>
        </w:rPr>
        <w:t>Las concesiones de exploración y explotación otorgadas con anterioridad a la entrada en vigor del presente Decreto tendrán la duración prevista en el título respectivo.</w:t>
      </w:r>
    </w:p>
  </w:footnote>
  <w:footnote w:id="11">
    <w:p w14:paraId="67225EAB" w14:textId="77777777" w:rsidR="008227F7" w:rsidRPr="00C0287F" w:rsidRDefault="008227F7" w:rsidP="008227F7">
      <w:pPr>
        <w:pStyle w:val="Estilo"/>
        <w:rPr>
          <w:rFonts w:ascii="Raleway" w:hAnsi="Raleway"/>
          <w:sz w:val="20"/>
          <w:szCs w:val="20"/>
        </w:rPr>
      </w:pPr>
      <w:r w:rsidRPr="00C0287F">
        <w:rPr>
          <w:rStyle w:val="Refdenotaalpie"/>
          <w:rFonts w:ascii="Raleway" w:hAnsi="Raleway"/>
          <w:sz w:val="20"/>
          <w:szCs w:val="20"/>
        </w:rPr>
        <w:footnoteRef/>
      </w:r>
      <w:r w:rsidRPr="00C0287F">
        <w:rPr>
          <w:rFonts w:ascii="Raleway" w:hAnsi="Raleway"/>
          <w:sz w:val="20"/>
          <w:szCs w:val="20"/>
        </w:rPr>
        <w:t xml:space="preserve"> </w:t>
      </w:r>
      <w:r w:rsidRPr="00C0287F">
        <w:rPr>
          <w:rFonts w:ascii="Raleway" w:hAnsi="Raleway"/>
          <w:b/>
          <w:bCs/>
          <w:sz w:val="20"/>
          <w:szCs w:val="20"/>
        </w:rPr>
        <w:t>Tercero.</w:t>
      </w:r>
      <w:r w:rsidRPr="00C0287F">
        <w:rPr>
          <w:rFonts w:ascii="Raleway" w:hAnsi="Raleway"/>
          <w:sz w:val="20"/>
          <w:szCs w:val="20"/>
        </w:rPr>
        <w:t xml:space="preserve"> El Ejecutivo Federal, dentro de los noventa días hábiles posteriores a la entrada en vigor del presente Decreto, emitirá conforme a la Ley Federal de las Entidades Paraestatales, el instrumento de creación del organismo público descentralizado a que se refiere el artículo 10 de la Ley.</w:t>
      </w:r>
    </w:p>
    <w:p w14:paraId="2C96C401" w14:textId="77777777" w:rsidR="008227F7" w:rsidRPr="00C0287F" w:rsidRDefault="008227F7" w:rsidP="008227F7">
      <w:pPr>
        <w:pStyle w:val="Estilo"/>
        <w:rPr>
          <w:rFonts w:ascii="Raleway" w:hAnsi="Raleway"/>
          <w:sz w:val="20"/>
          <w:szCs w:val="20"/>
        </w:rPr>
      </w:pPr>
    </w:p>
    <w:p w14:paraId="2EEA13D6" w14:textId="77777777" w:rsidR="008227F7" w:rsidRPr="00C0287F" w:rsidRDefault="008227F7" w:rsidP="008227F7">
      <w:pPr>
        <w:pStyle w:val="Estilo"/>
        <w:rPr>
          <w:rFonts w:ascii="Raleway" w:hAnsi="Raleway"/>
          <w:sz w:val="20"/>
          <w:szCs w:val="20"/>
        </w:rPr>
      </w:pPr>
      <w:r w:rsidRPr="00C0287F">
        <w:rPr>
          <w:rFonts w:ascii="Raleway" w:hAnsi="Raleway"/>
          <w:sz w:val="20"/>
          <w:szCs w:val="20"/>
        </w:rPr>
        <w:t>Las erogaciones que se generen con motivo de la entrada en vigor del presente Decreto, incluyendo la creación del organismo señalado en el párrafo anterior, se cubrirán mediante movimientos compensados, conforme a las disposiciones jurídicas aplicables, con cargo al presupuesto de la dependencia que asuma las funciones de coordinación sectorial del citado organismo de acuerdo con el Decreto de creación, por lo que no se autorizarán ampliaciones al presupuesto del ramo correspondiente para el presente ejercicio fiscal para estos efectos.</w:t>
      </w:r>
    </w:p>
    <w:p w14:paraId="6507B86E" w14:textId="77777777" w:rsidR="008227F7" w:rsidRDefault="008227F7" w:rsidP="008227F7">
      <w:pPr>
        <w:pStyle w:val="Textonotapie"/>
      </w:pPr>
    </w:p>
  </w:footnote>
  <w:footnote w:id="12">
    <w:p w14:paraId="743B3CEF" w14:textId="77777777" w:rsidR="008227F7" w:rsidRPr="00C0287F" w:rsidRDefault="008227F7" w:rsidP="008227F7">
      <w:pPr>
        <w:spacing w:line="240" w:lineRule="auto"/>
        <w:rPr>
          <w:rFonts w:ascii="Raleway" w:hAnsi="Raleway"/>
          <w:color w:val="000000" w:themeColor="text1"/>
          <w:sz w:val="20"/>
          <w:szCs w:val="20"/>
          <w:lang w:val="es-ES"/>
        </w:rPr>
      </w:pPr>
      <w:r w:rsidRPr="00C0287F">
        <w:rPr>
          <w:rStyle w:val="Refdenotaalpie"/>
          <w:rFonts w:ascii="Raleway" w:hAnsi="Raleway"/>
          <w:color w:val="000000" w:themeColor="text1"/>
          <w:sz w:val="20"/>
          <w:szCs w:val="20"/>
        </w:rPr>
        <w:footnoteRef/>
      </w:r>
      <w:r w:rsidRPr="00C0287F">
        <w:rPr>
          <w:rFonts w:ascii="Raleway" w:hAnsi="Raleway"/>
          <w:color w:val="000000" w:themeColor="text1"/>
          <w:sz w:val="20"/>
          <w:szCs w:val="20"/>
        </w:rPr>
        <w:t xml:space="preserve"> Convenio 169. Consulta previa. Organización Internacional del Trabajo. </w:t>
      </w:r>
    </w:p>
  </w:footnote>
  <w:footnote w:id="13">
    <w:p w14:paraId="1F9D8906" w14:textId="6CF8022F" w:rsidR="008227F7" w:rsidRPr="00C0287F" w:rsidRDefault="008227F7" w:rsidP="008227F7">
      <w:pPr>
        <w:pStyle w:val="Textonotapie"/>
        <w:rPr>
          <w:rFonts w:ascii="Raleway" w:hAnsi="Raleway"/>
          <w:color w:val="000000" w:themeColor="text1"/>
        </w:rPr>
      </w:pPr>
      <w:r w:rsidRPr="00C0287F">
        <w:rPr>
          <w:rStyle w:val="Refdenotaalpie"/>
          <w:rFonts w:ascii="Raleway" w:hAnsi="Raleway"/>
        </w:rPr>
        <w:footnoteRef/>
      </w:r>
      <w:r w:rsidRPr="00C0287F">
        <w:rPr>
          <w:rFonts w:ascii="Raleway" w:hAnsi="Raleway"/>
        </w:rPr>
        <w:t xml:space="preserve"> </w:t>
      </w:r>
      <w:r w:rsidRPr="00C0287F">
        <w:rPr>
          <w:rFonts w:ascii="Raleway" w:hAnsi="Raleway"/>
          <w:color w:val="000000" w:themeColor="text1"/>
        </w:rPr>
        <w:t xml:space="preserve">Por eso mismo el Pleno abandonó el criterio alguna vez sostenido por la Segunda Sala que requería una afectación en grado “predominante” o “significativo”. Tesis 2a. XXVII/2016 (10a.), </w:t>
      </w:r>
      <w:r w:rsidR="001C0480" w:rsidRPr="001C0480">
        <w:rPr>
          <w:rFonts w:ascii="Raleway" w:hAnsi="Raleway"/>
          <w:color w:val="000000" w:themeColor="text1"/>
        </w:rPr>
        <w:t>Registro digital</w:t>
      </w:r>
      <w:r w:rsidR="001C0480">
        <w:rPr>
          <w:rFonts w:ascii="Raleway" w:hAnsi="Raleway"/>
          <w:b/>
          <w:bCs/>
          <w:color w:val="000000" w:themeColor="text1"/>
        </w:rPr>
        <w:t xml:space="preserve"> </w:t>
      </w:r>
      <w:r w:rsidR="001C0480" w:rsidRPr="001C0480">
        <w:rPr>
          <w:rFonts w:ascii="Raleway" w:hAnsi="Raleway"/>
          <w:color w:val="000000" w:themeColor="text1"/>
        </w:rPr>
        <w:t>2011957</w:t>
      </w:r>
      <w:r w:rsidR="001C0480">
        <w:rPr>
          <w:rFonts w:ascii="Raleway" w:hAnsi="Raleway"/>
          <w:color w:val="000000" w:themeColor="text1"/>
        </w:rPr>
        <w:t>.</w:t>
      </w:r>
      <w:r w:rsidR="001C0480" w:rsidRPr="001C0480">
        <w:rPr>
          <w:rFonts w:ascii="Raleway" w:hAnsi="Raleway"/>
          <w:color w:val="000000" w:themeColor="text1"/>
        </w:rPr>
        <w:t xml:space="preserve"> </w:t>
      </w:r>
      <w:r w:rsidRPr="00C0287F">
        <w:rPr>
          <w:rFonts w:ascii="Raleway" w:hAnsi="Raleway"/>
          <w:color w:val="000000" w:themeColor="text1"/>
        </w:rPr>
        <w:t>Gaceta del Semanario Judicial de la Federación. Libro 31, Junio de 2016, Tomo II, página 1213. De rubro: PUEBLOS Y COMUNIDADES INDÍGENAS. EN SU DERECHO A SER CONSULTADOS, EL ESTÁNDAR DE IMPACTO SIGNIFICATIVO CONSTITUYE ELEMENTO ESENCIAL PARA QUE PROCEDA.</w:t>
      </w:r>
    </w:p>
    <w:p w14:paraId="799E69BE" w14:textId="77777777" w:rsidR="008227F7" w:rsidRPr="00C0287F" w:rsidRDefault="008227F7" w:rsidP="008227F7">
      <w:pPr>
        <w:pStyle w:val="Textonotapie"/>
        <w:rPr>
          <w:rFonts w:ascii="Raleway" w:hAnsi="Raleway"/>
        </w:rPr>
      </w:pPr>
    </w:p>
  </w:footnote>
  <w:footnote w:id="14">
    <w:p w14:paraId="4D4B9190" w14:textId="77777777" w:rsidR="008227F7" w:rsidRPr="00F858E5" w:rsidRDefault="008227F7" w:rsidP="008227F7">
      <w:pPr>
        <w:pStyle w:val="Textonotapie"/>
        <w:rPr>
          <w:color w:val="000000" w:themeColor="text1"/>
        </w:rPr>
      </w:pPr>
      <w:r w:rsidRPr="00C0287F">
        <w:rPr>
          <w:rStyle w:val="Refdenotaalpie"/>
          <w:rFonts w:ascii="Raleway" w:hAnsi="Raleway"/>
          <w:color w:val="000000" w:themeColor="text1"/>
        </w:rPr>
        <w:footnoteRef/>
      </w:r>
      <w:r w:rsidRPr="00C0287F">
        <w:rPr>
          <w:rFonts w:ascii="Raleway" w:hAnsi="Raleway"/>
          <w:color w:val="000000" w:themeColor="text1"/>
        </w:rPr>
        <w:t xml:space="preserve"> Véase sentencia C-175/09 de la Corte Constitucional de Colombia. En donde se invalidó la ley por la cual se dictó el estatuto de Desarrollo Rural por falta de consulta previa adecuada a las comunidades indígenas. Dicha ley preveía un régimen general y sistemático en materia de uso y aprovechamiento de los territorios rurales.</w:t>
      </w:r>
    </w:p>
  </w:footnote>
  <w:footnote w:id="15">
    <w:p w14:paraId="671C1EBF" w14:textId="77777777" w:rsidR="008227F7" w:rsidRPr="00C0287F" w:rsidRDefault="008227F7" w:rsidP="008227F7">
      <w:pPr>
        <w:spacing w:line="240" w:lineRule="auto"/>
        <w:rPr>
          <w:rFonts w:ascii="Raleway" w:hAnsi="Raleway"/>
          <w:b/>
          <w:bCs/>
          <w:color w:val="000000" w:themeColor="text1"/>
          <w:sz w:val="20"/>
          <w:szCs w:val="20"/>
        </w:rPr>
      </w:pPr>
      <w:r w:rsidRPr="00C0287F">
        <w:rPr>
          <w:rStyle w:val="Refdenotaalpie"/>
          <w:rFonts w:ascii="Raleway" w:hAnsi="Raleway"/>
          <w:color w:val="000000" w:themeColor="text1"/>
          <w:sz w:val="20"/>
          <w:szCs w:val="20"/>
        </w:rPr>
        <w:footnoteRef/>
      </w:r>
      <w:r w:rsidRPr="00C0287F">
        <w:rPr>
          <w:rFonts w:ascii="Raleway" w:hAnsi="Raleway"/>
          <w:color w:val="000000" w:themeColor="text1"/>
          <w:sz w:val="20"/>
          <w:szCs w:val="20"/>
        </w:rPr>
        <w:t xml:space="preserve"> </w:t>
      </w:r>
      <w:r w:rsidRPr="00C0287F">
        <w:rPr>
          <w:rFonts w:ascii="Raleway" w:hAnsi="Raleway"/>
          <w:b/>
          <w:bCs/>
          <w:color w:val="000000" w:themeColor="text1"/>
          <w:sz w:val="20"/>
          <w:szCs w:val="20"/>
        </w:rPr>
        <w:t xml:space="preserve">Convenio OIT. </w:t>
      </w:r>
    </w:p>
    <w:p w14:paraId="3CD472A2" w14:textId="77777777" w:rsidR="008227F7" w:rsidRPr="00C0287F" w:rsidRDefault="008227F7" w:rsidP="008227F7">
      <w:pPr>
        <w:spacing w:line="240" w:lineRule="auto"/>
        <w:rPr>
          <w:rFonts w:ascii="Raleway" w:hAnsi="Raleway"/>
          <w:color w:val="000000" w:themeColor="text1"/>
          <w:sz w:val="20"/>
          <w:szCs w:val="20"/>
        </w:rPr>
      </w:pPr>
      <w:r w:rsidRPr="00C0287F">
        <w:rPr>
          <w:rFonts w:ascii="Raleway" w:hAnsi="Raleway"/>
          <w:b/>
          <w:bCs/>
          <w:color w:val="000000" w:themeColor="text1"/>
          <w:sz w:val="20"/>
          <w:szCs w:val="20"/>
        </w:rPr>
        <w:t xml:space="preserve">Artículo 15. </w:t>
      </w:r>
    </w:p>
    <w:p w14:paraId="3D3E843F" w14:textId="77777777" w:rsidR="008227F7" w:rsidRPr="00C0287F" w:rsidRDefault="008227F7" w:rsidP="008227F7">
      <w:pPr>
        <w:spacing w:line="240" w:lineRule="auto"/>
        <w:rPr>
          <w:rFonts w:ascii="Raleway" w:hAnsi="Raleway"/>
          <w:color w:val="000000" w:themeColor="text1"/>
          <w:sz w:val="20"/>
          <w:szCs w:val="20"/>
        </w:rPr>
      </w:pPr>
      <w:r w:rsidRPr="00C0287F">
        <w:rPr>
          <w:rFonts w:ascii="Raleway" w:hAnsi="Raleway"/>
          <w:color w:val="000000" w:themeColor="text1"/>
          <w:sz w:val="20"/>
          <w:szCs w:val="20"/>
        </w:rPr>
        <w:t>[…]</w:t>
      </w:r>
    </w:p>
    <w:p w14:paraId="22644519" w14:textId="77777777" w:rsidR="008227F7" w:rsidRPr="00C0287F" w:rsidRDefault="008227F7" w:rsidP="008227F7">
      <w:pPr>
        <w:spacing w:line="240" w:lineRule="auto"/>
        <w:rPr>
          <w:rFonts w:ascii="Raleway" w:hAnsi="Raleway"/>
          <w:color w:val="000000" w:themeColor="text1"/>
        </w:rPr>
      </w:pPr>
      <w:r w:rsidRPr="00C0287F">
        <w:rPr>
          <w:rFonts w:ascii="Raleway" w:hAnsi="Raleway"/>
          <w:color w:val="000000" w:themeColor="text1"/>
          <w:sz w:val="20"/>
          <w:szCs w:val="20"/>
        </w:rPr>
        <w:t>2. En caso de que pertenezca al Estado la propiedad de los minerales o de los recursos del subsuelo, o tenga derechos sobre otros recursos existentes en las tierras, los gobiernos deberán establecer o mantener procedimientos con miras a consultar a los pueblos interesados, a fin de determinar si los intereses de esos pueblos serían perjudicados, y en qué medida, antes de emprender o autorizar cualquier programa de prospección o explotación de los recursos existentes en sus tierras. Los pueblos interesados deberán participar siempre que sea posible en los beneficios que reporten tales actividades, y percibir una indemnización equitativa por cualquier daño que puedan sufrir como resultado de esas actividades.</w:t>
      </w:r>
    </w:p>
  </w:footnote>
  <w:footnote w:id="16">
    <w:p w14:paraId="7BBB8C3F" w14:textId="77777777" w:rsidR="008227F7" w:rsidRPr="00C0287F" w:rsidRDefault="008227F7" w:rsidP="008227F7">
      <w:pPr>
        <w:pStyle w:val="Textonotapie"/>
        <w:rPr>
          <w:rFonts w:ascii="Raleway" w:hAnsi="Raleway"/>
          <w:color w:val="000000" w:themeColor="text1"/>
        </w:rPr>
      </w:pPr>
      <w:r w:rsidRPr="00C0287F">
        <w:rPr>
          <w:rStyle w:val="Refdenotaalpie"/>
          <w:rFonts w:ascii="Raleway" w:hAnsi="Raleway"/>
          <w:color w:val="000000" w:themeColor="text1"/>
        </w:rPr>
        <w:footnoteRef/>
      </w:r>
      <w:r w:rsidRPr="00C0287F">
        <w:rPr>
          <w:rFonts w:ascii="Raleway" w:hAnsi="Raleway"/>
          <w:color w:val="000000" w:themeColor="text1"/>
        </w:rPr>
        <w:t xml:space="preserve"> </w:t>
      </w:r>
      <w:r w:rsidRPr="00C0287F">
        <w:rPr>
          <w:rFonts w:ascii="Raleway" w:hAnsi="Raleway"/>
          <w:b/>
          <w:bCs/>
          <w:color w:val="000000" w:themeColor="text1"/>
        </w:rPr>
        <w:t xml:space="preserve">Artículo 16. </w:t>
      </w:r>
    </w:p>
    <w:p w14:paraId="6500479E" w14:textId="77777777" w:rsidR="008227F7" w:rsidRPr="00C0287F" w:rsidRDefault="008227F7" w:rsidP="00494272">
      <w:pPr>
        <w:pStyle w:val="Prrafodelista"/>
        <w:numPr>
          <w:ilvl w:val="0"/>
          <w:numId w:val="16"/>
        </w:numPr>
        <w:pBdr>
          <w:top w:val="nil"/>
          <w:left w:val="nil"/>
          <w:bottom w:val="nil"/>
          <w:right w:val="nil"/>
          <w:between w:val="nil"/>
          <w:bar w:val="nil"/>
        </w:pBdr>
        <w:spacing w:before="0" w:after="0" w:line="240" w:lineRule="auto"/>
        <w:ind w:left="0" w:hanging="11"/>
        <w:rPr>
          <w:rFonts w:ascii="Raleway" w:hAnsi="Raleway"/>
          <w:color w:val="000000" w:themeColor="text1"/>
          <w:sz w:val="20"/>
          <w:szCs w:val="20"/>
        </w:rPr>
      </w:pPr>
      <w:r w:rsidRPr="00C0287F">
        <w:rPr>
          <w:rFonts w:ascii="Raleway" w:hAnsi="Raleway"/>
          <w:color w:val="000000" w:themeColor="text1"/>
          <w:sz w:val="20"/>
          <w:szCs w:val="20"/>
        </w:rPr>
        <w:t>A reserva de lo dispuesto en los párrafos siguientes de este artículo, los pueblos interesados no deberán ser trasladados de las tierras que ocupan.</w:t>
      </w:r>
    </w:p>
    <w:p w14:paraId="56C8669E" w14:textId="77777777" w:rsidR="008227F7" w:rsidRPr="00C0287F" w:rsidRDefault="008227F7" w:rsidP="008227F7">
      <w:pPr>
        <w:spacing w:line="240" w:lineRule="auto"/>
        <w:rPr>
          <w:rFonts w:ascii="Raleway" w:hAnsi="Raleway"/>
          <w:color w:val="000000" w:themeColor="text1"/>
        </w:rPr>
      </w:pPr>
      <w:r w:rsidRPr="00C0287F">
        <w:rPr>
          <w:rFonts w:ascii="Raleway" w:hAnsi="Raleway"/>
          <w:color w:val="000000" w:themeColor="text1"/>
          <w:sz w:val="20"/>
          <w:szCs w:val="20"/>
        </w:rPr>
        <w:t>2. Cuando excepcionalmente el traslado y la reubicación de esos pueblos se consideren necesarios, sólo deberán efectuarse con su consentimiento, dado libremente y con pleno conocimiento de causa. Cuando no pueda obtenerse su consentimiento, el traslado y la reubicación sólo deberá tener lugar al término de procedimientos adecuados establecidos por la legislación nacional, incluidas encuestas públicas, cuando haya lugar, en que los pueblos interesados tengan la posibilidad de estar efectivamente representados.</w:t>
      </w:r>
    </w:p>
  </w:footnote>
  <w:footnote w:id="17">
    <w:p w14:paraId="61159CA7" w14:textId="77777777" w:rsidR="008227F7" w:rsidRPr="00C0287F" w:rsidRDefault="008227F7" w:rsidP="008227F7">
      <w:pPr>
        <w:spacing w:line="240" w:lineRule="auto"/>
        <w:rPr>
          <w:rFonts w:ascii="Raleway" w:hAnsi="Raleway"/>
          <w:color w:val="000000" w:themeColor="text1"/>
          <w:sz w:val="20"/>
          <w:szCs w:val="20"/>
        </w:rPr>
      </w:pPr>
      <w:r w:rsidRPr="00C0287F">
        <w:rPr>
          <w:rStyle w:val="Refdenotaalpie"/>
          <w:rFonts w:ascii="Raleway" w:hAnsi="Raleway"/>
          <w:color w:val="000000" w:themeColor="text1"/>
          <w:sz w:val="20"/>
          <w:szCs w:val="20"/>
        </w:rPr>
        <w:footnoteRef/>
      </w:r>
      <w:r w:rsidRPr="00C0287F">
        <w:rPr>
          <w:rFonts w:ascii="Raleway" w:hAnsi="Raleway"/>
          <w:color w:val="000000" w:themeColor="text1"/>
          <w:sz w:val="20"/>
          <w:szCs w:val="20"/>
        </w:rPr>
        <w:t xml:space="preserve"> </w:t>
      </w:r>
      <w:r w:rsidRPr="00C0287F">
        <w:rPr>
          <w:rFonts w:ascii="Raleway" w:hAnsi="Raleway"/>
          <w:b/>
          <w:bCs/>
          <w:color w:val="000000" w:themeColor="text1"/>
          <w:sz w:val="20"/>
          <w:szCs w:val="20"/>
        </w:rPr>
        <w:t>Artículo 32.</w:t>
      </w:r>
      <w:r w:rsidRPr="00C0287F">
        <w:rPr>
          <w:rFonts w:ascii="Raleway" w:hAnsi="Raleway"/>
          <w:color w:val="000000" w:themeColor="text1"/>
          <w:sz w:val="20"/>
          <w:szCs w:val="20"/>
        </w:rPr>
        <w:t xml:space="preserve"> […]</w:t>
      </w:r>
    </w:p>
    <w:p w14:paraId="1527AA08" w14:textId="77777777" w:rsidR="008227F7" w:rsidRPr="00C311E5" w:rsidRDefault="008227F7" w:rsidP="008227F7">
      <w:pPr>
        <w:spacing w:line="240" w:lineRule="auto"/>
      </w:pPr>
      <w:r w:rsidRPr="00C0287F">
        <w:rPr>
          <w:rFonts w:ascii="Raleway" w:hAnsi="Raleway"/>
          <w:color w:val="000000" w:themeColor="text1"/>
          <w:sz w:val="20"/>
          <w:szCs w:val="20"/>
        </w:rPr>
        <w:t>2. Los Estados celebrarán consultas y cooperarán de buena fe con los pueblos indígenas interesados por conducto de sus propias instituciones representativas a fin de obtener su consentimiento libre e informado antes de aprobar cualquier proyecto que afecte a sus tierras o territorios y otros recursos, particularmente en relación con el desarrollo, la utilización o la explotación de recursos minerales, hídricos o de otro tipo.</w:t>
      </w:r>
    </w:p>
  </w:footnote>
  <w:footnote w:id="18">
    <w:p w14:paraId="2DB2B5F2" w14:textId="77777777" w:rsidR="008227F7" w:rsidRPr="00C0287F" w:rsidRDefault="008227F7" w:rsidP="008227F7">
      <w:pPr>
        <w:pStyle w:val="Textonotapie"/>
        <w:rPr>
          <w:rFonts w:ascii="Raleway" w:hAnsi="Raleway"/>
        </w:rPr>
      </w:pPr>
      <w:r w:rsidRPr="00C0287F">
        <w:rPr>
          <w:rStyle w:val="Refdenotaalpie"/>
          <w:rFonts w:ascii="Raleway" w:hAnsi="Raleway"/>
        </w:rPr>
        <w:footnoteRef/>
      </w:r>
      <w:r w:rsidRPr="00C0287F">
        <w:rPr>
          <w:rFonts w:ascii="Raleway" w:hAnsi="Raleway"/>
        </w:rPr>
        <w:t xml:space="preserve"> Resuelto en sesión de dieciséis de febrero del dos mil veintidós, por unanimidad de cinco votos.</w:t>
      </w:r>
    </w:p>
  </w:footnote>
  <w:footnote w:id="19">
    <w:p w14:paraId="3BFAD1DE" w14:textId="77777777" w:rsidR="008227F7" w:rsidRPr="00457BB6" w:rsidRDefault="008227F7" w:rsidP="008227F7">
      <w:pPr>
        <w:pStyle w:val="Textonotapie"/>
        <w:rPr>
          <w:rFonts w:ascii="Raleway" w:hAnsi="Raleway"/>
        </w:rPr>
      </w:pPr>
      <w:r w:rsidRPr="00457BB6">
        <w:rPr>
          <w:rStyle w:val="Refdenotaalpie"/>
          <w:rFonts w:ascii="Raleway" w:hAnsi="Raleway"/>
        </w:rPr>
        <w:footnoteRef/>
      </w:r>
      <w:r w:rsidRPr="00457BB6">
        <w:rPr>
          <w:rFonts w:ascii="Raleway" w:hAnsi="Raleway"/>
        </w:rPr>
        <w:t xml:space="preserve"> Acción de inconstitucionalidad 101/2017 y su acumulada 116/2017; acción de inconstitucionalidad 100/2017; y acción de inconstitucionalidad 47/2018 y su acumulada 48/2018. </w:t>
      </w:r>
    </w:p>
  </w:footnote>
  <w:footnote w:id="20">
    <w:p w14:paraId="2051FA08" w14:textId="4FCAD4F6" w:rsidR="008227F7" w:rsidRPr="00457BB6" w:rsidRDefault="008227F7" w:rsidP="008227F7">
      <w:pPr>
        <w:spacing w:line="240" w:lineRule="auto"/>
        <w:rPr>
          <w:rFonts w:ascii="Raleway" w:hAnsi="Raleway"/>
        </w:rPr>
      </w:pPr>
      <w:r w:rsidRPr="00457BB6">
        <w:rPr>
          <w:rStyle w:val="Refdenotaalpie"/>
          <w:rFonts w:ascii="Raleway" w:hAnsi="Raleway"/>
          <w:color w:val="000000" w:themeColor="text1"/>
          <w:sz w:val="20"/>
          <w:szCs w:val="20"/>
        </w:rPr>
        <w:footnoteRef/>
      </w:r>
      <w:r w:rsidRPr="00457BB6">
        <w:rPr>
          <w:rFonts w:ascii="Raleway" w:hAnsi="Raleway"/>
          <w:color w:val="000000" w:themeColor="text1"/>
          <w:sz w:val="20"/>
          <w:szCs w:val="20"/>
        </w:rPr>
        <w:t xml:space="preserve"> Al respecto, véase tesis jurisprudencial 1a./J. 60/2022 (11a.)</w:t>
      </w:r>
      <w:r w:rsidR="001C0480">
        <w:rPr>
          <w:rFonts w:ascii="Raleway" w:hAnsi="Raleway"/>
          <w:color w:val="000000" w:themeColor="text1"/>
          <w:sz w:val="20"/>
          <w:szCs w:val="20"/>
        </w:rPr>
        <w:t>,</w:t>
      </w:r>
      <w:r w:rsidRPr="00457BB6">
        <w:rPr>
          <w:rFonts w:ascii="Raleway" w:hAnsi="Raleway"/>
          <w:color w:val="000000" w:themeColor="text1"/>
          <w:sz w:val="20"/>
          <w:szCs w:val="20"/>
        </w:rPr>
        <w:t xml:space="preserve"> </w:t>
      </w:r>
      <w:r w:rsidR="001C0480" w:rsidRPr="001C0480">
        <w:rPr>
          <w:rFonts w:ascii="Raleway" w:hAnsi="Raleway"/>
          <w:color w:val="000000" w:themeColor="text1"/>
          <w:sz w:val="20"/>
          <w:szCs w:val="20"/>
        </w:rPr>
        <w:t>Gaceta del Semanario Judicial de la Federación, Libro 14, Junio de 2022, Tomo V, página 4022, Registro digital 2024739</w:t>
      </w:r>
      <w:r w:rsidR="001C0480">
        <w:rPr>
          <w:rFonts w:ascii="Raleway" w:hAnsi="Raleway"/>
          <w:color w:val="000000" w:themeColor="text1"/>
          <w:sz w:val="20"/>
          <w:szCs w:val="20"/>
        </w:rPr>
        <w:t>,</w:t>
      </w:r>
      <w:r w:rsidR="001C0480" w:rsidRPr="001C0480">
        <w:rPr>
          <w:rFonts w:ascii="Raleway" w:hAnsi="Raleway"/>
          <w:color w:val="000000" w:themeColor="text1"/>
          <w:sz w:val="20"/>
          <w:szCs w:val="20"/>
        </w:rPr>
        <w:t xml:space="preserve"> </w:t>
      </w:r>
      <w:r w:rsidRPr="00457BB6">
        <w:rPr>
          <w:rFonts w:ascii="Raleway" w:hAnsi="Raleway"/>
          <w:color w:val="000000" w:themeColor="text1"/>
          <w:sz w:val="20"/>
          <w:szCs w:val="20"/>
        </w:rPr>
        <w:t>de rubro: “</w:t>
      </w:r>
      <w:r w:rsidRPr="00457BB6">
        <w:rPr>
          <w:rFonts w:ascii="Raleway" w:hAnsi="Raleway"/>
          <w:b/>
          <w:bCs/>
          <w:color w:val="000000" w:themeColor="text1"/>
          <w:sz w:val="20"/>
          <w:szCs w:val="20"/>
        </w:rPr>
        <w:t>CONSULTA PREVIA A LAS COMUNIDADES Y PUEBLOS INDÍGENAS. NO ERA EXIGIBLE QUE LA AUTORIDAD LEGISLATIVA LA REALIZARA RESPECTO DE LA EXPEDICIÓN DE LA LEY DE MINERÍA.</w:t>
      </w:r>
      <w:r w:rsidRPr="00457BB6">
        <w:rPr>
          <w:rFonts w:ascii="Raleway" w:hAnsi="Raleway"/>
          <w:color w:val="000000" w:themeColor="text1"/>
          <w:sz w:val="20"/>
          <w:szCs w:val="20"/>
        </w:rPr>
        <w:t>“</w:t>
      </w:r>
    </w:p>
  </w:footnote>
  <w:footnote w:id="21">
    <w:p w14:paraId="03F1CA38" w14:textId="77777777" w:rsidR="008227F7" w:rsidRPr="004A25EA" w:rsidRDefault="008227F7" w:rsidP="008227F7">
      <w:pPr>
        <w:pStyle w:val="Textonotapie"/>
      </w:pPr>
      <w:r w:rsidRPr="00457BB6">
        <w:rPr>
          <w:rStyle w:val="Refdenotaalpie"/>
          <w:rFonts w:ascii="Raleway" w:hAnsi="Raleway"/>
        </w:rPr>
        <w:footnoteRef/>
      </w:r>
      <w:r w:rsidRPr="00457BB6">
        <w:rPr>
          <w:rFonts w:ascii="Raleway" w:hAnsi="Raleway"/>
        </w:rPr>
        <w:t xml:space="preserve"> Resuelta por el Tribunal Pleno de la Suprema Corte en sesión de siete de diciembre del dos mil veintitrés.</w:t>
      </w:r>
      <w:r w:rsidRPr="004A25EA">
        <w:t xml:space="preserve"> </w:t>
      </w:r>
    </w:p>
  </w:footnote>
  <w:footnote w:id="22">
    <w:p w14:paraId="6DE77A7E" w14:textId="560FFC57" w:rsidR="008227F7" w:rsidRPr="00457BB6" w:rsidRDefault="008227F7" w:rsidP="008227F7">
      <w:pPr>
        <w:pStyle w:val="Textonotapie"/>
        <w:rPr>
          <w:rFonts w:ascii="Raleway" w:hAnsi="Raleway"/>
        </w:rPr>
      </w:pPr>
      <w:r w:rsidRPr="00457BB6">
        <w:rPr>
          <w:rStyle w:val="Refdenotaalpie"/>
          <w:rFonts w:ascii="Raleway" w:hAnsi="Raleway"/>
        </w:rPr>
        <w:footnoteRef/>
      </w:r>
      <w:r w:rsidRPr="00457BB6">
        <w:rPr>
          <w:rFonts w:ascii="Raleway" w:hAnsi="Raleway"/>
        </w:rPr>
        <w:t xml:space="preserve"> </w:t>
      </w:r>
      <w:r w:rsidRPr="001C0480">
        <w:rPr>
          <w:rFonts w:ascii="Raleway" w:hAnsi="Raleway"/>
        </w:rPr>
        <w:t>Tesis</w:t>
      </w:r>
      <w:r w:rsidR="001C0480" w:rsidRPr="001C0480">
        <w:rPr>
          <w:rFonts w:ascii="Raleway" w:hAnsi="Raleway"/>
        </w:rPr>
        <w:t xml:space="preserve"> </w:t>
      </w:r>
      <w:r w:rsidRPr="001C0480">
        <w:rPr>
          <w:rFonts w:ascii="Raleway" w:hAnsi="Raleway"/>
        </w:rPr>
        <w:t>2a. XXVII</w:t>
      </w:r>
      <w:r w:rsidRPr="00457BB6">
        <w:rPr>
          <w:rFonts w:ascii="Raleway" w:hAnsi="Raleway"/>
        </w:rPr>
        <w:t>/2016 (10a.), Gaceta del Semanario Judicial de la Federación. Libro 31, Junio de 2016, Tomo II, página 1213. De rubro: PUEBLOS Y COMUNIDADES INDÍGENAS. EN SU DERECHO A SER CONSULTADOS, EL ESTÁNDAR DE IMPACTO SIGNIFICATIVO CONSTITUYE ELEMENTO ESENCIAL PARA QUE PROCEDA.</w:t>
      </w:r>
    </w:p>
    <w:p w14:paraId="64531DCC" w14:textId="77777777" w:rsidR="008227F7" w:rsidRPr="004A25EA" w:rsidRDefault="008227F7" w:rsidP="008227F7">
      <w:pPr>
        <w:pStyle w:val="Textonotapie"/>
      </w:pPr>
    </w:p>
  </w:footnote>
  <w:footnote w:id="23">
    <w:p w14:paraId="63AAF5D8" w14:textId="77777777" w:rsidR="008227F7" w:rsidRPr="00457BB6" w:rsidRDefault="008227F7" w:rsidP="008227F7">
      <w:pPr>
        <w:pStyle w:val="Textonotapie"/>
        <w:rPr>
          <w:rFonts w:ascii="Raleway" w:hAnsi="Raleway"/>
        </w:rPr>
      </w:pPr>
      <w:r w:rsidRPr="00457BB6">
        <w:rPr>
          <w:rStyle w:val="Refdenotaalpie"/>
          <w:rFonts w:ascii="Raleway" w:hAnsi="Raleway"/>
        </w:rPr>
        <w:footnoteRef/>
      </w:r>
      <w:r w:rsidRPr="00457BB6">
        <w:rPr>
          <w:rFonts w:ascii="Raleway" w:hAnsi="Raleway"/>
        </w:rPr>
        <w:t xml:space="preserve"> Véase el amparo en revisión 415/2015 de la extinta Segunda Sala.</w:t>
      </w:r>
    </w:p>
  </w:footnote>
  <w:footnote w:id="24">
    <w:p w14:paraId="30A65E66" w14:textId="77777777" w:rsidR="008227F7" w:rsidRPr="00457BB6" w:rsidRDefault="008227F7" w:rsidP="008227F7">
      <w:pPr>
        <w:pStyle w:val="Textonotapie"/>
        <w:rPr>
          <w:rFonts w:ascii="Raleway" w:hAnsi="Raleway"/>
          <w:b/>
          <w:bCs/>
          <w:color w:val="000000" w:themeColor="text1"/>
        </w:rPr>
      </w:pPr>
      <w:r w:rsidRPr="00457BB6">
        <w:rPr>
          <w:rStyle w:val="Refdenotaalpie"/>
          <w:rFonts w:ascii="Raleway" w:hAnsi="Raleway"/>
        </w:rPr>
        <w:footnoteRef/>
      </w:r>
      <w:r w:rsidRPr="00457BB6">
        <w:rPr>
          <w:rFonts w:ascii="Raleway" w:hAnsi="Raleway"/>
        </w:rPr>
        <w:t xml:space="preserve"> </w:t>
      </w:r>
      <w:r w:rsidRPr="00457BB6">
        <w:rPr>
          <w:rFonts w:ascii="Raleway" w:hAnsi="Raleway"/>
          <w:color w:val="000000" w:themeColor="text1"/>
        </w:rPr>
        <w:t xml:space="preserve">Como referencia, véase la tesis jurisprudencial P./J. 38/2006, del Semanario Judicial de la Federación y su Gaceta (Novena época), con número de registro 175592 de rubro </w:t>
      </w:r>
      <w:r w:rsidRPr="00457BB6">
        <w:rPr>
          <w:rFonts w:ascii="Raleway" w:hAnsi="Raleway"/>
          <w:b/>
          <w:bCs/>
          <w:color w:val="000000" w:themeColor="text1"/>
        </w:rPr>
        <w:t>EXPROPIACIÓN. ES FACULTAD DEL CONGRESO DE LA UNIÓN Y DE LAS LEGISLATURAS DE LOS ESTADOS ESTABLECER LEGALMENTE LAS CAUSAS DE UTILIDAD PÚBLICA QUE LA JUSTIFIQUEN.</w:t>
      </w:r>
    </w:p>
    <w:p w14:paraId="79803D5A" w14:textId="77777777" w:rsidR="008227F7" w:rsidRDefault="008227F7" w:rsidP="008227F7">
      <w:pPr>
        <w:pStyle w:val="Textonotapie"/>
      </w:pPr>
    </w:p>
  </w:footnote>
  <w:footnote w:id="25">
    <w:p w14:paraId="6551FBE2" w14:textId="761447BF" w:rsidR="0041625F" w:rsidRPr="0041625F" w:rsidRDefault="0041625F">
      <w:pPr>
        <w:pStyle w:val="Textonotapie"/>
        <w:rPr>
          <w:rFonts w:ascii="Raleway" w:hAnsi="Raleway"/>
          <w:sz w:val="24"/>
          <w:szCs w:val="24"/>
        </w:rPr>
      </w:pPr>
      <w:r w:rsidRPr="0041625F">
        <w:rPr>
          <w:rStyle w:val="Refdenotaalpie"/>
          <w:rFonts w:ascii="Raleway" w:hAnsi="Raleway"/>
          <w:sz w:val="24"/>
          <w:szCs w:val="24"/>
        </w:rPr>
        <w:footnoteRef/>
      </w:r>
      <w:r w:rsidRPr="0041625F">
        <w:rPr>
          <w:rFonts w:ascii="Raleway" w:hAnsi="Raleway"/>
          <w:sz w:val="24"/>
          <w:szCs w:val="24"/>
        </w:rPr>
        <w:t xml:space="preserve"> Las referencias a párrafos de los proyectos, a la separación de consideraciones, a la expresión de razones adicionales, y los votos anunciados o reservados, manifestados por integrantes del Tribunal Pleno, se hacen conforme a las propuestas originales listadas para la sesión pública respectiva; por tanto, pueden válidamente variar o no subsistir en la versión oficial del engrose, de conformidad con los ajustes o correcciones que se acuerden.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9EC7" w14:textId="77777777" w:rsidR="008227F7" w:rsidRDefault="008227F7" w:rsidP="00A06676">
    <w:pPr>
      <w:pStyle w:val="Encabezado"/>
      <w:jc w:val="center"/>
    </w:pPr>
    <w:r w:rsidRPr="00994A7E">
      <w:rPr>
        <w:rFonts w:ascii="Raleway" w:hAnsi="Raleway"/>
        <w:b/>
        <w:sz w:val="27"/>
        <w:szCs w:val="27"/>
      </w:rPr>
      <w:t>ACCIÓN DE INCONSTITUCIONALIDAD 78/2022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50D9" w14:textId="3A5BE0C4" w:rsidR="008227F7" w:rsidRPr="00994A7E" w:rsidRDefault="008227F7">
    <w:pPr>
      <w:jc w:val="center"/>
      <w:rPr>
        <w:rFonts w:ascii="Raleway" w:hAnsi="Raleway"/>
        <w:b/>
        <w:sz w:val="27"/>
        <w:szCs w:val="27"/>
      </w:rPr>
    </w:pPr>
    <w:r w:rsidRPr="00994A7E">
      <w:rPr>
        <w:rFonts w:ascii="Raleway" w:hAnsi="Raleway"/>
        <w:b/>
        <w:sz w:val="27"/>
        <w:szCs w:val="27"/>
      </w:rPr>
      <w:t>ACCIÓN DE INCONSTITUCIONALIDAD 78/2022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4FC5" w14:textId="1169A178" w:rsidR="002B77B2" w:rsidRPr="00D85CE2" w:rsidRDefault="002B77B2">
    <w:pPr>
      <w:pStyle w:val="Encabezado"/>
      <w:rPr>
        <w:rFonts w:ascii="Raleway" w:hAnsi="Raleway"/>
        <w:sz w:val="27"/>
        <w:szCs w:val="27"/>
      </w:rPr>
    </w:pPr>
    <w:r>
      <w:rPr>
        <w:b/>
        <w:bCs/>
      </w:rPr>
      <w:tab/>
    </w:r>
    <w:r w:rsidR="00175707" w:rsidRPr="00D85CE2">
      <w:rPr>
        <w:rFonts w:ascii="Raleway" w:hAnsi="Raleway"/>
        <w:b/>
        <w:bCs/>
        <w:sz w:val="27"/>
        <w:szCs w:val="27"/>
      </w:rPr>
      <w:t xml:space="preserve">                                            </w:t>
    </w:r>
    <w:r w:rsidR="006B12AC" w:rsidRPr="00994A7E">
      <w:rPr>
        <w:rFonts w:ascii="Raleway" w:hAnsi="Raleway"/>
        <w:b/>
        <w:sz w:val="27"/>
        <w:szCs w:val="27"/>
      </w:rPr>
      <w:t>ACCIÓN DE INCONSTITUCIONALIDAD 78/2022</w:t>
    </w:r>
  </w:p>
  <w:p w14:paraId="7F37FA0D" w14:textId="77777777" w:rsidR="002B77B2" w:rsidRPr="00D85CE2" w:rsidRDefault="002B77B2">
    <w:pPr>
      <w:rPr>
        <w:rFonts w:ascii="Raleway" w:hAnsi="Raleway"/>
        <w:sz w:val="27"/>
        <w:szCs w:val="2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EAF0B" w14:textId="29F9C2E6" w:rsidR="003237BD" w:rsidRPr="00D85CE2" w:rsidRDefault="006B12AC" w:rsidP="003237BD">
    <w:pPr>
      <w:pStyle w:val="Encabezado"/>
      <w:jc w:val="center"/>
      <w:rPr>
        <w:rFonts w:ascii="Raleway" w:hAnsi="Raleway"/>
        <w:b/>
        <w:bCs/>
        <w:sz w:val="27"/>
        <w:szCs w:val="27"/>
      </w:rPr>
    </w:pPr>
    <w:r w:rsidRPr="00994A7E">
      <w:rPr>
        <w:rFonts w:ascii="Raleway" w:hAnsi="Raleway"/>
        <w:b/>
        <w:sz w:val="27"/>
        <w:szCs w:val="27"/>
      </w:rPr>
      <w:t>ACCIÓN DE INCONSTITUCIONALIDAD 78/2022</w:t>
    </w:r>
    <w:r w:rsidR="003237BD" w:rsidRPr="00D85CE2">
      <w:rPr>
        <w:rFonts w:ascii="Raleway" w:hAnsi="Raleway"/>
        <w:noProof/>
        <w:sz w:val="27"/>
        <w:szCs w:val="27"/>
      </w:rPr>
      <mc:AlternateContent>
        <mc:Choice Requires="wps">
          <w:drawing>
            <wp:anchor distT="0" distB="0" distL="114300" distR="114300" simplePos="0" relativeHeight="251658240" behindDoc="1" locked="0" layoutInCell="1" allowOverlap="1" wp14:anchorId="27D6C6EE" wp14:editId="759A6D80">
              <wp:simplePos x="0" y="0"/>
              <wp:positionH relativeFrom="column">
                <wp:posOffset>-600710</wp:posOffset>
              </wp:positionH>
              <wp:positionV relativeFrom="paragraph">
                <wp:posOffset>-741045</wp:posOffset>
              </wp:positionV>
              <wp:extent cx="2080260" cy="2088515"/>
              <wp:effectExtent l="0" t="0" r="0" b="6985"/>
              <wp:wrapSquare wrapText="bothSides"/>
              <wp:docPr id="2"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260" cy="2088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2D65A" id="Rectángulo 1" o:spid="_x0000_s1026" style="position:absolute;margin-left:-47.3pt;margin-top:-58.35pt;width:163.8pt;height:16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" stroked="f">
              <w10:wrap type="square"/>
            </v:rect>
          </w:pict>
        </mc:Fallback>
      </mc:AlternateContent>
    </w:r>
  </w:p>
  <w:p w14:paraId="2AFE142F" w14:textId="77777777" w:rsidR="003237BD" w:rsidRPr="00B465C9" w:rsidRDefault="003237BD" w:rsidP="003237BD">
    <w:pPr>
      <w:pStyle w:val="Encabezado"/>
      <w:jc w:val="right"/>
      <w:rPr>
        <w:sz w:val="30"/>
        <w:szCs w:val="30"/>
      </w:rPr>
    </w:pPr>
  </w:p>
  <w:p w14:paraId="3FFC227D" w14:textId="77777777" w:rsidR="006A0CBB" w:rsidRDefault="006A0CB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F79F" w14:textId="040DD906" w:rsidR="002B77B2" w:rsidRPr="00927445" w:rsidRDefault="002B77B2" w:rsidP="0092744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E44"/>
    <w:multiLevelType w:val="hybridMultilevel"/>
    <w:tmpl w:val="B0206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6350FD"/>
    <w:multiLevelType w:val="hybridMultilevel"/>
    <w:tmpl w:val="933AA5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57974E3"/>
    <w:multiLevelType w:val="hybridMultilevel"/>
    <w:tmpl w:val="DBB66D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2A7512"/>
    <w:multiLevelType w:val="hybridMultilevel"/>
    <w:tmpl w:val="EDAA53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0642FD"/>
    <w:multiLevelType w:val="hybridMultilevel"/>
    <w:tmpl w:val="51F235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837EC5"/>
    <w:multiLevelType w:val="hybridMultilevel"/>
    <w:tmpl w:val="21F4D0E6"/>
    <w:lvl w:ilvl="0" w:tplc="A54830FA">
      <w:start w:val="1"/>
      <w:numFmt w:val="decimal"/>
      <w:lvlText w:val="%1."/>
      <w:lvlJc w:val="left"/>
      <w:pPr>
        <w:ind w:left="1637" w:hanging="360"/>
      </w:pPr>
      <w:rPr>
        <w:i w:val="0"/>
        <w:sz w:val="26"/>
        <w:szCs w:val="26"/>
        <w:vertAlign w:val="baseline"/>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285F01EF"/>
    <w:multiLevelType w:val="multilevel"/>
    <w:tmpl w:val="91B0A412"/>
    <w:lvl w:ilvl="0">
      <w:start w:val="1"/>
      <w:numFmt w:val="upperRoman"/>
      <w:lvlText w:val="%1."/>
      <w:lvlJc w:val="left"/>
      <w:pPr>
        <w:ind w:left="180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38DA4B7A"/>
    <w:multiLevelType w:val="hybridMultilevel"/>
    <w:tmpl w:val="7D96717A"/>
    <w:lvl w:ilvl="0" w:tplc="F9D61160">
      <w:start w:val="1"/>
      <w:numFmt w:val="decimal"/>
      <w:pStyle w:val="Estilo1"/>
      <w:lvlText w:val="%1."/>
      <w:lvlJc w:val="left"/>
      <w:pPr>
        <w:ind w:left="1070" w:hanging="360"/>
      </w:pPr>
      <w:rPr>
        <w:rFonts w:hint="default"/>
        <w:b w:val="0"/>
        <w:i w:val="0"/>
        <w:sz w:val="28"/>
        <w:szCs w:val="28"/>
      </w:rPr>
    </w:lvl>
    <w:lvl w:ilvl="1" w:tplc="765E6DA2">
      <w:start w:val="1"/>
      <w:numFmt w:val="bullet"/>
      <w:lvlText w:val=""/>
      <w:lvlJc w:val="left"/>
      <w:pPr>
        <w:ind w:left="1080" w:hanging="360"/>
      </w:pPr>
      <w:rPr>
        <w:rFonts w:ascii="Symbol" w:hAnsi="Symbol" w:hint="default"/>
      </w:rPr>
    </w:lvl>
    <w:lvl w:ilvl="2" w:tplc="080A001B">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47CC0DEC"/>
    <w:multiLevelType w:val="hybridMultilevel"/>
    <w:tmpl w:val="253002E8"/>
    <w:lvl w:ilvl="0" w:tplc="CD98C0F8">
      <w:start w:val="2"/>
      <w:numFmt w:val="upperRoman"/>
      <w:lvlText w:val="%1."/>
      <w:lvlJc w:val="right"/>
      <w:pPr>
        <w:ind w:left="3763"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9102B9F"/>
    <w:multiLevelType w:val="hybridMultilevel"/>
    <w:tmpl w:val="F596FF4A"/>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A625B46"/>
    <w:multiLevelType w:val="hybridMultilevel"/>
    <w:tmpl w:val="40EC0A90"/>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BB0405"/>
    <w:multiLevelType w:val="multilevel"/>
    <w:tmpl w:val="D538452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7851EBE"/>
    <w:multiLevelType w:val="hybridMultilevel"/>
    <w:tmpl w:val="EA4E50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9885FAF"/>
    <w:multiLevelType w:val="hybridMultilevel"/>
    <w:tmpl w:val="E42ACB20"/>
    <w:lvl w:ilvl="0" w:tplc="A4CCA414">
      <w:start w:val="1"/>
      <w:numFmt w:val="upperRoman"/>
      <w:pStyle w:val="Ttulo3"/>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C414C23"/>
    <w:multiLevelType w:val="hybridMultilevel"/>
    <w:tmpl w:val="3ED277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01073FB"/>
    <w:multiLevelType w:val="hybridMultilevel"/>
    <w:tmpl w:val="94D2D3CE"/>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4239062">
    <w:abstractNumId w:val="13"/>
  </w:num>
  <w:num w:numId="2" w16cid:durableId="1832720342">
    <w:abstractNumId w:val="7"/>
  </w:num>
  <w:num w:numId="3" w16cid:durableId="563031158">
    <w:abstractNumId w:val="5"/>
  </w:num>
  <w:num w:numId="4" w16cid:durableId="2118060474">
    <w:abstractNumId w:val="6"/>
  </w:num>
  <w:num w:numId="5" w16cid:durableId="875891754">
    <w:abstractNumId w:val="8"/>
  </w:num>
  <w:num w:numId="6" w16cid:durableId="178591387">
    <w:abstractNumId w:val="12"/>
  </w:num>
  <w:num w:numId="7" w16cid:durableId="2127236783">
    <w:abstractNumId w:val="11"/>
  </w:num>
  <w:num w:numId="8" w16cid:durableId="249974008">
    <w:abstractNumId w:val="3"/>
  </w:num>
  <w:num w:numId="9" w16cid:durableId="1499736980">
    <w:abstractNumId w:val="1"/>
  </w:num>
  <w:num w:numId="10" w16cid:durableId="951480273">
    <w:abstractNumId w:val="14"/>
  </w:num>
  <w:num w:numId="11" w16cid:durableId="2079597473">
    <w:abstractNumId w:val="0"/>
  </w:num>
  <w:num w:numId="12" w16cid:durableId="76488536">
    <w:abstractNumId w:val="4"/>
  </w:num>
  <w:num w:numId="13" w16cid:durableId="777792509">
    <w:abstractNumId w:val="15"/>
  </w:num>
  <w:num w:numId="14" w16cid:durableId="1950506223">
    <w:abstractNumId w:val="9"/>
  </w:num>
  <w:num w:numId="15" w16cid:durableId="133761381">
    <w:abstractNumId w:val="10"/>
  </w:num>
  <w:num w:numId="16" w16cid:durableId="1626539550">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97"/>
    <w:rsid w:val="000004F0"/>
    <w:rsid w:val="00000701"/>
    <w:rsid w:val="00000D35"/>
    <w:rsid w:val="00001345"/>
    <w:rsid w:val="00002E5D"/>
    <w:rsid w:val="00002E88"/>
    <w:rsid w:val="00003074"/>
    <w:rsid w:val="00004443"/>
    <w:rsid w:val="00005095"/>
    <w:rsid w:val="000054D1"/>
    <w:rsid w:val="00005D4D"/>
    <w:rsid w:val="000106B0"/>
    <w:rsid w:val="00010EB8"/>
    <w:rsid w:val="00012C97"/>
    <w:rsid w:val="000137CF"/>
    <w:rsid w:val="000142DB"/>
    <w:rsid w:val="000143AB"/>
    <w:rsid w:val="00016337"/>
    <w:rsid w:val="000167DE"/>
    <w:rsid w:val="0001684C"/>
    <w:rsid w:val="00017474"/>
    <w:rsid w:val="00020587"/>
    <w:rsid w:val="000205D2"/>
    <w:rsid w:val="000212C2"/>
    <w:rsid w:val="00021F00"/>
    <w:rsid w:val="000232A2"/>
    <w:rsid w:val="00025F14"/>
    <w:rsid w:val="00025F85"/>
    <w:rsid w:val="00026ACD"/>
    <w:rsid w:val="00030411"/>
    <w:rsid w:val="000305EC"/>
    <w:rsid w:val="00031FB1"/>
    <w:rsid w:val="0003277B"/>
    <w:rsid w:val="00032B5A"/>
    <w:rsid w:val="00041B9C"/>
    <w:rsid w:val="0004266F"/>
    <w:rsid w:val="00042DD8"/>
    <w:rsid w:val="00044948"/>
    <w:rsid w:val="00044C8E"/>
    <w:rsid w:val="00045ECC"/>
    <w:rsid w:val="00045FE2"/>
    <w:rsid w:val="000467AD"/>
    <w:rsid w:val="00047097"/>
    <w:rsid w:val="00047C27"/>
    <w:rsid w:val="0005007E"/>
    <w:rsid w:val="000500E6"/>
    <w:rsid w:val="00052565"/>
    <w:rsid w:val="00060076"/>
    <w:rsid w:val="00060150"/>
    <w:rsid w:val="0006085F"/>
    <w:rsid w:val="0006175F"/>
    <w:rsid w:val="00061AA0"/>
    <w:rsid w:val="00062747"/>
    <w:rsid w:val="000629ED"/>
    <w:rsid w:val="00064286"/>
    <w:rsid w:val="000643EC"/>
    <w:rsid w:val="0006510B"/>
    <w:rsid w:val="0006527B"/>
    <w:rsid w:val="000652F6"/>
    <w:rsid w:val="00067096"/>
    <w:rsid w:val="00070123"/>
    <w:rsid w:val="00070222"/>
    <w:rsid w:val="000702CD"/>
    <w:rsid w:val="00071F73"/>
    <w:rsid w:val="00074796"/>
    <w:rsid w:val="00076A57"/>
    <w:rsid w:val="00076B78"/>
    <w:rsid w:val="000819F4"/>
    <w:rsid w:val="0008377B"/>
    <w:rsid w:val="00083B69"/>
    <w:rsid w:val="000841E4"/>
    <w:rsid w:val="00084C08"/>
    <w:rsid w:val="000851A1"/>
    <w:rsid w:val="00085262"/>
    <w:rsid w:val="0008602C"/>
    <w:rsid w:val="00087C80"/>
    <w:rsid w:val="00087F70"/>
    <w:rsid w:val="00090489"/>
    <w:rsid w:val="0009072A"/>
    <w:rsid w:val="0009111F"/>
    <w:rsid w:val="00091426"/>
    <w:rsid w:val="000917D6"/>
    <w:rsid w:val="00091D75"/>
    <w:rsid w:val="0009248B"/>
    <w:rsid w:val="0009312F"/>
    <w:rsid w:val="00093EA0"/>
    <w:rsid w:val="00093FD9"/>
    <w:rsid w:val="00094990"/>
    <w:rsid w:val="00094CF7"/>
    <w:rsid w:val="00094FDC"/>
    <w:rsid w:val="00096619"/>
    <w:rsid w:val="000967DB"/>
    <w:rsid w:val="00096E82"/>
    <w:rsid w:val="000A315A"/>
    <w:rsid w:val="000A3365"/>
    <w:rsid w:val="000A5984"/>
    <w:rsid w:val="000A60A7"/>
    <w:rsid w:val="000A6D4A"/>
    <w:rsid w:val="000B05DF"/>
    <w:rsid w:val="000B0E55"/>
    <w:rsid w:val="000B2125"/>
    <w:rsid w:val="000B24B7"/>
    <w:rsid w:val="000B2E52"/>
    <w:rsid w:val="000B3C9C"/>
    <w:rsid w:val="000B4E34"/>
    <w:rsid w:val="000B4F65"/>
    <w:rsid w:val="000B568C"/>
    <w:rsid w:val="000B60E5"/>
    <w:rsid w:val="000B612C"/>
    <w:rsid w:val="000B69A6"/>
    <w:rsid w:val="000B7C26"/>
    <w:rsid w:val="000C06B4"/>
    <w:rsid w:val="000C0C81"/>
    <w:rsid w:val="000C0FDA"/>
    <w:rsid w:val="000C151E"/>
    <w:rsid w:val="000C229F"/>
    <w:rsid w:val="000C3B42"/>
    <w:rsid w:val="000C3B61"/>
    <w:rsid w:val="000C3BBD"/>
    <w:rsid w:val="000C4353"/>
    <w:rsid w:val="000C50B8"/>
    <w:rsid w:val="000C7069"/>
    <w:rsid w:val="000C72BE"/>
    <w:rsid w:val="000C7763"/>
    <w:rsid w:val="000D05B7"/>
    <w:rsid w:val="000D1E70"/>
    <w:rsid w:val="000D28FC"/>
    <w:rsid w:val="000D2BAA"/>
    <w:rsid w:val="000D325F"/>
    <w:rsid w:val="000D3695"/>
    <w:rsid w:val="000D4080"/>
    <w:rsid w:val="000D4CB4"/>
    <w:rsid w:val="000D640E"/>
    <w:rsid w:val="000E2B21"/>
    <w:rsid w:val="000E2E4E"/>
    <w:rsid w:val="000E2ED1"/>
    <w:rsid w:val="000E3C78"/>
    <w:rsid w:val="000E43B9"/>
    <w:rsid w:val="000E53AD"/>
    <w:rsid w:val="000F0062"/>
    <w:rsid w:val="000F314D"/>
    <w:rsid w:val="000F3677"/>
    <w:rsid w:val="000F3948"/>
    <w:rsid w:val="000F3EB1"/>
    <w:rsid w:val="000F3F62"/>
    <w:rsid w:val="000F4A43"/>
    <w:rsid w:val="00100D8E"/>
    <w:rsid w:val="00101A48"/>
    <w:rsid w:val="001038AC"/>
    <w:rsid w:val="0010458F"/>
    <w:rsid w:val="00104C49"/>
    <w:rsid w:val="00104D08"/>
    <w:rsid w:val="00105961"/>
    <w:rsid w:val="00110413"/>
    <w:rsid w:val="00110A18"/>
    <w:rsid w:val="0011156F"/>
    <w:rsid w:val="001120BF"/>
    <w:rsid w:val="00112D8B"/>
    <w:rsid w:val="00114B4F"/>
    <w:rsid w:val="00115CDA"/>
    <w:rsid w:val="001175A7"/>
    <w:rsid w:val="001176E4"/>
    <w:rsid w:val="00120574"/>
    <w:rsid w:val="001205A4"/>
    <w:rsid w:val="00120F6C"/>
    <w:rsid w:val="0012145E"/>
    <w:rsid w:val="00121666"/>
    <w:rsid w:val="0012208B"/>
    <w:rsid w:val="001243B0"/>
    <w:rsid w:val="00127914"/>
    <w:rsid w:val="00131CC9"/>
    <w:rsid w:val="00131E9C"/>
    <w:rsid w:val="0013265F"/>
    <w:rsid w:val="00132AF7"/>
    <w:rsid w:val="00133966"/>
    <w:rsid w:val="0013429C"/>
    <w:rsid w:val="0013488F"/>
    <w:rsid w:val="0013517B"/>
    <w:rsid w:val="001356B6"/>
    <w:rsid w:val="00135B3A"/>
    <w:rsid w:val="00135DB6"/>
    <w:rsid w:val="00136154"/>
    <w:rsid w:val="00140B2B"/>
    <w:rsid w:val="00143020"/>
    <w:rsid w:val="001462B3"/>
    <w:rsid w:val="00146EB3"/>
    <w:rsid w:val="00151EC0"/>
    <w:rsid w:val="00152147"/>
    <w:rsid w:val="0015361C"/>
    <w:rsid w:val="001549F6"/>
    <w:rsid w:val="001555D9"/>
    <w:rsid w:val="001600BB"/>
    <w:rsid w:val="00161262"/>
    <w:rsid w:val="00161C42"/>
    <w:rsid w:val="0016311C"/>
    <w:rsid w:val="001667EE"/>
    <w:rsid w:val="00166D27"/>
    <w:rsid w:val="00166E16"/>
    <w:rsid w:val="001672EF"/>
    <w:rsid w:val="001672FA"/>
    <w:rsid w:val="00167E37"/>
    <w:rsid w:val="00170598"/>
    <w:rsid w:val="00172474"/>
    <w:rsid w:val="00175707"/>
    <w:rsid w:val="0017582E"/>
    <w:rsid w:val="00175DCD"/>
    <w:rsid w:val="001762D4"/>
    <w:rsid w:val="00177019"/>
    <w:rsid w:val="0018016A"/>
    <w:rsid w:val="00181DE3"/>
    <w:rsid w:val="00181F7B"/>
    <w:rsid w:val="00183635"/>
    <w:rsid w:val="00184D91"/>
    <w:rsid w:val="0018594B"/>
    <w:rsid w:val="00191186"/>
    <w:rsid w:val="001913B8"/>
    <w:rsid w:val="00191C47"/>
    <w:rsid w:val="001942EE"/>
    <w:rsid w:val="001944BF"/>
    <w:rsid w:val="00195620"/>
    <w:rsid w:val="00195FEB"/>
    <w:rsid w:val="001970EA"/>
    <w:rsid w:val="00197633"/>
    <w:rsid w:val="001977FA"/>
    <w:rsid w:val="00197C58"/>
    <w:rsid w:val="001A3B63"/>
    <w:rsid w:val="001A4208"/>
    <w:rsid w:val="001A460F"/>
    <w:rsid w:val="001A596E"/>
    <w:rsid w:val="001A789F"/>
    <w:rsid w:val="001B14C8"/>
    <w:rsid w:val="001B19CF"/>
    <w:rsid w:val="001B1ED1"/>
    <w:rsid w:val="001B32D8"/>
    <w:rsid w:val="001B3E52"/>
    <w:rsid w:val="001B4640"/>
    <w:rsid w:val="001B5265"/>
    <w:rsid w:val="001B5B69"/>
    <w:rsid w:val="001B63D0"/>
    <w:rsid w:val="001B652E"/>
    <w:rsid w:val="001B7191"/>
    <w:rsid w:val="001B7344"/>
    <w:rsid w:val="001B7B6A"/>
    <w:rsid w:val="001B7C23"/>
    <w:rsid w:val="001C0480"/>
    <w:rsid w:val="001C0677"/>
    <w:rsid w:val="001C0B1B"/>
    <w:rsid w:val="001C1035"/>
    <w:rsid w:val="001C21BA"/>
    <w:rsid w:val="001C2452"/>
    <w:rsid w:val="001C252F"/>
    <w:rsid w:val="001C4241"/>
    <w:rsid w:val="001C437F"/>
    <w:rsid w:val="001C55C6"/>
    <w:rsid w:val="001C5CFA"/>
    <w:rsid w:val="001C64D7"/>
    <w:rsid w:val="001D0FD4"/>
    <w:rsid w:val="001D34D0"/>
    <w:rsid w:val="001D411B"/>
    <w:rsid w:val="001D58A6"/>
    <w:rsid w:val="001D5B5A"/>
    <w:rsid w:val="001D601D"/>
    <w:rsid w:val="001D6844"/>
    <w:rsid w:val="001D69FC"/>
    <w:rsid w:val="001E093B"/>
    <w:rsid w:val="001E0ED5"/>
    <w:rsid w:val="001E13AF"/>
    <w:rsid w:val="001E151A"/>
    <w:rsid w:val="001E47A2"/>
    <w:rsid w:val="001E4A48"/>
    <w:rsid w:val="001E5120"/>
    <w:rsid w:val="001E5188"/>
    <w:rsid w:val="001E5C9B"/>
    <w:rsid w:val="001E5FBC"/>
    <w:rsid w:val="001E7831"/>
    <w:rsid w:val="001F01EF"/>
    <w:rsid w:val="001F4A8E"/>
    <w:rsid w:val="001F555D"/>
    <w:rsid w:val="001F6592"/>
    <w:rsid w:val="001F6A4C"/>
    <w:rsid w:val="001F7D23"/>
    <w:rsid w:val="002000EE"/>
    <w:rsid w:val="00200861"/>
    <w:rsid w:val="00200BCF"/>
    <w:rsid w:val="00201090"/>
    <w:rsid w:val="00201A59"/>
    <w:rsid w:val="00201B55"/>
    <w:rsid w:val="00201CDF"/>
    <w:rsid w:val="002038FD"/>
    <w:rsid w:val="00203BF1"/>
    <w:rsid w:val="00204373"/>
    <w:rsid w:val="00205395"/>
    <w:rsid w:val="00206581"/>
    <w:rsid w:val="00206699"/>
    <w:rsid w:val="00207140"/>
    <w:rsid w:val="00207D81"/>
    <w:rsid w:val="0021013D"/>
    <w:rsid w:val="00210DF6"/>
    <w:rsid w:val="00210FD8"/>
    <w:rsid w:val="00211F45"/>
    <w:rsid w:val="00220010"/>
    <w:rsid w:val="00220150"/>
    <w:rsid w:val="00220A25"/>
    <w:rsid w:val="002220C0"/>
    <w:rsid w:val="00222226"/>
    <w:rsid w:val="00225234"/>
    <w:rsid w:val="00225354"/>
    <w:rsid w:val="00226282"/>
    <w:rsid w:val="00227027"/>
    <w:rsid w:val="00227135"/>
    <w:rsid w:val="002271C6"/>
    <w:rsid w:val="0023096F"/>
    <w:rsid w:val="0023163B"/>
    <w:rsid w:val="00231D13"/>
    <w:rsid w:val="00231D2A"/>
    <w:rsid w:val="00233A2D"/>
    <w:rsid w:val="00233B15"/>
    <w:rsid w:val="00233E2F"/>
    <w:rsid w:val="00234425"/>
    <w:rsid w:val="00234773"/>
    <w:rsid w:val="00235AB2"/>
    <w:rsid w:val="00236229"/>
    <w:rsid w:val="00236AA4"/>
    <w:rsid w:val="00236CEB"/>
    <w:rsid w:val="00240036"/>
    <w:rsid w:val="002422AA"/>
    <w:rsid w:val="002422F9"/>
    <w:rsid w:val="00242815"/>
    <w:rsid w:val="002432E3"/>
    <w:rsid w:val="00245351"/>
    <w:rsid w:val="00245DA0"/>
    <w:rsid w:val="0024614E"/>
    <w:rsid w:val="002462C3"/>
    <w:rsid w:val="002466B8"/>
    <w:rsid w:val="00246874"/>
    <w:rsid w:val="0024769A"/>
    <w:rsid w:val="00247A80"/>
    <w:rsid w:val="00250461"/>
    <w:rsid w:val="002527D0"/>
    <w:rsid w:val="00252AD7"/>
    <w:rsid w:val="00252B28"/>
    <w:rsid w:val="00253699"/>
    <w:rsid w:val="0025437B"/>
    <w:rsid w:val="00254488"/>
    <w:rsid w:val="00255101"/>
    <w:rsid w:val="0025624F"/>
    <w:rsid w:val="00256C32"/>
    <w:rsid w:val="002575C8"/>
    <w:rsid w:val="00260279"/>
    <w:rsid w:val="00261845"/>
    <w:rsid w:val="002618D6"/>
    <w:rsid w:val="00264F49"/>
    <w:rsid w:val="00264F7D"/>
    <w:rsid w:val="0026568A"/>
    <w:rsid w:val="00266A7F"/>
    <w:rsid w:val="00267200"/>
    <w:rsid w:val="0027038C"/>
    <w:rsid w:val="00271178"/>
    <w:rsid w:val="0027135C"/>
    <w:rsid w:val="00271459"/>
    <w:rsid w:val="00272880"/>
    <w:rsid w:val="002728EE"/>
    <w:rsid w:val="00272E91"/>
    <w:rsid w:val="002735A4"/>
    <w:rsid w:val="0027492E"/>
    <w:rsid w:val="002754CC"/>
    <w:rsid w:val="00275CE3"/>
    <w:rsid w:val="00275D4A"/>
    <w:rsid w:val="0027607E"/>
    <w:rsid w:val="0027645C"/>
    <w:rsid w:val="00276788"/>
    <w:rsid w:val="002772D7"/>
    <w:rsid w:val="00281213"/>
    <w:rsid w:val="002815E7"/>
    <w:rsid w:val="00281CCE"/>
    <w:rsid w:val="00281EAB"/>
    <w:rsid w:val="00281F41"/>
    <w:rsid w:val="00283EC5"/>
    <w:rsid w:val="00285F71"/>
    <w:rsid w:val="00286147"/>
    <w:rsid w:val="00286C83"/>
    <w:rsid w:val="002877D1"/>
    <w:rsid w:val="00290725"/>
    <w:rsid w:val="0029084E"/>
    <w:rsid w:val="002916A9"/>
    <w:rsid w:val="00291B0F"/>
    <w:rsid w:val="002922B5"/>
    <w:rsid w:val="002924F0"/>
    <w:rsid w:val="00292B00"/>
    <w:rsid w:val="00294286"/>
    <w:rsid w:val="0029485F"/>
    <w:rsid w:val="00294BCC"/>
    <w:rsid w:val="00294F0A"/>
    <w:rsid w:val="002950EB"/>
    <w:rsid w:val="00295CD0"/>
    <w:rsid w:val="00296281"/>
    <w:rsid w:val="002964C5"/>
    <w:rsid w:val="0029770D"/>
    <w:rsid w:val="002A0D1A"/>
    <w:rsid w:val="002A1425"/>
    <w:rsid w:val="002A2A7A"/>
    <w:rsid w:val="002A2F1B"/>
    <w:rsid w:val="002A2F40"/>
    <w:rsid w:val="002A4C7D"/>
    <w:rsid w:val="002A5FD1"/>
    <w:rsid w:val="002A6545"/>
    <w:rsid w:val="002A6BA3"/>
    <w:rsid w:val="002A6E92"/>
    <w:rsid w:val="002A789B"/>
    <w:rsid w:val="002A78FD"/>
    <w:rsid w:val="002A7CCB"/>
    <w:rsid w:val="002A7FF5"/>
    <w:rsid w:val="002B08C0"/>
    <w:rsid w:val="002B1855"/>
    <w:rsid w:val="002B1AB0"/>
    <w:rsid w:val="002B4541"/>
    <w:rsid w:val="002B59F6"/>
    <w:rsid w:val="002B673C"/>
    <w:rsid w:val="002B7020"/>
    <w:rsid w:val="002B77B2"/>
    <w:rsid w:val="002C0354"/>
    <w:rsid w:val="002C10B1"/>
    <w:rsid w:val="002C1C9F"/>
    <w:rsid w:val="002C2050"/>
    <w:rsid w:val="002C4720"/>
    <w:rsid w:val="002C4F46"/>
    <w:rsid w:val="002C63ED"/>
    <w:rsid w:val="002C65FB"/>
    <w:rsid w:val="002C6917"/>
    <w:rsid w:val="002C6B62"/>
    <w:rsid w:val="002C6D60"/>
    <w:rsid w:val="002D0930"/>
    <w:rsid w:val="002D145D"/>
    <w:rsid w:val="002D2BB8"/>
    <w:rsid w:val="002D3438"/>
    <w:rsid w:val="002D4448"/>
    <w:rsid w:val="002D5B03"/>
    <w:rsid w:val="002D5E06"/>
    <w:rsid w:val="002D640A"/>
    <w:rsid w:val="002D6DCF"/>
    <w:rsid w:val="002D7364"/>
    <w:rsid w:val="002D7DCB"/>
    <w:rsid w:val="002E0A06"/>
    <w:rsid w:val="002E0EA1"/>
    <w:rsid w:val="002E1517"/>
    <w:rsid w:val="002E1666"/>
    <w:rsid w:val="002E1ACC"/>
    <w:rsid w:val="002E37E0"/>
    <w:rsid w:val="002E5B16"/>
    <w:rsid w:val="002E713F"/>
    <w:rsid w:val="002F1F1A"/>
    <w:rsid w:val="002F3780"/>
    <w:rsid w:val="002F4918"/>
    <w:rsid w:val="002F4D0C"/>
    <w:rsid w:val="002F590A"/>
    <w:rsid w:val="002F5B15"/>
    <w:rsid w:val="00300C99"/>
    <w:rsid w:val="00301D5A"/>
    <w:rsid w:val="00302375"/>
    <w:rsid w:val="0030414B"/>
    <w:rsid w:val="003047CC"/>
    <w:rsid w:val="00304E8E"/>
    <w:rsid w:val="00305ED5"/>
    <w:rsid w:val="003060DF"/>
    <w:rsid w:val="00306D3C"/>
    <w:rsid w:val="0030723B"/>
    <w:rsid w:val="00307BA2"/>
    <w:rsid w:val="00307E64"/>
    <w:rsid w:val="00307F0F"/>
    <w:rsid w:val="003112C3"/>
    <w:rsid w:val="003148FB"/>
    <w:rsid w:val="00314E75"/>
    <w:rsid w:val="00315D0C"/>
    <w:rsid w:val="00317124"/>
    <w:rsid w:val="00317EB5"/>
    <w:rsid w:val="003211EC"/>
    <w:rsid w:val="0032130E"/>
    <w:rsid w:val="003228E6"/>
    <w:rsid w:val="0032318B"/>
    <w:rsid w:val="003237BD"/>
    <w:rsid w:val="003246B2"/>
    <w:rsid w:val="00325A03"/>
    <w:rsid w:val="003268BC"/>
    <w:rsid w:val="00326BA7"/>
    <w:rsid w:val="00326CA3"/>
    <w:rsid w:val="00327335"/>
    <w:rsid w:val="00327C92"/>
    <w:rsid w:val="00334B2E"/>
    <w:rsid w:val="003359EA"/>
    <w:rsid w:val="00336B1D"/>
    <w:rsid w:val="00337CC1"/>
    <w:rsid w:val="003418EC"/>
    <w:rsid w:val="003437EF"/>
    <w:rsid w:val="00345BB9"/>
    <w:rsid w:val="00346796"/>
    <w:rsid w:val="0034719C"/>
    <w:rsid w:val="00350BB3"/>
    <w:rsid w:val="0035271D"/>
    <w:rsid w:val="00353E60"/>
    <w:rsid w:val="00353ED1"/>
    <w:rsid w:val="00354D26"/>
    <w:rsid w:val="00355CCA"/>
    <w:rsid w:val="00355F9B"/>
    <w:rsid w:val="003569CE"/>
    <w:rsid w:val="0035725B"/>
    <w:rsid w:val="00357DA3"/>
    <w:rsid w:val="00357F97"/>
    <w:rsid w:val="00360E00"/>
    <w:rsid w:val="003612A6"/>
    <w:rsid w:val="00361363"/>
    <w:rsid w:val="00361CDB"/>
    <w:rsid w:val="00361FCA"/>
    <w:rsid w:val="003623C8"/>
    <w:rsid w:val="0036337A"/>
    <w:rsid w:val="00364A7B"/>
    <w:rsid w:val="00366208"/>
    <w:rsid w:val="00366B82"/>
    <w:rsid w:val="003677A2"/>
    <w:rsid w:val="0037164A"/>
    <w:rsid w:val="00372228"/>
    <w:rsid w:val="0037312A"/>
    <w:rsid w:val="00374212"/>
    <w:rsid w:val="00374CF8"/>
    <w:rsid w:val="0037594E"/>
    <w:rsid w:val="00375C61"/>
    <w:rsid w:val="00375E1C"/>
    <w:rsid w:val="003810A7"/>
    <w:rsid w:val="00382865"/>
    <w:rsid w:val="00383148"/>
    <w:rsid w:val="00383733"/>
    <w:rsid w:val="00383A41"/>
    <w:rsid w:val="00384A45"/>
    <w:rsid w:val="003852DD"/>
    <w:rsid w:val="00386386"/>
    <w:rsid w:val="00386582"/>
    <w:rsid w:val="003866FE"/>
    <w:rsid w:val="00386D3B"/>
    <w:rsid w:val="0038718F"/>
    <w:rsid w:val="0038751E"/>
    <w:rsid w:val="00387B6C"/>
    <w:rsid w:val="00387ECD"/>
    <w:rsid w:val="00390CED"/>
    <w:rsid w:val="00391408"/>
    <w:rsid w:val="003935B9"/>
    <w:rsid w:val="00393DBB"/>
    <w:rsid w:val="00396A9D"/>
    <w:rsid w:val="00396D49"/>
    <w:rsid w:val="003974B2"/>
    <w:rsid w:val="003A0A42"/>
    <w:rsid w:val="003A0CB5"/>
    <w:rsid w:val="003A20FE"/>
    <w:rsid w:val="003A2438"/>
    <w:rsid w:val="003A3461"/>
    <w:rsid w:val="003A34E9"/>
    <w:rsid w:val="003A3B14"/>
    <w:rsid w:val="003A3CC1"/>
    <w:rsid w:val="003A3DC5"/>
    <w:rsid w:val="003A5141"/>
    <w:rsid w:val="003A586A"/>
    <w:rsid w:val="003A6BF9"/>
    <w:rsid w:val="003A761F"/>
    <w:rsid w:val="003B175A"/>
    <w:rsid w:val="003B2340"/>
    <w:rsid w:val="003B25E8"/>
    <w:rsid w:val="003B2652"/>
    <w:rsid w:val="003B2B7C"/>
    <w:rsid w:val="003B3207"/>
    <w:rsid w:val="003B3505"/>
    <w:rsid w:val="003B461D"/>
    <w:rsid w:val="003B54FE"/>
    <w:rsid w:val="003B6284"/>
    <w:rsid w:val="003B64CF"/>
    <w:rsid w:val="003B7031"/>
    <w:rsid w:val="003B752D"/>
    <w:rsid w:val="003C0AE5"/>
    <w:rsid w:val="003C0BFA"/>
    <w:rsid w:val="003C133E"/>
    <w:rsid w:val="003C1D4A"/>
    <w:rsid w:val="003C2BC2"/>
    <w:rsid w:val="003C3D4E"/>
    <w:rsid w:val="003C3EC0"/>
    <w:rsid w:val="003C4A98"/>
    <w:rsid w:val="003C4DA0"/>
    <w:rsid w:val="003C4DE4"/>
    <w:rsid w:val="003C51A3"/>
    <w:rsid w:val="003C5B5A"/>
    <w:rsid w:val="003C5FA1"/>
    <w:rsid w:val="003C62AB"/>
    <w:rsid w:val="003C6ACB"/>
    <w:rsid w:val="003C6D3B"/>
    <w:rsid w:val="003C78BF"/>
    <w:rsid w:val="003C7C0D"/>
    <w:rsid w:val="003D0887"/>
    <w:rsid w:val="003D1DC4"/>
    <w:rsid w:val="003D1E6F"/>
    <w:rsid w:val="003D4835"/>
    <w:rsid w:val="003D4B49"/>
    <w:rsid w:val="003D7FA2"/>
    <w:rsid w:val="003E078A"/>
    <w:rsid w:val="003E29D5"/>
    <w:rsid w:val="003E3521"/>
    <w:rsid w:val="003E443D"/>
    <w:rsid w:val="003E4A1E"/>
    <w:rsid w:val="003E5D85"/>
    <w:rsid w:val="003E5F60"/>
    <w:rsid w:val="003E7AAF"/>
    <w:rsid w:val="003E7C1E"/>
    <w:rsid w:val="003F3703"/>
    <w:rsid w:val="003F49B5"/>
    <w:rsid w:val="003F4BB7"/>
    <w:rsid w:val="003F4CAB"/>
    <w:rsid w:val="003F4FCD"/>
    <w:rsid w:val="003F5945"/>
    <w:rsid w:val="003F68C6"/>
    <w:rsid w:val="003F721C"/>
    <w:rsid w:val="003F79D7"/>
    <w:rsid w:val="00401C0B"/>
    <w:rsid w:val="00401DC1"/>
    <w:rsid w:val="00403365"/>
    <w:rsid w:val="0040363A"/>
    <w:rsid w:val="00407572"/>
    <w:rsid w:val="0041029B"/>
    <w:rsid w:val="00411EEC"/>
    <w:rsid w:val="00412B49"/>
    <w:rsid w:val="00412C7C"/>
    <w:rsid w:val="00415301"/>
    <w:rsid w:val="0041553A"/>
    <w:rsid w:val="0041625F"/>
    <w:rsid w:val="00416E8F"/>
    <w:rsid w:val="00417343"/>
    <w:rsid w:val="00417EA8"/>
    <w:rsid w:val="00420D08"/>
    <w:rsid w:val="00421752"/>
    <w:rsid w:val="00423B65"/>
    <w:rsid w:val="004247EF"/>
    <w:rsid w:val="00424900"/>
    <w:rsid w:val="0042523E"/>
    <w:rsid w:val="00426864"/>
    <w:rsid w:val="00426984"/>
    <w:rsid w:val="0043167C"/>
    <w:rsid w:val="0043186C"/>
    <w:rsid w:val="00431AF4"/>
    <w:rsid w:val="00431BCB"/>
    <w:rsid w:val="00431CA4"/>
    <w:rsid w:val="00433C77"/>
    <w:rsid w:val="00433CD3"/>
    <w:rsid w:val="0043487F"/>
    <w:rsid w:val="00434AAC"/>
    <w:rsid w:val="004366B0"/>
    <w:rsid w:val="00437F45"/>
    <w:rsid w:val="00441654"/>
    <w:rsid w:val="004416E5"/>
    <w:rsid w:val="004430F0"/>
    <w:rsid w:val="004441D1"/>
    <w:rsid w:val="00444C44"/>
    <w:rsid w:val="00444FA8"/>
    <w:rsid w:val="00445F4F"/>
    <w:rsid w:val="004461D2"/>
    <w:rsid w:val="00446A58"/>
    <w:rsid w:val="004505D2"/>
    <w:rsid w:val="00451BD2"/>
    <w:rsid w:val="0045253F"/>
    <w:rsid w:val="00453648"/>
    <w:rsid w:val="00453B84"/>
    <w:rsid w:val="004546BD"/>
    <w:rsid w:val="00455A3C"/>
    <w:rsid w:val="0045638D"/>
    <w:rsid w:val="00456697"/>
    <w:rsid w:val="00456932"/>
    <w:rsid w:val="00456D2A"/>
    <w:rsid w:val="0045721C"/>
    <w:rsid w:val="004579E0"/>
    <w:rsid w:val="00460CE0"/>
    <w:rsid w:val="00460E04"/>
    <w:rsid w:val="00462242"/>
    <w:rsid w:val="004631D1"/>
    <w:rsid w:val="00463C59"/>
    <w:rsid w:val="00463FEA"/>
    <w:rsid w:val="004648EC"/>
    <w:rsid w:val="004655BD"/>
    <w:rsid w:val="004678F7"/>
    <w:rsid w:val="0047220E"/>
    <w:rsid w:val="00473F80"/>
    <w:rsid w:val="004746AD"/>
    <w:rsid w:val="004746C8"/>
    <w:rsid w:val="004756A0"/>
    <w:rsid w:val="0048173C"/>
    <w:rsid w:val="00482CBE"/>
    <w:rsid w:val="00482FB5"/>
    <w:rsid w:val="004833FD"/>
    <w:rsid w:val="00483B7B"/>
    <w:rsid w:val="00484D7E"/>
    <w:rsid w:val="004860B2"/>
    <w:rsid w:val="004867DC"/>
    <w:rsid w:val="00486C6A"/>
    <w:rsid w:val="0048707A"/>
    <w:rsid w:val="00487112"/>
    <w:rsid w:val="004877E4"/>
    <w:rsid w:val="00490132"/>
    <w:rsid w:val="0049033A"/>
    <w:rsid w:val="0049114B"/>
    <w:rsid w:val="0049176C"/>
    <w:rsid w:val="004921BD"/>
    <w:rsid w:val="0049254F"/>
    <w:rsid w:val="00493CB1"/>
    <w:rsid w:val="00494272"/>
    <w:rsid w:val="00495046"/>
    <w:rsid w:val="004951FC"/>
    <w:rsid w:val="00495596"/>
    <w:rsid w:val="0049568F"/>
    <w:rsid w:val="00497396"/>
    <w:rsid w:val="00497B4C"/>
    <w:rsid w:val="00497CEB"/>
    <w:rsid w:val="004A0AE2"/>
    <w:rsid w:val="004A1540"/>
    <w:rsid w:val="004A1966"/>
    <w:rsid w:val="004A2029"/>
    <w:rsid w:val="004A2BFF"/>
    <w:rsid w:val="004A3226"/>
    <w:rsid w:val="004A33FE"/>
    <w:rsid w:val="004A3CF6"/>
    <w:rsid w:val="004A4EE3"/>
    <w:rsid w:val="004A52D5"/>
    <w:rsid w:val="004A56A1"/>
    <w:rsid w:val="004A60CE"/>
    <w:rsid w:val="004A621B"/>
    <w:rsid w:val="004B358B"/>
    <w:rsid w:val="004B36F6"/>
    <w:rsid w:val="004B3DAF"/>
    <w:rsid w:val="004B4C92"/>
    <w:rsid w:val="004B4D7B"/>
    <w:rsid w:val="004B6133"/>
    <w:rsid w:val="004B7A2E"/>
    <w:rsid w:val="004B7AB4"/>
    <w:rsid w:val="004C2319"/>
    <w:rsid w:val="004C3E07"/>
    <w:rsid w:val="004C44B8"/>
    <w:rsid w:val="004C4908"/>
    <w:rsid w:val="004C7F8B"/>
    <w:rsid w:val="004D10D9"/>
    <w:rsid w:val="004D1D6D"/>
    <w:rsid w:val="004D2863"/>
    <w:rsid w:val="004D3CAC"/>
    <w:rsid w:val="004D4CCD"/>
    <w:rsid w:val="004D57AE"/>
    <w:rsid w:val="004D5E32"/>
    <w:rsid w:val="004D66C4"/>
    <w:rsid w:val="004D7D7D"/>
    <w:rsid w:val="004E002E"/>
    <w:rsid w:val="004E1778"/>
    <w:rsid w:val="004E1F48"/>
    <w:rsid w:val="004E2C7A"/>
    <w:rsid w:val="004E4F2A"/>
    <w:rsid w:val="004E540D"/>
    <w:rsid w:val="004E59C0"/>
    <w:rsid w:val="004E64AE"/>
    <w:rsid w:val="004E65B4"/>
    <w:rsid w:val="004E6855"/>
    <w:rsid w:val="004E7C9C"/>
    <w:rsid w:val="004F008F"/>
    <w:rsid w:val="004F087D"/>
    <w:rsid w:val="004F2825"/>
    <w:rsid w:val="004F2949"/>
    <w:rsid w:val="004F2B65"/>
    <w:rsid w:val="004F2E36"/>
    <w:rsid w:val="004F2E71"/>
    <w:rsid w:val="004F410E"/>
    <w:rsid w:val="004F4CBB"/>
    <w:rsid w:val="004F65C2"/>
    <w:rsid w:val="004F6E24"/>
    <w:rsid w:val="004F7E1C"/>
    <w:rsid w:val="0050035A"/>
    <w:rsid w:val="005023EE"/>
    <w:rsid w:val="00502E6A"/>
    <w:rsid w:val="00502E93"/>
    <w:rsid w:val="005033EE"/>
    <w:rsid w:val="00503A82"/>
    <w:rsid w:val="0050710B"/>
    <w:rsid w:val="0051157A"/>
    <w:rsid w:val="00514997"/>
    <w:rsid w:val="0051692A"/>
    <w:rsid w:val="00516996"/>
    <w:rsid w:val="00517AC1"/>
    <w:rsid w:val="00520291"/>
    <w:rsid w:val="00520423"/>
    <w:rsid w:val="0052043D"/>
    <w:rsid w:val="00522F5B"/>
    <w:rsid w:val="00523479"/>
    <w:rsid w:val="00523C53"/>
    <w:rsid w:val="00523F7A"/>
    <w:rsid w:val="00524E51"/>
    <w:rsid w:val="00524F19"/>
    <w:rsid w:val="005250E0"/>
    <w:rsid w:val="005256F7"/>
    <w:rsid w:val="00527335"/>
    <w:rsid w:val="005274FE"/>
    <w:rsid w:val="00527BF9"/>
    <w:rsid w:val="005302F6"/>
    <w:rsid w:val="00530C1B"/>
    <w:rsid w:val="0053135C"/>
    <w:rsid w:val="00531706"/>
    <w:rsid w:val="00531786"/>
    <w:rsid w:val="00532F21"/>
    <w:rsid w:val="00533B9C"/>
    <w:rsid w:val="00534300"/>
    <w:rsid w:val="00534F6F"/>
    <w:rsid w:val="00535B0A"/>
    <w:rsid w:val="00543C6C"/>
    <w:rsid w:val="00544BEE"/>
    <w:rsid w:val="00545221"/>
    <w:rsid w:val="00545A45"/>
    <w:rsid w:val="00547E45"/>
    <w:rsid w:val="005505F0"/>
    <w:rsid w:val="00550780"/>
    <w:rsid w:val="00550BD4"/>
    <w:rsid w:val="00551338"/>
    <w:rsid w:val="00552C3C"/>
    <w:rsid w:val="0055372D"/>
    <w:rsid w:val="00554CED"/>
    <w:rsid w:val="00554D0F"/>
    <w:rsid w:val="00554FB3"/>
    <w:rsid w:val="005563E6"/>
    <w:rsid w:val="00556DD5"/>
    <w:rsid w:val="005606CF"/>
    <w:rsid w:val="0056088B"/>
    <w:rsid w:val="00560A3B"/>
    <w:rsid w:val="0056368C"/>
    <w:rsid w:val="0056429C"/>
    <w:rsid w:val="005653B8"/>
    <w:rsid w:val="00565DF9"/>
    <w:rsid w:val="00570554"/>
    <w:rsid w:val="005725C5"/>
    <w:rsid w:val="00572716"/>
    <w:rsid w:val="00572A13"/>
    <w:rsid w:val="005741B2"/>
    <w:rsid w:val="0057441F"/>
    <w:rsid w:val="00574C17"/>
    <w:rsid w:val="00574EAB"/>
    <w:rsid w:val="0057534E"/>
    <w:rsid w:val="005758C8"/>
    <w:rsid w:val="00576DFE"/>
    <w:rsid w:val="00577CE3"/>
    <w:rsid w:val="00577EFE"/>
    <w:rsid w:val="0058064A"/>
    <w:rsid w:val="005823C4"/>
    <w:rsid w:val="00582D2B"/>
    <w:rsid w:val="00583465"/>
    <w:rsid w:val="00583D58"/>
    <w:rsid w:val="00583E08"/>
    <w:rsid w:val="00584237"/>
    <w:rsid w:val="00586C48"/>
    <w:rsid w:val="0059086A"/>
    <w:rsid w:val="00591902"/>
    <w:rsid w:val="00591BBC"/>
    <w:rsid w:val="0059235E"/>
    <w:rsid w:val="00593784"/>
    <w:rsid w:val="0059456A"/>
    <w:rsid w:val="005962E8"/>
    <w:rsid w:val="005976E6"/>
    <w:rsid w:val="005977F2"/>
    <w:rsid w:val="005A0317"/>
    <w:rsid w:val="005A0666"/>
    <w:rsid w:val="005A0B97"/>
    <w:rsid w:val="005A0DB6"/>
    <w:rsid w:val="005A2385"/>
    <w:rsid w:val="005A2A4A"/>
    <w:rsid w:val="005A56BF"/>
    <w:rsid w:val="005A5D42"/>
    <w:rsid w:val="005A5E29"/>
    <w:rsid w:val="005A7C5B"/>
    <w:rsid w:val="005B055B"/>
    <w:rsid w:val="005B078C"/>
    <w:rsid w:val="005B0C22"/>
    <w:rsid w:val="005B0EF9"/>
    <w:rsid w:val="005B18AA"/>
    <w:rsid w:val="005B2D90"/>
    <w:rsid w:val="005B35D6"/>
    <w:rsid w:val="005B53E6"/>
    <w:rsid w:val="005B654F"/>
    <w:rsid w:val="005C012B"/>
    <w:rsid w:val="005C0B3F"/>
    <w:rsid w:val="005C0D87"/>
    <w:rsid w:val="005C1E26"/>
    <w:rsid w:val="005C263D"/>
    <w:rsid w:val="005C2843"/>
    <w:rsid w:val="005C343F"/>
    <w:rsid w:val="005C3700"/>
    <w:rsid w:val="005C3BF2"/>
    <w:rsid w:val="005C5863"/>
    <w:rsid w:val="005C62EA"/>
    <w:rsid w:val="005C64EA"/>
    <w:rsid w:val="005C6F32"/>
    <w:rsid w:val="005D0866"/>
    <w:rsid w:val="005D11E1"/>
    <w:rsid w:val="005D18F2"/>
    <w:rsid w:val="005D1F1B"/>
    <w:rsid w:val="005D2444"/>
    <w:rsid w:val="005D2ABC"/>
    <w:rsid w:val="005D3ED4"/>
    <w:rsid w:val="005D4C2D"/>
    <w:rsid w:val="005D4E63"/>
    <w:rsid w:val="005D64D3"/>
    <w:rsid w:val="005D69A6"/>
    <w:rsid w:val="005E0603"/>
    <w:rsid w:val="005E0D94"/>
    <w:rsid w:val="005E129C"/>
    <w:rsid w:val="005E1855"/>
    <w:rsid w:val="005E21A2"/>
    <w:rsid w:val="005E33CD"/>
    <w:rsid w:val="005E445D"/>
    <w:rsid w:val="005E5113"/>
    <w:rsid w:val="005E7624"/>
    <w:rsid w:val="005E784F"/>
    <w:rsid w:val="005F1A65"/>
    <w:rsid w:val="005F3430"/>
    <w:rsid w:val="005F3E3F"/>
    <w:rsid w:val="005F4161"/>
    <w:rsid w:val="005F5141"/>
    <w:rsid w:val="005F56F1"/>
    <w:rsid w:val="005F5F3B"/>
    <w:rsid w:val="005F637C"/>
    <w:rsid w:val="005F744D"/>
    <w:rsid w:val="0060098D"/>
    <w:rsid w:val="006011DF"/>
    <w:rsid w:val="006018EA"/>
    <w:rsid w:val="00601A43"/>
    <w:rsid w:val="0060377A"/>
    <w:rsid w:val="00606115"/>
    <w:rsid w:val="00606FBE"/>
    <w:rsid w:val="006070F7"/>
    <w:rsid w:val="00607826"/>
    <w:rsid w:val="006113B7"/>
    <w:rsid w:val="0061240D"/>
    <w:rsid w:val="00612437"/>
    <w:rsid w:val="0061385B"/>
    <w:rsid w:val="00614E25"/>
    <w:rsid w:val="00616C54"/>
    <w:rsid w:val="00617212"/>
    <w:rsid w:val="006172EF"/>
    <w:rsid w:val="00617941"/>
    <w:rsid w:val="006203A9"/>
    <w:rsid w:val="00622669"/>
    <w:rsid w:val="00623797"/>
    <w:rsid w:val="00623D74"/>
    <w:rsid w:val="00626D86"/>
    <w:rsid w:val="00626FA0"/>
    <w:rsid w:val="00627478"/>
    <w:rsid w:val="006305F0"/>
    <w:rsid w:val="0063181B"/>
    <w:rsid w:val="006326ED"/>
    <w:rsid w:val="00632B12"/>
    <w:rsid w:val="006330BF"/>
    <w:rsid w:val="00633487"/>
    <w:rsid w:val="00633819"/>
    <w:rsid w:val="0063385F"/>
    <w:rsid w:val="00634967"/>
    <w:rsid w:val="00635285"/>
    <w:rsid w:val="00635D89"/>
    <w:rsid w:val="00642394"/>
    <w:rsid w:val="0064366E"/>
    <w:rsid w:val="00645C85"/>
    <w:rsid w:val="0064601B"/>
    <w:rsid w:val="00646032"/>
    <w:rsid w:val="00646A26"/>
    <w:rsid w:val="00652A16"/>
    <w:rsid w:val="00653317"/>
    <w:rsid w:val="00653FB2"/>
    <w:rsid w:val="00654263"/>
    <w:rsid w:val="006560E2"/>
    <w:rsid w:val="00657056"/>
    <w:rsid w:val="0066107D"/>
    <w:rsid w:val="006619AF"/>
    <w:rsid w:val="00661D50"/>
    <w:rsid w:val="00662F30"/>
    <w:rsid w:val="00663B85"/>
    <w:rsid w:val="006645BD"/>
    <w:rsid w:val="006654F5"/>
    <w:rsid w:val="00665BA2"/>
    <w:rsid w:val="006679E9"/>
    <w:rsid w:val="00670507"/>
    <w:rsid w:val="006712D6"/>
    <w:rsid w:val="0067233E"/>
    <w:rsid w:val="00673235"/>
    <w:rsid w:val="00673CDB"/>
    <w:rsid w:val="006742CA"/>
    <w:rsid w:val="006746AE"/>
    <w:rsid w:val="00674F8C"/>
    <w:rsid w:val="00675F5A"/>
    <w:rsid w:val="006765A9"/>
    <w:rsid w:val="0067712A"/>
    <w:rsid w:val="00677438"/>
    <w:rsid w:val="0068084A"/>
    <w:rsid w:val="00681477"/>
    <w:rsid w:val="006823D6"/>
    <w:rsid w:val="0068264A"/>
    <w:rsid w:val="00685E00"/>
    <w:rsid w:val="00686FEE"/>
    <w:rsid w:val="00687E6A"/>
    <w:rsid w:val="00691A15"/>
    <w:rsid w:val="00692C3F"/>
    <w:rsid w:val="00694F82"/>
    <w:rsid w:val="006950AD"/>
    <w:rsid w:val="0069568E"/>
    <w:rsid w:val="0069629B"/>
    <w:rsid w:val="006963DB"/>
    <w:rsid w:val="006A0301"/>
    <w:rsid w:val="006A0CBB"/>
    <w:rsid w:val="006A211C"/>
    <w:rsid w:val="006A4A5C"/>
    <w:rsid w:val="006A4B3D"/>
    <w:rsid w:val="006A4E91"/>
    <w:rsid w:val="006A5BA7"/>
    <w:rsid w:val="006B0B81"/>
    <w:rsid w:val="006B0CB9"/>
    <w:rsid w:val="006B0DCD"/>
    <w:rsid w:val="006B1048"/>
    <w:rsid w:val="006B113C"/>
    <w:rsid w:val="006B12AC"/>
    <w:rsid w:val="006B1751"/>
    <w:rsid w:val="006B2499"/>
    <w:rsid w:val="006B3E68"/>
    <w:rsid w:val="006B4514"/>
    <w:rsid w:val="006B4F8F"/>
    <w:rsid w:val="006B520C"/>
    <w:rsid w:val="006B56F9"/>
    <w:rsid w:val="006B7436"/>
    <w:rsid w:val="006C022C"/>
    <w:rsid w:val="006C3552"/>
    <w:rsid w:val="006C59EE"/>
    <w:rsid w:val="006C5D97"/>
    <w:rsid w:val="006C674C"/>
    <w:rsid w:val="006C6963"/>
    <w:rsid w:val="006C7A37"/>
    <w:rsid w:val="006C7D8F"/>
    <w:rsid w:val="006D0562"/>
    <w:rsid w:val="006D19A0"/>
    <w:rsid w:val="006D1B49"/>
    <w:rsid w:val="006D32BF"/>
    <w:rsid w:val="006D35FA"/>
    <w:rsid w:val="006D5B38"/>
    <w:rsid w:val="006D65F9"/>
    <w:rsid w:val="006D72D3"/>
    <w:rsid w:val="006E0831"/>
    <w:rsid w:val="006E10E6"/>
    <w:rsid w:val="006E212D"/>
    <w:rsid w:val="006E3101"/>
    <w:rsid w:val="006E4C1B"/>
    <w:rsid w:val="006E5387"/>
    <w:rsid w:val="006E5F19"/>
    <w:rsid w:val="006E6829"/>
    <w:rsid w:val="006E71FD"/>
    <w:rsid w:val="006E77D1"/>
    <w:rsid w:val="006F0964"/>
    <w:rsid w:val="006F10F1"/>
    <w:rsid w:val="006F21F0"/>
    <w:rsid w:val="006F25E5"/>
    <w:rsid w:val="006F379D"/>
    <w:rsid w:val="006F3DF0"/>
    <w:rsid w:val="006F4B61"/>
    <w:rsid w:val="006F4FDA"/>
    <w:rsid w:val="006F55C2"/>
    <w:rsid w:val="006F68CF"/>
    <w:rsid w:val="006F6DAE"/>
    <w:rsid w:val="006F7935"/>
    <w:rsid w:val="0070074D"/>
    <w:rsid w:val="00700DF5"/>
    <w:rsid w:val="0070104E"/>
    <w:rsid w:val="00702038"/>
    <w:rsid w:val="00703F67"/>
    <w:rsid w:val="007058DA"/>
    <w:rsid w:val="00706A50"/>
    <w:rsid w:val="00707291"/>
    <w:rsid w:val="007075C8"/>
    <w:rsid w:val="00707689"/>
    <w:rsid w:val="00707867"/>
    <w:rsid w:val="00710064"/>
    <w:rsid w:val="00711EC5"/>
    <w:rsid w:val="0071201D"/>
    <w:rsid w:val="007123C3"/>
    <w:rsid w:val="00712B84"/>
    <w:rsid w:val="00713806"/>
    <w:rsid w:val="0071485C"/>
    <w:rsid w:val="00715FD7"/>
    <w:rsid w:val="0071657D"/>
    <w:rsid w:val="00716BD1"/>
    <w:rsid w:val="00717311"/>
    <w:rsid w:val="00717A99"/>
    <w:rsid w:val="007207C4"/>
    <w:rsid w:val="00722746"/>
    <w:rsid w:val="007245DC"/>
    <w:rsid w:val="00724B5B"/>
    <w:rsid w:val="00726BDE"/>
    <w:rsid w:val="00726C5F"/>
    <w:rsid w:val="007275C5"/>
    <w:rsid w:val="00730D17"/>
    <w:rsid w:val="007314C7"/>
    <w:rsid w:val="0073187E"/>
    <w:rsid w:val="0073196C"/>
    <w:rsid w:val="00731E3A"/>
    <w:rsid w:val="00732048"/>
    <w:rsid w:val="00732B5A"/>
    <w:rsid w:val="00735DE9"/>
    <w:rsid w:val="0073652E"/>
    <w:rsid w:val="0073706F"/>
    <w:rsid w:val="007400C5"/>
    <w:rsid w:val="00741F20"/>
    <w:rsid w:val="00742197"/>
    <w:rsid w:val="00742CE5"/>
    <w:rsid w:val="00743DC2"/>
    <w:rsid w:val="00745117"/>
    <w:rsid w:val="00745FFE"/>
    <w:rsid w:val="00746ACE"/>
    <w:rsid w:val="00750FCD"/>
    <w:rsid w:val="0075137E"/>
    <w:rsid w:val="00751F28"/>
    <w:rsid w:val="00751FEE"/>
    <w:rsid w:val="0075312E"/>
    <w:rsid w:val="00754601"/>
    <w:rsid w:val="0075496E"/>
    <w:rsid w:val="007564F9"/>
    <w:rsid w:val="00756629"/>
    <w:rsid w:val="00760193"/>
    <w:rsid w:val="007604DB"/>
    <w:rsid w:val="00760DFD"/>
    <w:rsid w:val="0076105A"/>
    <w:rsid w:val="007626DA"/>
    <w:rsid w:val="00762B15"/>
    <w:rsid w:val="007630E5"/>
    <w:rsid w:val="00763677"/>
    <w:rsid w:val="00763CA3"/>
    <w:rsid w:val="007652A0"/>
    <w:rsid w:val="00765716"/>
    <w:rsid w:val="0076574A"/>
    <w:rsid w:val="00765CEB"/>
    <w:rsid w:val="00765E71"/>
    <w:rsid w:val="00770173"/>
    <w:rsid w:val="00770BA3"/>
    <w:rsid w:val="0077451B"/>
    <w:rsid w:val="00776DC4"/>
    <w:rsid w:val="007773A6"/>
    <w:rsid w:val="0077789A"/>
    <w:rsid w:val="007810B1"/>
    <w:rsid w:val="007814B3"/>
    <w:rsid w:val="00782916"/>
    <w:rsid w:val="0078412D"/>
    <w:rsid w:val="00784943"/>
    <w:rsid w:val="00787857"/>
    <w:rsid w:val="00791A1B"/>
    <w:rsid w:val="00792CB0"/>
    <w:rsid w:val="00792E7E"/>
    <w:rsid w:val="00792EE9"/>
    <w:rsid w:val="00794A69"/>
    <w:rsid w:val="00795A36"/>
    <w:rsid w:val="00796327"/>
    <w:rsid w:val="007979EE"/>
    <w:rsid w:val="00797BA7"/>
    <w:rsid w:val="007A01EC"/>
    <w:rsid w:val="007A423B"/>
    <w:rsid w:val="007A6219"/>
    <w:rsid w:val="007A7491"/>
    <w:rsid w:val="007B061C"/>
    <w:rsid w:val="007B07D9"/>
    <w:rsid w:val="007B20AA"/>
    <w:rsid w:val="007B23F6"/>
    <w:rsid w:val="007B4BA9"/>
    <w:rsid w:val="007B4D7D"/>
    <w:rsid w:val="007B50BF"/>
    <w:rsid w:val="007B57B3"/>
    <w:rsid w:val="007B7136"/>
    <w:rsid w:val="007B7662"/>
    <w:rsid w:val="007C001A"/>
    <w:rsid w:val="007C01C9"/>
    <w:rsid w:val="007C061B"/>
    <w:rsid w:val="007C1360"/>
    <w:rsid w:val="007C17F0"/>
    <w:rsid w:val="007C2FCC"/>
    <w:rsid w:val="007C3729"/>
    <w:rsid w:val="007C374C"/>
    <w:rsid w:val="007C3966"/>
    <w:rsid w:val="007C3BC1"/>
    <w:rsid w:val="007C3BC5"/>
    <w:rsid w:val="007C3D4A"/>
    <w:rsid w:val="007C5694"/>
    <w:rsid w:val="007C5FEC"/>
    <w:rsid w:val="007C64F4"/>
    <w:rsid w:val="007C6C35"/>
    <w:rsid w:val="007C6C71"/>
    <w:rsid w:val="007C78DD"/>
    <w:rsid w:val="007C79D6"/>
    <w:rsid w:val="007C7C81"/>
    <w:rsid w:val="007D040C"/>
    <w:rsid w:val="007D2BF8"/>
    <w:rsid w:val="007D452C"/>
    <w:rsid w:val="007D4912"/>
    <w:rsid w:val="007D5317"/>
    <w:rsid w:val="007D5705"/>
    <w:rsid w:val="007D5769"/>
    <w:rsid w:val="007D5B2D"/>
    <w:rsid w:val="007D74C9"/>
    <w:rsid w:val="007E2BD3"/>
    <w:rsid w:val="007E3786"/>
    <w:rsid w:val="007E6AD8"/>
    <w:rsid w:val="007E719F"/>
    <w:rsid w:val="007F2EDF"/>
    <w:rsid w:val="007F7382"/>
    <w:rsid w:val="007F7422"/>
    <w:rsid w:val="00803679"/>
    <w:rsid w:val="00803D12"/>
    <w:rsid w:val="008044D9"/>
    <w:rsid w:val="00804D2D"/>
    <w:rsid w:val="008054A6"/>
    <w:rsid w:val="00806CBF"/>
    <w:rsid w:val="00807EC0"/>
    <w:rsid w:val="00810557"/>
    <w:rsid w:val="00811FDD"/>
    <w:rsid w:val="00812A0E"/>
    <w:rsid w:val="00813359"/>
    <w:rsid w:val="00813E86"/>
    <w:rsid w:val="00813F35"/>
    <w:rsid w:val="0081441F"/>
    <w:rsid w:val="00816808"/>
    <w:rsid w:val="00817055"/>
    <w:rsid w:val="00817D4D"/>
    <w:rsid w:val="0082062D"/>
    <w:rsid w:val="008227F7"/>
    <w:rsid w:val="0082353E"/>
    <w:rsid w:val="00825F8E"/>
    <w:rsid w:val="008276F8"/>
    <w:rsid w:val="00827DF2"/>
    <w:rsid w:val="008304BA"/>
    <w:rsid w:val="0083135A"/>
    <w:rsid w:val="00832F6A"/>
    <w:rsid w:val="0083324F"/>
    <w:rsid w:val="00834310"/>
    <w:rsid w:val="00835260"/>
    <w:rsid w:val="00835385"/>
    <w:rsid w:val="00835C29"/>
    <w:rsid w:val="00836752"/>
    <w:rsid w:val="0084014B"/>
    <w:rsid w:val="00840950"/>
    <w:rsid w:val="008415A1"/>
    <w:rsid w:val="0084287A"/>
    <w:rsid w:val="008438ED"/>
    <w:rsid w:val="00843C50"/>
    <w:rsid w:val="00844F67"/>
    <w:rsid w:val="00845677"/>
    <w:rsid w:val="00845CB6"/>
    <w:rsid w:val="00846F67"/>
    <w:rsid w:val="00847BE8"/>
    <w:rsid w:val="00850A78"/>
    <w:rsid w:val="00853B14"/>
    <w:rsid w:val="00853CD1"/>
    <w:rsid w:val="008540C7"/>
    <w:rsid w:val="00856295"/>
    <w:rsid w:val="00861B75"/>
    <w:rsid w:val="00861C43"/>
    <w:rsid w:val="00861D81"/>
    <w:rsid w:val="0086247E"/>
    <w:rsid w:val="008625C1"/>
    <w:rsid w:val="008636EE"/>
    <w:rsid w:val="00864BBD"/>
    <w:rsid w:val="008652D9"/>
    <w:rsid w:val="00865C05"/>
    <w:rsid w:val="00870A3A"/>
    <w:rsid w:val="00871796"/>
    <w:rsid w:val="00872115"/>
    <w:rsid w:val="00872EE7"/>
    <w:rsid w:val="00873204"/>
    <w:rsid w:val="00876CD7"/>
    <w:rsid w:val="008775C8"/>
    <w:rsid w:val="00877642"/>
    <w:rsid w:val="008801C6"/>
    <w:rsid w:val="008808A4"/>
    <w:rsid w:val="00882514"/>
    <w:rsid w:val="00884685"/>
    <w:rsid w:val="00885F97"/>
    <w:rsid w:val="008861EF"/>
    <w:rsid w:val="00886E10"/>
    <w:rsid w:val="00887099"/>
    <w:rsid w:val="008876AF"/>
    <w:rsid w:val="00891361"/>
    <w:rsid w:val="008914E5"/>
    <w:rsid w:val="008921D6"/>
    <w:rsid w:val="00892295"/>
    <w:rsid w:val="0089244D"/>
    <w:rsid w:val="00892BAB"/>
    <w:rsid w:val="00893A80"/>
    <w:rsid w:val="008940B2"/>
    <w:rsid w:val="008948C7"/>
    <w:rsid w:val="008951E1"/>
    <w:rsid w:val="00895546"/>
    <w:rsid w:val="008959C6"/>
    <w:rsid w:val="0089677F"/>
    <w:rsid w:val="00896840"/>
    <w:rsid w:val="00897FCC"/>
    <w:rsid w:val="008A2684"/>
    <w:rsid w:val="008A362A"/>
    <w:rsid w:val="008A5C9B"/>
    <w:rsid w:val="008A6936"/>
    <w:rsid w:val="008A6EB1"/>
    <w:rsid w:val="008A72D3"/>
    <w:rsid w:val="008B0493"/>
    <w:rsid w:val="008B18B8"/>
    <w:rsid w:val="008B4045"/>
    <w:rsid w:val="008B523F"/>
    <w:rsid w:val="008B729B"/>
    <w:rsid w:val="008B7DAD"/>
    <w:rsid w:val="008C0665"/>
    <w:rsid w:val="008C1622"/>
    <w:rsid w:val="008C2DB4"/>
    <w:rsid w:val="008C443F"/>
    <w:rsid w:val="008C6BF6"/>
    <w:rsid w:val="008C769E"/>
    <w:rsid w:val="008D0477"/>
    <w:rsid w:val="008D103C"/>
    <w:rsid w:val="008D12A1"/>
    <w:rsid w:val="008D14ED"/>
    <w:rsid w:val="008D2B60"/>
    <w:rsid w:val="008D343B"/>
    <w:rsid w:val="008D34EB"/>
    <w:rsid w:val="008D40E4"/>
    <w:rsid w:val="008D5D95"/>
    <w:rsid w:val="008D6351"/>
    <w:rsid w:val="008D746B"/>
    <w:rsid w:val="008D7856"/>
    <w:rsid w:val="008D7988"/>
    <w:rsid w:val="008E26DC"/>
    <w:rsid w:val="008E2B57"/>
    <w:rsid w:val="008E7516"/>
    <w:rsid w:val="008F0442"/>
    <w:rsid w:val="008F0A56"/>
    <w:rsid w:val="008F0DBB"/>
    <w:rsid w:val="008F1DCF"/>
    <w:rsid w:val="008F21A3"/>
    <w:rsid w:val="008F25FE"/>
    <w:rsid w:val="008F283F"/>
    <w:rsid w:val="008F2AC4"/>
    <w:rsid w:val="008F2DB9"/>
    <w:rsid w:val="008F33AA"/>
    <w:rsid w:val="008F3B72"/>
    <w:rsid w:val="008F607C"/>
    <w:rsid w:val="008F7736"/>
    <w:rsid w:val="009018E3"/>
    <w:rsid w:val="009027A3"/>
    <w:rsid w:val="009029DF"/>
    <w:rsid w:val="00905449"/>
    <w:rsid w:val="00907296"/>
    <w:rsid w:val="00912684"/>
    <w:rsid w:val="0091393D"/>
    <w:rsid w:val="00913C96"/>
    <w:rsid w:val="0091442F"/>
    <w:rsid w:val="009147E2"/>
    <w:rsid w:val="00915514"/>
    <w:rsid w:val="00915A23"/>
    <w:rsid w:val="009166FA"/>
    <w:rsid w:val="00917482"/>
    <w:rsid w:val="00921A28"/>
    <w:rsid w:val="00922FE6"/>
    <w:rsid w:val="00923C89"/>
    <w:rsid w:val="0092420B"/>
    <w:rsid w:val="00924F65"/>
    <w:rsid w:val="00925FED"/>
    <w:rsid w:val="00927147"/>
    <w:rsid w:val="00927445"/>
    <w:rsid w:val="009275E9"/>
    <w:rsid w:val="00927976"/>
    <w:rsid w:val="00930808"/>
    <w:rsid w:val="00932B0A"/>
    <w:rsid w:val="00934075"/>
    <w:rsid w:val="00937412"/>
    <w:rsid w:val="00937E97"/>
    <w:rsid w:val="00943ED6"/>
    <w:rsid w:val="00943F06"/>
    <w:rsid w:val="00945942"/>
    <w:rsid w:val="00945F2F"/>
    <w:rsid w:val="00945F3E"/>
    <w:rsid w:val="00946621"/>
    <w:rsid w:val="00946689"/>
    <w:rsid w:val="00951BF7"/>
    <w:rsid w:val="0095316C"/>
    <w:rsid w:val="009539B1"/>
    <w:rsid w:val="00953CA9"/>
    <w:rsid w:val="00953DC1"/>
    <w:rsid w:val="00954193"/>
    <w:rsid w:val="0095493E"/>
    <w:rsid w:val="0095595D"/>
    <w:rsid w:val="00960D2B"/>
    <w:rsid w:val="009615D8"/>
    <w:rsid w:val="009617D1"/>
    <w:rsid w:val="0096217F"/>
    <w:rsid w:val="00962BBE"/>
    <w:rsid w:val="00962C2B"/>
    <w:rsid w:val="00963D12"/>
    <w:rsid w:val="0096474C"/>
    <w:rsid w:val="00964909"/>
    <w:rsid w:val="009662A7"/>
    <w:rsid w:val="009669D2"/>
    <w:rsid w:val="00966E49"/>
    <w:rsid w:val="00971113"/>
    <w:rsid w:val="00971545"/>
    <w:rsid w:val="0097170D"/>
    <w:rsid w:val="00973E6D"/>
    <w:rsid w:val="00974B15"/>
    <w:rsid w:val="00974B30"/>
    <w:rsid w:val="0097506D"/>
    <w:rsid w:val="00975B29"/>
    <w:rsid w:val="0097637C"/>
    <w:rsid w:val="00976A65"/>
    <w:rsid w:val="00977267"/>
    <w:rsid w:val="00977D85"/>
    <w:rsid w:val="00981895"/>
    <w:rsid w:val="0098420A"/>
    <w:rsid w:val="009862D0"/>
    <w:rsid w:val="0098678D"/>
    <w:rsid w:val="00986FEC"/>
    <w:rsid w:val="00987CBC"/>
    <w:rsid w:val="0099081A"/>
    <w:rsid w:val="009909AF"/>
    <w:rsid w:val="009910F3"/>
    <w:rsid w:val="00991C3A"/>
    <w:rsid w:val="009940A4"/>
    <w:rsid w:val="009A00F3"/>
    <w:rsid w:val="009A0BBB"/>
    <w:rsid w:val="009A1975"/>
    <w:rsid w:val="009A19DE"/>
    <w:rsid w:val="009A2A48"/>
    <w:rsid w:val="009A326A"/>
    <w:rsid w:val="009A3AC8"/>
    <w:rsid w:val="009A3C40"/>
    <w:rsid w:val="009A5F9F"/>
    <w:rsid w:val="009A6287"/>
    <w:rsid w:val="009A6D1E"/>
    <w:rsid w:val="009A6D97"/>
    <w:rsid w:val="009A72CB"/>
    <w:rsid w:val="009A7346"/>
    <w:rsid w:val="009B1D59"/>
    <w:rsid w:val="009B4929"/>
    <w:rsid w:val="009B4ACE"/>
    <w:rsid w:val="009B55C5"/>
    <w:rsid w:val="009B604F"/>
    <w:rsid w:val="009B69B2"/>
    <w:rsid w:val="009B6D8B"/>
    <w:rsid w:val="009B7CBB"/>
    <w:rsid w:val="009C026D"/>
    <w:rsid w:val="009C0AF1"/>
    <w:rsid w:val="009C1D1D"/>
    <w:rsid w:val="009C249B"/>
    <w:rsid w:val="009C257F"/>
    <w:rsid w:val="009C2816"/>
    <w:rsid w:val="009C33FF"/>
    <w:rsid w:val="009C40C7"/>
    <w:rsid w:val="009C5B80"/>
    <w:rsid w:val="009C5EE1"/>
    <w:rsid w:val="009C6D49"/>
    <w:rsid w:val="009C7D09"/>
    <w:rsid w:val="009D0B2A"/>
    <w:rsid w:val="009D0E80"/>
    <w:rsid w:val="009D1E09"/>
    <w:rsid w:val="009D2986"/>
    <w:rsid w:val="009D4996"/>
    <w:rsid w:val="009D4FD8"/>
    <w:rsid w:val="009E0506"/>
    <w:rsid w:val="009E1DC6"/>
    <w:rsid w:val="009F00AE"/>
    <w:rsid w:val="009F23A6"/>
    <w:rsid w:val="009F35E1"/>
    <w:rsid w:val="009F35FE"/>
    <w:rsid w:val="009F3B40"/>
    <w:rsid w:val="009F3C3A"/>
    <w:rsid w:val="009F577D"/>
    <w:rsid w:val="009F6C79"/>
    <w:rsid w:val="009F704B"/>
    <w:rsid w:val="009F7951"/>
    <w:rsid w:val="009F7FFD"/>
    <w:rsid w:val="00A003D5"/>
    <w:rsid w:val="00A04FC2"/>
    <w:rsid w:val="00A06538"/>
    <w:rsid w:val="00A06971"/>
    <w:rsid w:val="00A06998"/>
    <w:rsid w:val="00A1212F"/>
    <w:rsid w:val="00A12A29"/>
    <w:rsid w:val="00A13FD8"/>
    <w:rsid w:val="00A1416F"/>
    <w:rsid w:val="00A16D8B"/>
    <w:rsid w:val="00A1762C"/>
    <w:rsid w:val="00A20BB8"/>
    <w:rsid w:val="00A2140E"/>
    <w:rsid w:val="00A2296D"/>
    <w:rsid w:val="00A22BAC"/>
    <w:rsid w:val="00A23F64"/>
    <w:rsid w:val="00A24B35"/>
    <w:rsid w:val="00A25248"/>
    <w:rsid w:val="00A25F5C"/>
    <w:rsid w:val="00A27C9D"/>
    <w:rsid w:val="00A31242"/>
    <w:rsid w:val="00A33713"/>
    <w:rsid w:val="00A349F1"/>
    <w:rsid w:val="00A36178"/>
    <w:rsid w:val="00A36284"/>
    <w:rsid w:val="00A36550"/>
    <w:rsid w:val="00A36A11"/>
    <w:rsid w:val="00A378E5"/>
    <w:rsid w:val="00A4245E"/>
    <w:rsid w:val="00A440D2"/>
    <w:rsid w:val="00A44823"/>
    <w:rsid w:val="00A44E4D"/>
    <w:rsid w:val="00A44E58"/>
    <w:rsid w:val="00A454F3"/>
    <w:rsid w:val="00A45596"/>
    <w:rsid w:val="00A45D06"/>
    <w:rsid w:val="00A4605E"/>
    <w:rsid w:val="00A50899"/>
    <w:rsid w:val="00A50CD2"/>
    <w:rsid w:val="00A552D7"/>
    <w:rsid w:val="00A55A16"/>
    <w:rsid w:val="00A57A65"/>
    <w:rsid w:val="00A62ABD"/>
    <w:rsid w:val="00A62F5A"/>
    <w:rsid w:val="00A63B59"/>
    <w:rsid w:val="00A63BB2"/>
    <w:rsid w:val="00A640D6"/>
    <w:rsid w:val="00A64A70"/>
    <w:rsid w:val="00A65120"/>
    <w:rsid w:val="00A65E29"/>
    <w:rsid w:val="00A66533"/>
    <w:rsid w:val="00A669A2"/>
    <w:rsid w:val="00A70E0D"/>
    <w:rsid w:val="00A71EE5"/>
    <w:rsid w:val="00A72EBF"/>
    <w:rsid w:val="00A7383E"/>
    <w:rsid w:val="00A744D2"/>
    <w:rsid w:val="00A755E1"/>
    <w:rsid w:val="00A75785"/>
    <w:rsid w:val="00A75824"/>
    <w:rsid w:val="00A76303"/>
    <w:rsid w:val="00A76728"/>
    <w:rsid w:val="00A77385"/>
    <w:rsid w:val="00A77A58"/>
    <w:rsid w:val="00A8089B"/>
    <w:rsid w:val="00A81160"/>
    <w:rsid w:val="00A81ECA"/>
    <w:rsid w:val="00A82847"/>
    <w:rsid w:val="00A8312E"/>
    <w:rsid w:val="00A83A96"/>
    <w:rsid w:val="00A83ECB"/>
    <w:rsid w:val="00A85E98"/>
    <w:rsid w:val="00A87D30"/>
    <w:rsid w:val="00A9108A"/>
    <w:rsid w:val="00A91D72"/>
    <w:rsid w:val="00A9211E"/>
    <w:rsid w:val="00A95AD2"/>
    <w:rsid w:val="00AA0967"/>
    <w:rsid w:val="00AA1A6D"/>
    <w:rsid w:val="00AA1D47"/>
    <w:rsid w:val="00AA39B7"/>
    <w:rsid w:val="00AA41A2"/>
    <w:rsid w:val="00AA4E2C"/>
    <w:rsid w:val="00AA632B"/>
    <w:rsid w:val="00AA709D"/>
    <w:rsid w:val="00AB0458"/>
    <w:rsid w:val="00AB1516"/>
    <w:rsid w:val="00AB2A57"/>
    <w:rsid w:val="00AB341A"/>
    <w:rsid w:val="00AB3F9D"/>
    <w:rsid w:val="00AB420F"/>
    <w:rsid w:val="00AB46E2"/>
    <w:rsid w:val="00AB47F2"/>
    <w:rsid w:val="00AB6238"/>
    <w:rsid w:val="00AB7122"/>
    <w:rsid w:val="00AC01E7"/>
    <w:rsid w:val="00AC214D"/>
    <w:rsid w:val="00AC4376"/>
    <w:rsid w:val="00AC73EA"/>
    <w:rsid w:val="00AC7997"/>
    <w:rsid w:val="00AC7C2B"/>
    <w:rsid w:val="00AC7C6E"/>
    <w:rsid w:val="00AC7D6D"/>
    <w:rsid w:val="00AD0AAB"/>
    <w:rsid w:val="00AD0B8B"/>
    <w:rsid w:val="00AD1662"/>
    <w:rsid w:val="00AD2392"/>
    <w:rsid w:val="00AD5311"/>
    <w:rsid w:val="00AD5D30"/>
    <w:rsid w:val="00AD6A4B"/>
    <w:rsid w:val="00AD7237"/>
    <w:rsid w:val="00AD7350"/>
    <w:rsid w:val="00AE0EF0"/>
    <w:rsid w:val="00AE14E7"/>
    <w:rsid w:val="00AE3A4C"/>
    <w:rsid w:val="00AE4508"/>
    <w:rsid w:val="00AE456C"/>
    <w:rsid w:val="00AE4A86"/>
    <w:rsid w:val="00AE53D4"/>
    <w:rsid w:val="00AE5D1D"/>
    <w:rsid w:val="00AE6902"/>
    <w:rsid w:val="00AE77A0"/>
    <w:rsid w:val="00AF0D3D"/>
    <w:rsid w:val="00AF15E6"/>
    <w:rsid w:val="00AF2FF0"/>
    <w:rsid w:val="00AF3E4E"/>
    <w:rsid w:val="00AF402F"/>
    <w:rsid w:val="00AF4955"/>
    <w:rsid w:val="00AF6ECB"/>
    <w:rsid w:val="00AF743B"/>
    <w:rsid w:val="00AF7EBB"/>
    <w:rsid w:val="00B03072"/>
    <w:rsid w:val="00B03F65"/>
    <w:rsid w:val="00B047A9"/>
    <w:rsid w:val="00B055AC"/>
    <w:rsid w:val="00B05BAB"/>
    <w:rsid w:val="00B06974"/>
    <w:rsid w:val="00B10991"/>
    <w:rsid w:val="00B12830"/>
    <w:rsid w:val="00B1382C"/>
    <w:rsid w:val="00B1424B"/>
    <w:rsid w:val="00B15243"/>
    <w:rsid w:val="00B16ADB"/>
    <w:rsid w:val="00B16C74"/>
    <w:rsid w:val="00B16CEC"/>
    <w:rsid w:val="00B179A6"/>
    <w:rsid w:val="00B20F02"/>
    <w:rsid w:val="00B210DC"/>
    <w:rsid w:val="00B220AA"/>
    <w:rsid w:val="00B222A6"/>
    <w:rsid w:val="00B22CE0"/>
    <w:rsid w:val="00B22CE6"/>
    <w:rsid w:val="00B234E3"/>
    <w:rsid w:val="00B26260"/>
    <w:rsid w:val="00B276A4"/>
    <w:rsid w:val="00B27A88"/>
    <w:rsid w:val="00B27F48"/>
    <w:rsid w:val="00B3046A"/>
    <w:rsid w:val="00B30672"/>
    <w:rsid w:val="00B31634"/>
    <w:rsid w:val="00B317E4"/>
    <w:rsid w:val="00B318B6"/>
    <w:rsid w:val="00B32EE0"/>
    <w:rsid w:val="00B33422"/>
    <w:rsid w:val="00B34F31"/>
    <w:rsid w:val="00B359B5"/>
    <w:rsid w:val="00B35EC4"/>
    <w:rsid w:val="00B3642E"/>
    <w:rsid w:val="00B3722B"/>
    <w:rsid w:val="00B372D1"/>
    <w:rsid w:val="00B372D3"/>
    <w:rsid w:val="00B377C7"/>
    <w:rsid w:val="00B377FD"/>
    <w:rsid w:val="00B37913"/>
    <w:rsid w:val="00B41546"/>
    <w:rsid w:val="00B41899"/>
    <w:rsid w:val="00B41BA8"/>
    <w:rsid w:val="00B4259A"/>
    <w:rsid w:val="00B42C3C"/>
    <w:rsid w:val="00B4492F"/>
    <w:rsid w:val="00B46E91"/>
    <w:rsid w:val="00B46F07"/>
    <w:rsid w:val="00B4736C"/>
    <w:rsid w:val="00B50A44"/>
    <w:rsid w:val="00B5228B"/>
    <w:rsid w:val="00B53368"/>
    <w:rsid w:val="00B53997"/>
    <w:rsid w:val="00B55FBA"/>
    <w:rsid w:val="00B5729A"/>
    <w:rsid w:val="00B57B42"/>
    <w:rsid w:val="00B61423"/>
    <w:rsid w:val="00B61808"/>
    <w:rsid w:val="00B627C8"/>
    <w:rsid w:val="00B62F66"/>
    <w:rsid w:val="00B6376B"/>
    <w:rsid w:val="00B63B82"/>
    <w:rsid w:val="00B64B0E"/>
    <w:rsid w:val="00B6510F"/>
    <w:rsid w:val="00B65293"/>
    <w:rsid w:val="00B654F8"/>
    <w:rsid w:val="00B66DA2"/>
    <w:rsid w:val="00B7073A"/>
    <w:rsid w:val="00B72386"/>
    <w:rsid w:val="00B72DB6"/>
    <w:rsid w:val="00B73D95"/>
    <w:rsid w:val="00B74E23"/>
    <w:rsid w:val="00B7510B"/>
    <w:rsid w:val="00B75E24"/>
    <w:rsid w:val="00B769E4"/>
    <w:rsid w:val="00B76DA5"/>
    <w:rsid w:val="00B80F45"/>
    <w:rsid w:val="00B81799"/>
    <w:rsid w:val="00B822F1"/>
    <w:rsid w:val="00B82412"/>
    <w:rsid w:val="00B8335F"/>
    <w:rsid w:val="00B8343F"/>
    <w:rsid w:val="00B83910"/>
    <w:rsid w:val="00B83B79"/>
    <w:rsid w:val="00B85696"/>
    <w:rsid w:val="00B859D2"/>
    <w:rsid w:val="00B86A20"/>
    <w:rsid w:val="00B86C53"/>
    <w:rsid w:val="00B87BC8"/>
    <w:rsid w:val="00B908C3"/>
    <w:rsid w:val="00B916D3"/>
    <w:rsid w:val="00B92C3D"/>
    <w:rsid w:val="00B94909"/>
    <w:rsid w:val="00B95C1F"/>
    <w:rsid w:val="00B971F6"/>
    <w:rsid w:val="00B9763C"/>
    <w:rsid w:val="00B97C92"/>
    <w:rsid w:val="00B97E0A"/>
    <w:rsid w:val="00B97F40"/>
    <w:rsid w:val="00BA0A29"/>
    <w:rsid w:val="00BA12FC"/>
    <w:rsid w:val="00BA1630"/>
    <w:rsid w:val="00BA16CA"/>
    <w:rsid w:val="00BA26D6"/>
    <w:rsid w:val="00BA7CB2"/>
    <w:rsid w:val="00BB3B10"/>
    <w:rsid w:val="00BB3E91"/>
    <w:rsid w:val="00BB4B9D"/>
    <w:rsid w:val="00BB4ED0"/>
    <w:rsid w:val="00BB61BC"/>
    <w:rsid w:val="00BB668B"/>
    <w:rsid w:val="00BB789B"/>
    <w:rsid w:val="00BB7DB6"/>
    <w:rsid w:val="00BC09D8"/>
    <w:rsid w:val="00BC2156"/>
    <w:rsid w:val="00BC230F"/>
    <w:rsid w:val="00BC3419"/>
    <w:rsid w:val="00BC3BFD"/>
    <w:rsid w:val="00BC4A41"/>
    <w:rsid w:val="00BC5316"/>
    <w:rsid w:val="00BC56E0"/>
    <w:rsid w:val="00BC62EB"/>
    <w:rsid w:val="00BC6705"/>
    <w:rsid w:val="00BC6DED"/>
    <w:rsid w:val="00BC793F"/>
    <w:rsid w:val="00BD1DF0"/>
    <w:rsid w:val="00BD2A0F"/>
    <w:rsid w:val="00BD2CDE"/>
    <w:rsid w:val="00BD449B"/>
    <w:rsid w:val="00BD6C95"/>
    <w:rsid w:val="00BE004A"/>
    <w:rsid w:val="00BE0110"/>
    <w:rsid w:val="00BE0D74"/>
    <w:rsid w:val="00BE1DFD"/>
    <w:rsid w:val="00BE245F"/>
    <w:rsid w:val="00BE341A"/>
    <w:rsid w:val="00BE3E27"/>
    <w:rsid w:val="00BE50E3"/>
    <w:rsid w:val="00BE5290"/>
    <w:rsid w:val="00BE5BAE"/>
    <w:rsid w:val="00BE68C7"/>
    <w:rsid w:val="00BE72EA"/>
    <w:rsid w:val="00BF13AB"/>
    <w:rsid w:val="00BF19E0"/>
    <w:rsid w:val="00BF40D2"/>
    <w:rsid w:val="00BF49DB"/>
    <w:rsid w:val="00BF5446"/>
    <w:rsid w:val="00BF6B25"/>
    <w:rsid w:val="00C001AC"/>
    <w:rsid w:val="00C00612"/>
    <w:rsid w:val="00C013AC"/>
    <w:rsid w:val="00C0145B"/>
    <w:rsid w:val="00C01844"/>
    <w:rsid w:val="00C02731"/>
    <w:rsid w:val="00C030D8"/>
    <w:rsid w:val="00C0352D"/>
    <w:rsid w:val="00C052DF"/>
    <w:rsid w:val="00C05FC3"/>
    <w:rsid w:val="00C07AC2"/>
    <w:rsid w:val="00C10797"/>
    <w:rsid w:val="00C10936"/>
    <w:rsid w:val="00C10CDE"/>
    <w:rsid w:val="00C11DF3"/>
    <w:rsid w:val="00C121C6"/>
    <w:rsid w:val="00C137D2"/>
    <w:rsid w:val="00C15534"/>
    <w:rsid w:val="00C15F87"/>
    <w:rsid w:val="00C162CF"/>
    <w:rsid w:val="00C166CF"/>
    <w:rsid w:val="00C17273"/>
    <w:rsid w:val="00C20888"/>
    <w:rsid w:val="00C22453"/>
    <w:rsid w:val="00C22549"/>
    <w:rsid w:val="00C2272F"/>
    <w:rsid w:val="00C2306E"/>
    <w:rsid w:val="00C2324B"/>
    <w:rsid w:val="00C24DF0"/>
    <w:rsid w:val="00C24E29"/>
    <w:rsid w:val="00C24E81"/>
    <w:rsid w:val="00C267C4"/>
    <w:rsid w:val="00C27E29"/>
    <w:rsid w:val="00C30D1E"/>
    <w:rsid w:val="00C30E38"/>
    <w:rsid w:val="00C30FCD"/>
    <w:rsid w:val="00C31A91"/>
    <w:rsid w:val="00C3292D"/>
    <w:rsid w:val="00C32C2F"/>
    <w:rsid w:val="00C32F88"/>
    <w:rsid w:val="00C33C61"/>
    <w:rsid w:val="00C33C68"/>
    <w:rsid w:val="00C347F6"/>
    <w:rsid w:val="00C348B5"/>
    <w:rsid w:val="00C3648B"/>
    <w:rsid w:val="00C364A4"/>
    <w:rsid w:val="00C375CE"/>
    <w:rsid w:val="00C407E5"/>
    <w:rsid w:val="00C40B46"/>
    <w:rsid w:val="00C411FB"/>
    <w:rsid w:val="00C4135A"/>
    <w:rsid w:val="00C4213F"/>
    <w:rsid w:val="00C42CAC"/>
    <w:rsid w:val="00C4316B"/>
    <w:rsid w:val="00C43184"/>
    <w:rsid w:val="00C43B02"/>
    <w:rsid w:val="00C43D45"/>
    <w:rsid w:val="00C43D57"/>
    <w:rsid w:val="00C440BB"/>
    <w:rsid w:val="00C441BC"/>
    <w:rsid w:val="00C453EF"/>
    <w:rsid w:val="00C4678E"/>
    <w:rsid w:val="00C5126C"/>
    <w:rsid w:val="00C512F4"/>
    <w:rsid w:val="00C53666"/>
    <w:rsid w:val="00C536D6"/>
    <w:rsid w:val="00C53946"/>
    <w:rsid w:val="00C53F83"/>
    <w:rsid w:val="00C54A7D"/>
    <w:rsid w:val="00C56F37"/>
    <w:rsid w:val="00C56F84"/>
    <w:rsid w:val="00C61C3D"/>
    <w:rsid w:val="00C62E1F"/>
    <w:rsid w:val="00C63213"/>
    <w:rsid w:val="00C6481D"/>
    <w:rsid w:val="00C64866"/>
    <w:rsid w:val="00C64A4A"/>
    <w:rsid w:val="00C64B3C"/>
    <w:rsid w:val="00C653C2"/>
    <w:rsid w:val="00C709D9"/>
    <w:rsid w:val="00C71A43"/>
    <w:rsid w:val="00C755A7"/>
    <w:rsid w:val="00C801C6"/>
    <w:rsid w:val="00C820A7"/>
    <w:rsid w:val="00C8402B"/>
    <w:rsid w:val="00C85ABE"/>
    <w:rsid w:val="00C868FB"/>
    <w:rsid w:val="00C91CBD"/>
    <w:rsid w:val="00C936A2"/>
    <w:rsid w:val="00C94211"/>
    <w:rsid w:val="00C94962"/>
    <w:rsid w:val="00C952D7"/>
    <w:rsid w:val="00C95382"/>
    <w:rsid w:val="00CA1D2D"/>
    <w:rsid w:val="00CA391B"/>
    <w:rsid w:val="00CA4382"/>
    <w:rsid w:val="00CA5830"/>
    <w:rsid w:val="00CA5C90"/>
    <w:rsid w:val="00CA5D0D"/>
    <w:rsid w:val="00CA5F6D"/>
    <w:rsid w:val="00CA608D"/>
    <w:rsid w:val="00CA7B2F"/>
    <w:rsid w:val="00CB09F2"/>
    <w:rsid w:val="00CB0A6E"/>
    <w:rsid w:val="00CB258F"/>
    <w:rsid w:val="00CB3047"/>
    <w:rsid w:val="00CB35E7"/>
    <w:rsid w:val="00CB45F9"/>
    <w:rsid w:val="00CB49D2"/>
    <w:rsid w:val="00CB51BE"/>
    <w:rsid w:val="00CB7B8F"/>
    <w:rsid w:val="00CC08CD"/>
    <w:rsid w:val="00CC2C7D"/>
    <w:rsid w:val="00CC49DC"/>
    <w:rsid w:val="00CC5585"/>
    <w:rsid w:val="00CC5750"/>
    <w:rsid w:val="00CC5F22"/>
    <w:rsid w:val="00CC5FAF"/>
    <w:rsid w:val="00CC71ED"/>
    <w:rsid w:val="00CC7599"/>
    <w:rsid w:val="00CD107D"/>
    <w:rsid w:val="00CD1954"/>
    <w:rsid w:val="00CD2CB4"/>
    <w:rsid w:val="00CD329F"/>
    <w:rsid w:val="00CD3E80"/>
    <w:rsid w:val="00CD4BA4"/>
    <w:rsid w:val="00CD581D"/>
    <w:rsid w:val="00CD5A97"/>
    <w:rsid w:val="00CD6698"/>
    <w:rsid w:val="00CD703B"/>
    <w:rsid w:val="00CE11BA"/>
    <w:rsid w:val="00CE1376"/>
    <w:rsid w:val="00CE18EF"/>
    <w:rsid w:val="00CE2ADE"/>
    <w:rsid w:val="00CE2C47"/>
    <w:rsid w:val="00CE4454"/>
    <w:rsid w:val="00CE4A7C"/>
    <w:rsid w:val="00CE4EDC"/>
    <w:rsid w:val="00CE4FC6"/>
    <w:rsid w:val="00CE55AB"/>
    <w:rsid w:val="00CE5CC7"/>
    <w:rsid w:val="00CE6168"/>
    <w:rsid w:val="00CE66E8"/>
    <w:rsid w:val="00CE68C9"/>
    <w:rsid w:val="00CE7483"/>
    <w:rsid w:val="00CF00AC"/>
    <w:rsid w:val="00CF1FB7"/>
    <w:rsid w:val="00CF256D"/>
    <w:rsid w:val="00CF3409"/>
    <w:rsid w:val="00CF3606"/>
    <w:rsid w:val="00CF3BED"/>
    <w:rsid w:val="00CF514F"/>
    <w:rsid w:val="00CF59D3"/>
    <w:rsid w:val="00CF5BB6"/>
    <w:rsid w:val="00CF601E"/>
    <w:rsid w:val="00CF6844"/>
    <w:rsid w:val="00D00DE1"/>
    <w:rsid w:val="00D02D48"/>
    <w:rsid w:val="00D02E13"/>
    <w:rsid w:val="00D03368"/>
    <w:rsid w:val="00D03561"/>
    <w:rsid w:val="00D06C2D"/>
    <w:rsid w:val="00D078A6"/>
    <w:rsid w:val="00D07E3A"/>
    <w:rsid w:val="00D101C2"/>
    <w:rsid w:val="00D110A8"/>
    <w:rsid w:val="00D1111F"/>
    <w:rsid w:val="00D13BE8"/>
    <w:rsid w:val="00D13E08"/>
    <w:rsid w:val="00D14036"/>
    <w:rsid w:val="00D162B1"/>
    <w:rsid w:val="00D16F9F"/>
    <w:rsid w:val="00D1734F"/>
    <w:rsid w:val="00D1751A"/>
    <w:rsid w:val="00D178D5"/>
    <w:rsid w:val="00D17EEA"/>
    <w:rsid w:val="00D21772"/>
    <w:rsid w:val="00D2223B"/>
    <w:rsid w:val="00D2224B"/>
    <w:rsid w:val="00D22652"/>
    <w:rsid w:val="00D228C2"/>
    <w:rsid w:val="00D2360D"/>
    <w:rsid w:val="00D24ADF"/>
    <w:rsid w:val="00D26021"/>
    <w:rsid w:val="00D2615A"/>
    <w:rsid w:val="00D271AE"/>
    <w:rsid w:val="00D2762D"/>
    <w:rsid w:val="00D2791C"/>
    <w:rsid w:val="00D31F12"/>
    <w:rsid w:val="00D32F7C"/>
    <w:rsid w:val="00D33954"/>
    <w:rsid w:val="00D33B3F"/>
    <w:rsid w:val="00D33B5A"/>
    <w:rsid w:val="00D347FE"/>
    <w:rsid w:val="00D368C6"/>
    <w:rsid w:val="00D41CF0"/>
    <w:rsid w:val="00D41FE3"/>
    <w:rsid w:val="00D43917"/>
    <w:rsid w:val="00D4481A"/>
    <w:rsid w:val="00D44D45"/>
    <w:rsid w:val="00D45B35"/>
    <w:rsid w:val="00D469C8"/>
    <w:rsid w:val="00D52F75"/>
    <w:rsid w:val="00D543CF"/>
    <w:rsid w:val="00D5644E"/>
    <w:rsid w:val="00D57710"/>
    <w:rsid w:val="00D607D7"/>
    <w:rsid w:val="00D623B0"/>
    <w:rsid w:val="00D642C9"/>
    <w:rsid w:val="00D65569"/>
    <w:rsid w:val="00D67EDF"/>
    <w:rsid w:val="00D702DB"/>
    <w:rsid w:val="00D70578"/>
    <w:rsid w:val="00D705F1"/>
    <w:rsid w:val="00D7080A"/>
    <w:rsid w:val="00D72232"/>
    <w:rsid w:val="00D72F13"/>
    <w:rsid w:val="00D73B82"/>
    <w:rsid w:val="00D76BE9"/>
    <w:rsid w:val="00D80329"/>
    <w:rsid w:val="00D809C3"/>
    <w:rsid w:val="00D818FB"/>
    <w:rsid w:val="00D81D0A"/>
    <w:rsid w:val="00D81F0E"/>
    <w:rsid w:val="00D828DD"/>
    <w:rsid w:val="00D836C2"/>
    <w:rsid w:val="00D84120"/>
    <w:rsid w:val="00D8594A"/>
    <w:rsid w:val="00D85A27"/>
    <w:rsid w:val="00D85CE2"/>
    <w:rsid w:val="00D8782C"/>
    <w:rsid w:val="00D8787C"/>
    <w:rsid w:val="00D9100D"/>
    <w:rsid w:val="00D92655"/>
    <w:rsid w:val="00D9323C"/>
    <w:rsid w:val="00D93B91"/>
    <w:rsid w:val="00D97759"/>
    <w:rsid w:val="00D9775A"/>
    <w:rsid w:val="00D97AF3"/>
    <w:rsid w:val="00DA0869"/>
    <w:rsid w:val="00DA0F02"/>
    <w:rsid w:val="00DA2E1E"/>
    <w:rsid w:val="00DA353E"/>
    <w:rsid w:val="00DA5D25"/>
    <w:rsid w:val="00DA6043"/>
    <w:rsid w:val="00DA68EB"/>
    <w:rsid w:val="00DA6D45"/>
    <w:rsid w:val="00DB56A0"/>
    <w:rsid w:val="00DB6E50"/>
    <w:rsid w:val="00DB7628"/>
    <w:rsid w:val="00DC0BB7"/>
    <w:rsid w:val="00DC122F"/>
    <w:rsid w:val="00DC123E"/>
    <w:rsid w:val="00DC161B"/>
    <w:rsid w:val="00DC1E46"/>
    <w:rsid w:val="00DC6C7B"/>
    <w:rsid w:val="00DC6FF6"/>
    <w:rsid w:val="00DC7CDC"/>
    <w:rsid w:val="00DD0373"/>
    <w:rsid w:val="00DD0D47"/>
    <w:rsid w:val="00DD103F"/>
    <w:rsid w:val="00DD1252"/>
    <w:rsid w:val="00DD2BAD"/>
    <w:rsid w:val="00DD455A"/>
    <w:rsid w:val="00DD4576"/>
    <w:rsid w:val="00DD45D4"/>
    <w:rsid w:val="00DD64D7"/>
    <w:rsid w:val="00DD7A31"/>
    <w:rsid w:val="00DE02D1"/>
    <w:rsid w:val="00DE259B"/>
    <w:rsid w:val="00DE439B"/>
    <w:rsid w:val="00DE4A10"/>
    <w:rsid w:val="00DE4A33"/>
    <w:rsid w:val="00DE62A0"/>
    <w:rsid w:val="00DF00DE"/>
    <w:rsid w:val="00DF0632"/>
    <w:rsid w:val="00DF133F"/>
    <w:rsid w:val="00DF13BA"/>
    <w:rsid w:val="00DF1AD4"/>
    <w:rsid w:val="00DF3B92"/>
    <w:rsid w:val="00DF3E9B"/>
    <w:rsid w:val="00DF4E4A"/>
    <w:rsid w:val="00DF5524"/>
    <w:rsid w:val="00E01C90"/>
    <w:rsid w:val="00E023E3"/>
    <w:rsid w:val="00E02538"/>
    <w:rsid w:val="00E04AEE"/>
    <w:rsid w:val="00E0626A"/>
    <w:rsid w:val="00E066AB"/>
    <w:rsid w:val="00E070C4"/>
    <w:rsid w:val="00E075AD"/>
    <w:rsid w:val="00E11379"/>
    <w:rsid w:val="00E11E42"/>
    <w:rsid w:val="00E12939"/>
    <w:rsid w:val="00E12E93"/>
    <w:rsid w:val="00E14332"/>
    <w:rsid w:val="00E149D0"/>
    <w:rsid w:val="00E14F5C"/>
    <w:rsid w:val="00E154DB"/>
    <w:rsid w:val="00E16287"/>
    <w:rsid w:val="00E165FE"/>
    <w:rsid w:val="00E167B5"/>
    <w:rsid w:val="00E16C2A"/>
    <w:rsid w:val="00E17712"/>
    <w:rsid w:val="00E223B7"/>
    <w:rsid w:val="00E261B8"/>
    <w:rsid w:val="00E2744D"/>
    <w:rsid w:val="00E27A0F"/>
    <w:rsid w:val="00E32FDA"/>
    <w:rsid w:val="00E34329"/>
    <w:rsid w:val="00E3477A"/>
    <w:rsid w:val="00E34E55"/>
    <w:rsid w:val="00E35615"/>
    <w:rsid w:val="00E4162C"/>
    <w:rsid w:val="00E43C55"/>
    <w:rsid w:val="00E43F2A"/>
    <w:rsid w:val="00E44A90"/>
    <w:rsid w:val="00E44EC7"/>
    <w:rsid w:val="00E45A30"/>
    <w:rsid w:val="00E46AA0"/>
    <w:rsid w:val="00E47381"/>
    <w:rsid w:val="00E47A40"/>
    <w:rsid w:val="00E50F10"/>
    <w:rsid w:val="00E53794"/>
    <w:rsid w:val="00E53D0A"/>
    <w:rsid w:val="00E5517E"/>
    <w:rsid w:val="00E552E0"/>
    <w:rsid w:val="00E55FB5"/>
    <w:rsid w:val="00E57E98"/>
    <w:rsid w:val="00E60F3E"/>
    <w:rsid w:val="00E61C6F"/>
    <w:rsid w:val="00E649A7"/>
    <w:rsid w:val="00E64BA5"/>
    <w:rsid w:val="00E657D0"/>
    <w:rsid w:val="00E65EE2"/>
    <w:rsid w:val="00E67A8F"/>
    <w:rsid w:val="00E71214"/>
    <w:rsid w:val="00E71E76"/>
    <w:rsid w:val="00E71FA7"/>
    <w:rsid w:val="00E72729"/>
    <w:rsid w:val="00E72C91"/>
    <w:rsid w:val="00E731D7"/>
    <w:rsid w:val="00E745DE"/>
    <w:rsid w:val="00E74BFE"/>
    <w:rsid w:val="00E74C13"/>
    <w:rsid w:val="00E7628E"/>
    <w:rsid w:val="00E7720B"/>
    <w:rsid w:val="00E77CC0"/>
    <w:rsid w:val="00E77E7C"/>
    <w:rsid w:val="00E8101C"/>
    <w:rsid w:val="00E81149"/>
    <w:rsid w:val="00E8117B"/>
    <w:rsid w:val="00E8189E"/>
    <w:rsid w:val="00E81BB2"/>
    <w:rsid w:val="00E8521A"/>
    <w:rsid w:val="00E85807"/>
    <w:rsid w:val="00E86099"/>
    <w:rsid w:val="00E86E8D"/>
    <w:rsid w:val="00E871B3"/>
    <w:rsid w:val="00E87A12"/>
    <w:rsid w:val="00E904D7"/>
    <w:rsid w:val="00E919B2"/>
    <w:rsid w:val="00E926D4"/>
    <w:rsid w:val="00E92E8D"/>
    <w:rsid w:val="00E93247"/>
    <w:rsid w:val="00E9381B"/>
    <w:rsid w:val="00E9633A"/>
    <w:rsid w:val="00EA09C4"/>
    <w:rsid w:val="00EA1166"/>
    <w:rsid w:val="00EA1C41"/>
    <w:rsid w:val="00EA50E3"/>
    <w:rsid w:val="00EA6945"/>
    <w:rsid w:val="00EA6E9D"/>
    <w:rsid w:val="00EA7A72"/>
    <w:rsid w:val="00EB210D"/>
    <w:rsid w:val="00EB233E"/>
    <w:rsid w:val="00EB26A9"/>
    <w:rsid w:val="00EB34E3"/>
    <w:rsid w:val="00EB4E1E"/>
    <w:rsid w:val="00EB5628"/>
    <w:rsid w:val="00EB5BAF"/>
    <w:rsid w:val="00EB6EA1"/>
    <w:rsid w:val="00EB6F0D"/>
    <w:rsid w:val="00EB753B"/>
    <w:rsid w:val="00EB7781"/>
    <w:rsid w:val="00EC132C"/>
    <w:rsid w:val="00EC19EA"/>
    <w:rsid w:val="00EC33CD"/>
    <w:rsid w:val="00EC3A4D"/>
    <w:rsid w:val="00EC3D19"/>
    <w:rsid w:val="00EC4F5E"/>
    <w:rsid w:val="00EC6F21"/>
    <w:rsid w:val="00ED00A6"/>
    <w:rsid w:val="00ED1CCB"/>
    <w:rsid w:val="00ED2251"/>
    <w:rsid w:val="00ED362D"/>
    <w:rsid w:val="00ED38E7"/>
    <w:rsid w:val="00ED39A7"/>
    <w:rsid w:val="00ED3F29"/>
    <w:rsid w:val="00ED423A"/>
    <w:rsid w:val="00ED4595"/>
    <w:rsid w:val="00ED5542"/>
    <w:rsid w:val="00ED5771"/>
    <w:rsid w:val="00ED5E28"/>
    <w:rsid w:val="00ED6904"/>
    <w:rsid w:val="00ED6EF2"/>
    <w:rsid w:val="00ED72CD"/>
    <w:rsid w:val="00EE0586"/>
    <w:rsid w:val="00EE1204"/>
    <w:rsid w:val="00EE1794"/>
    <w:rsid w:val="00EE1C8F"/>
    <w:rsid w:val="00EE4DC5"/>
    <w:rsid w:val="00EE6D56"/>
    <w:rsid w:val="00EE7C29"/>
    <w:rsid w:val="00EF0CD4"/>
    <w:rsid w:val="00EF1581"/>
    <w:rsid w:val="00EF1AD9"/>
    <w:rsid w:val="00EF1DD0"/>
    <w:rsid w:val="00EF4AB0"/>
    <w:rsid w:val="00F01E07"/>
    <w:rsid w:val="00F021A3"/>
    <w:rsid w:val="00F02F13"/>
    <w:rsid w:val="00F03521"/>
    <w:rsid w:val="00F03AF5"/>
    <w:rsid w:val="00F059DD"/>
    <w:rsid w:val="00F05DDD"/>
    <w:rsid w:val="00F06994"/>
    <w:rsid w:val="00F072AC"/>
    <w:rsid w:val="00F10636"/>
    <w:rsid w:val="00F10AB9"/>
    <w:rsid w:val="00F10B37"/>
    <w:rsid w:val="00F12397"/>
    <w:rsid w:val="00F12F3E"/>
    <w:rsid w:val="00F15FD9"/>
    <w:rsid w:val="00F162F4"/>
    <w:rsid w:val="00F16348"/>
    <w:rsid w:val="00F1682A"/>
    <w:rsid w:val="00F1746E"/>
    <w:rsid w:val="00F17A7B"/>
    <w:rsid w:val="00F17AC1"/>
    <w:rsid w:val="00F220F2"/>
    <w:rsid w:val="00F23259"/>
    <w:rsid w:val="00F24E90"/>
    <w:rsid w:val="00F26868"/>
    <w:rsid w:val="00F26A8B"/>
    <w:rsid w:val="00F26D78"/>
    <w:rsid w:val="00F2728F"/>
    <w:rsid w:val="00F27B56"/>
    <w:rsid w:val="00F30FF0"/>
    <w:rsid w:val="00F31E8E"/>
    <w:rsid w:val="00F3331C"/>
    <w:rsid w:val="00F33FE6"/>
    <w:rsid w:val="00F3467F"/>
    <w:rsid w:val="00F34AE6"/>
    <w:rsid w:val="00F35283"/>
    <w:rsid w:val="00F35627"/>
    <w:rsid w:val="00F35BF3"/>
    <w:rsid w:val="00F3682A"/>
    <w:rsid w:val="00F37568"/>
    <w:rsid w:val="00F37DAC"/>
    <w:rsid w:val="00F40267"/>
    <w:rsid w:val="00F40443"/>
    <w:rsid w:val="00F4205C"/>
    <w:rsid w:val="00F42B6D"/>
    <w:rsid w:val="00F437C1"/>
    <w:rsid w:val="00F44CA6"/>
    <w:rsid w:val="00F45595"/>
    <w:rsid w:val="00F47AEC"/>
    <w:rsid w:val="00F47F13"/>
    <w:rsid w:val="00F47FCC"/>
    <w:rsid w:val="00F513E3"/>
    <w:rsid w:val="00F51C17"/>
    <w:rsid w:val="00F52B63"/>
    <w:rsid w:val="00F549D7"/>
    <w:rsid w:val="00F562DC"/>
    <w:rsid w:val="00F57BE3"/>
    <w:rsid w:val="00F6059A"/>
    <w:rsid w:val="00F61226"/>
    <w:rsid w:val="00F61D19"/>
    <w:rsid w:val="00F63CC4"/>
    <w:rsid w:val="00F63D95"/>
    <w:rsid w:val="00F64AF2"/>
    <w:rsid w:val="00F64C9C"/>
    <w:rsid w:val="00F64FFA"/>
    <w:rsid w:val="00F6692A"/>
    <w:rsid w:val="00F70BAE"/>
    <w:rsid w:val="00F711D8"/>
    <w:rsid w:val="00F71283"/>
    <w:rsid w:val="00F714F9"/>
    <w:rsid w:val="00F754C5"/>
    <w:rsid w:val="00F75AE9"/>
    <w:rsid w:val="00F76BB3"/>
    <w:rsid w:val="00F76FD6"/>
    <w:rsid w:val="00F80EEA"/>
    <w:rsid w:val="00F81793"/>
    <w:rsid w:val="00F81AD8"/>
    <w:rsid w:val="00F82DA2"/>
    <w:rsid w:val="00F8332B"/>
    <w:rsid w:val="00F8338A"/>
    <w:rsid w:val="00F851B2"/>
    <w:rsid w:val="00F8603C"/>
    <w:rsid w:val="00F869CA"/>
    <w:rsid w:val="00F86FA6"/>
    <w:rsid w:val="00F876F2"/>
    <w:rsid w:val="00F8778A"/>
    <w:rsid w:val="00F92119"/>
    <w:rsid w:val="00FA0001"/>
    <w:rsid w:val="00FA0943"/>
    <w:rsid w:val="00FA13EB"/>
    <w:rsid w:val="00FA275E"/>
    <w:rsid w:val="00FA301D"/>
    <w:rsid w:val="00FA43B1"/>
    <w:rsid w:val="00FA4D51"/>
    <w:rsid w:val="00FA5478"/>
    <w:rsid w:val="00FA5AB4"/>
    <w:rsid w:val="00FB24C0"/>
    <w:rsid w:val="00FB3B8D"/>
    <w:rsid w:val="00FB3C3A"/>
    <w:rsid w:val="00FB3CDA"/>
    <w:rsid w:val="00FB4D19"/>
    <w:rsid w:val="00FB4D57"/>
    <w:rsid w:val="00FB4E2E"/>
    <w:rsid w:val="00FB5020"/>
    <w:rsid w:val="00FB6870"/>
    <w:rsid w:val="00FB6F6B"/>
    <w:rsid w:val="00FB73D9"/>
    <w:rsid w:val="00FB74FF"/>
    <w:rsid w:val="00FB7EE5"/>
    <w:rsid w:val="00FC2A28"/>
    <w:rsid w:val="00FC3E84"/>
    <w:rsid w:val="00FC56EF"/>
    <w:rsid w:val="00FC6632"/>
    <w:rsid w:val="00FC6C0E"/>
    <w:rsid w:val="00FD0065"/>
    <w:rsid w:val="00FD45AC"/>
    <w:rsid w:val="00FD4EB3"/>
    <w:rsid w:val="00FD5E80"/>
    <w:rsid w:val="00FD7FD7"/>
    <w:rsid w:val="00FE0C2D"/>
    <w:rsid w:val="00FE2B4D"/>
    <w:rsid w:val="00FE2C35"/>
    <w:rsid w:val="00FE2DA4"/>
    <w:rsid w:val="00FE50BA"/>
    <w:rsid w:val="00FE5175"/>
    <w:rsid w:val="00FE5216"/>
    <w:rsid w:val="00FE5644"/>
    <w:rsid w:val="00FE574E"/>
    <w:rsid w:val="00FE66AC"/>
    <w:rsid w:val="00FE68FF"/>
    <w:rsid w:val="00FE6AE1"/>
    <w:rsid w:val="00FE6E16"/>
    <w:rsid w:val="00FE701A"/>
    <w:rsid w:val="00FE7103"/>
    <w:rsid w:val="00FE75BC"/>
    <w:rsid w:val="00FE7723"/>
    <w:rsid w:val="00FE7829"/>
    <w:rsid w:val="00FF002C"/>
    <w:rsid w:val="00FF26DB"/>
    <w:rsid w:val="00FF2B99"/>
    <w:rsid w:val="00FF34F9"/>
    <w:rsid w:val="00FF5132"/>
    <w:rsid w:val="00FF534A"/>
    <w:rsid w:val="00FF5525"/>
    <w:rsid w:val="00FF607F"/>
    <w:rsid w:val="00FF77DE"/>
    <w:rsid w:val="00FF7AD2"/>
    <w:rsid w:val="00FF7E22"/>
    <w:rsid w:val="010447AF"/>
    <w:rsid w:val="020457DC"/>
    <w:rsid w:val="021AD625"/>
    <w:rsid w:val="0234115C"/>
    <w:rsid w:val="02800C60"/>
    <w:rsid w:val="02E1701A"/>
    <w:rsid w:val="04D3C1B8"/>
    <w:rsid w:val="04E371EB"/>
    <w:rsid w:val="05368E31"/>
    <w:rsid w:val="05C0D6A3"/>
    <w:rsid w:val="064667CA"/>
    <w:rsid w:val="076ADE13"/>
    <w:rsid w:val="077CA6CC"/>
    <w:rsid w:val="08A40679"/>
    <w:rsid w:val="0903E19D"/>
    <w:rsid w:val="09B1B42B"/>
    <w:rsid w:val="0A1FDA4F"/>
    <w:rsid w:val="0A4D7201"/>
    <w:rsid w:val="0AA0E7B3"/>
    <w:rsid w:val="0B0E006B"/>
    <w:rsid w:val="0B121443"/>
    <w:rsid w:val="0B155E14"/>
    <w:rsid w:val="0B30CC46"/>
    <w:rsid w:val="0C86DCFA"/>
    <w:rsid w:val="0CDB5CF8"/>
    <w:rsid w:val="0D3FA362"/>
    <w:rsid w:val="0D919B4E"/>
    <w:rsid w:val="10043D69"/>
    <w:rsid w:val="103D7AEA"/>
    <w:rsid w:val="106582E8"/>
    <w:rsid w:val="10EBA5BF"/>
    <w:rsid w:val="110A3752"/>
    <w:rsid w:val="1184184E"/>
    <w:rsid w:val="126B69A1"/>
    <w:rsid w:val="12A71864"/>
    <w:rsid w:val="13AF3E1B"/>
    <w:rsid w:val="13C1E7E7"/>
    <w:rsid w:val="13CCD91B"/>
    <w:rsid w:val="13FF6210"/>
    <w:rsid w:val="15182A69"/>
    <w:rsid w:val="15BFC8C3"/>
    <w:rsid w:val="161B03CD"/>
    <w:rsid w:val="16D4EBAA"/>
    <w:rsid w:val="16ED2280"/>
    <w:rsid w:val="1878D27E"/>
    <w:rsid w:val="18D96DC3"/>
    <w:rsid w:val="1951A1A6"/>
    <w:rsid w:val="1A079091"/>
    <w:rsid w:val="1A702D2A"/>
    <w:rsid w:val="1AD56D34"/>
    <w:rsid w:val="1B334D63"/>
    <w:rsid w:val="1B70F1D4"/>
    <w:rsid w:val="1C628C63"/>
    <w:rsid w:val="1C9BF882"/>
    <w:rsid w:val="1CB37B3A"/>
    <w:rsid w:val="1CE3FBA6"/>
    <w:rsid w:val="1CF25783"/>
    <w:rsid w:val="1D366BAA"/>
    <w:rsid w:val="1DA0AFB2"/>
    <w:rsid w:val="1E762723"/>
    <w:rsid w:val="1EA4117C"/>
    <w:rsid w:val="1F860BA4"/>
    <w:rsid w:val="20C81509"/>
    <w:rsid w:val="2220F4CD"/>
    <w:rsid w:val="22A71934"/>
    <w:rsid w:val="2376533B"/>
    <w:rsid w:val="240507AB"/>
    <w:rsid w:val="247BA07C"/>
    <w:rsid w:val="24A296BB"/>
    <w:rsid w:val="24A7E057"/>
    <w:rsid w:val="265F88EB"/>
    <w:rsid w:val="2719BCAE"/>
    <w:rsid w:val="272F808D"/>
    <w:rsid w:val="286DCD25"/>
    <w:rsid w:val="28757DC0"/>
    <w:rsid w:val="2906CBA8"/>
    <w:rsid w:val="2949BF62"/>
    <w:rsid w:val="29A0BAE2"/>
    <w:rsid w:val="2A6D2992"/>
    <w:rsid w:val="2A9BDE0F"/>
    <w:rsid w:val="2AF5CBD7"/>
    <w:rsid w:val="2B4E389B"/>
    <w:rsid w:val="2BDA6095"/>
    <w:rsid w:val="2C51D2EC"/>
    <w:rsid w:val="2C6E999B"/>
    <w:rsid w:val="2CA4109A"/>
    <w:rsid w:val="2CF57F44"/>
    <w:rsid w:val="2D13E85D"/>
    <w:rsid w:val="2D1AF542"/>
    <w:rsid w:val="2DAB36AB"/>
    <w:rsid w:val="2DC2D917"/>
    <w:rsid w:val="2F004620"/>
    <w:rsid w:val="30340395"/>
    <w:rsid w:val="30D925C4"/>
    <w:rsid w:val="31140039"/>
    <w:rsid w:val="3245F8A7"/>
    <w:rsid w:val="3335314F"/>
    <w:rsid w:val="333CFA5A"/>
    <w:rsid w:val="3357E707"/>
    <w:rsid w:val="337A8152"/>
    <w:rsid w:val="339AB2E7"/>
    <w:rsid w:val="342E815C"/>
    <w:rsid w:val="346025FB"/>
    <w:rsid w:val="34B2029A"/>
    <w:rsid w:val="3500663D"/>
    <w:rsid w:val="35102214"/>
    <w:rsid w:val="35B41414"/>
    <w:rsid w:val="35E35B04"/>
    <w:rsid w:val="36E08D43"/>
    <w:rsid w:val="3763969A"/>
    <w:rsid w:val="37774C73"/>
    <w:rsid w:val="38071A6E"/>
    <w:rsid w:val="38526EDF"/>
    <w:rsid w:val="38A3FF9E"/>
    <w:rsid w:val="3918B696"/>
    <w:rsid w:val="397CDC59"/>
    <w:rsid w:val="398FD50B"/>
    <w:rsid w:val="39C708B1"/>
    <w:rsid w:val="39F48CDF"/>
    <w:rsid w:val="3A399054"/>
    <w:rsid w:val="3B601553"/>
    <w:rsid w:val="3BE0130D"/>
    <w:rsid w:val="3BF783CE"/>
    <w:rsid w:val="3BFE0B94"/>
    <w:rsid w:val="3C070A4B"/>
    <w:rsid w:val="3CF569F1"/>
    <w:rsid w:val="3D6B5E69"/>
    <w:rsid w:val="3D93FD1F"/>
    <w:rsid w:val="3DE0544F"/>
    <w:rsid w:val="3F134122"/>
    <w:rsid w:val="3FC68407"/>
    <w:rsid w:val="3FEEA601"/>
    <w:rsid w:val="3FFF168F"/>
    <w:rsid w:val="404A6DB8"/>
    <w:rsid w:val="411F8C62"/>
    <w:rsid w:val="412FA3DC"/>
    <w:rsid w:val="41435464"/>
    <w:rsid w:val="424135A1"/>
    <w:rsid w:val="42DFABBC"/>
    <w:rsid w:val="4380F034"/>
    <w:rsid w:val="439F7F34"/>
    <w:rsid w:val="43B5DE3E"/>
    <w:rsid w:val="43C514E1"/>
    <w:rsid w:val="43E6B245"/>
    <w:rsid w:val="44723119"/>
    <w:rsid w:val="449CCAF4"/>
    <w:rsid w:val="46032FAB"/>
    <w:rsid w:val="46104C60"/>
    <w:rsid w:val="469C49BA"/>
    <w:rsid w:val="46A7BD53"/>
    <w:rsid w:val="470BDC07"/>
    <w:rsid w:val="47D548FF"/>
    <w:rsid w:val="482C6B2D"/>
    <w:rsid w:val="4995AF85"/>
    <w:rsid w:val="49FE613D"/>
    <w:rsid w:val="4A07EBF7"/>
    <w:rsid w:val="4B1E02D9"/>
    <w:rsid w:val="4B9A319E"/>
    <w:rsid w:val="4BA3BC58"/>
    <w:rsid w:val="4C44EC9E"/>
    <w:rsid w:val="4C4C54C4"/>
    <w:rsid w:val="4D3B2962"/>
    <w:rsid w:val="4D3F8CB9"/>
    <w:rsid w:val="4D49D47C"/>
    <w:rsid w:val="4D64FEEB"/>
    <w:rsid w:val="4DEF87AD"/>
    <w:rsid w:val="4E00EBAE"/>
    <w:rsid w:val="4E9FB9E1"/>
    <w:rsid w:val="4EC7FA87"/>
    <w:rsid w:val="5044A5CE"/>
    <w:rsid w:val="50DB5DBA"/>
    <w:rsid w:val="51483AB6"/>
    <w:rsid w:val="515C2584"/>
    <w:rsid w:val="51E23E91"/>
    <w:rsid w:val="521ECEA5"/>
    <w:rsid w:val="5225D926"/>
    <w:rsid w:val="5323696E"/>
    <w:rsid w:val="53516A75"/>
    <w:rsid w:val="5354C8A1"/>
    <w:rsid w:val="5370D473"/>
    <w:rsid w:val="53EB9B38"/>
    <w:rsid w:val="54678212"/>
    <w:rsid w:val="548AD948"/>
    <w:rsid w:val="54DC0EC3"/>
    <w:rsid w:val="54E8B4A6"/>
    <w:rsid w:val="5543F541"/>
    <w:rsid w:val="55449296"/>
    <w:rsid w:val="55876B99"/>
    <w:rsid w:val="55E2D2F6"/>
    <w:rsid w:val="55EFB959"/>
    <w:rsid w:val="574D2B97"/>
    <w:rsid w:val="5837224E"/>
    <w:rsid w:val="583DC1CF"/>
    <w:rsid w:val="588C9FF6"/>
    <w:rsid w:val="58D33340"/>
    <w:rsid w:val="59A47008"/>
    <w:rsid w:val="59DFAB6B"/>
    <w:rsid w:val="5A3B1787"/>
    <w:rsid w:val="5A5ADCBC"/>
    <w:rsid w:val="5A7873D2"/>
    <w:rsid w:val="5A8646A7"/>
    <w:rsid w:val="5AB12C97"/>
    <w:rsid w:val="5AF8246A"/>
    <w:rsid w:val="5B01D335"/>
    <w:rsid w:val="5B7E5D17"/>
    <w:rsid w:val="5B7F80B2"/>
    <w:rsid w:val="5BAC2FC5"/>
    <w:rsid w:val="5C08EEAB"/>
    <w:rsid w:val="5C3173A6"/>
    <w:rsid w:val="5C44C65D"/>
    <w:rsid w:val="5D2670A0"/>
    <w:rsid w:val="5D7614F9"/>
    <w:rsid w:val="5D844E13"/>
    <w:rsid w:val="5DFF31E0"/>
    <w:rsid w:val="5E2692C5"/>
    <w:rsid w:val="5E2FEA76"/>
    <w:rsid w:val="5E7C9575"/>
    <w:rsid w:val="5EA8908C"/>
    <w:rsid w:val="5F9BA84E"/>
    <w:rsid w:val="5FD2F03B"/>
    <w:rsid w:val="5FE9A347"/>
    <w:rsid w:val="5FF08A61"/>
    <w:rsid w:val="613D1B55"/>
    <w:rsid w:val="619B0271"/>
    <w:rsid w:val="61C94C97"/>
    <w:rsid w:val="61F6C4B7"/>
    <w:rsid w:val="61FA3105"/>
    <w:rsid w:val="6214201F"/>
    <w:rsid w:val="625F7CE1"/>
    <w:rsid w:val="643B48D8"/>
    <w:rsid w:val="645781F5"/>
    <w:rsid w:val="65565C52"/>
    <w:rsid w:val="65771904"/>
    <w:rsid w:val="65B1457F"/>
    <w:rsid w:val="6606498C"/>
    <w:rsid w:val="6617CC27"/>
    <w:rsid w:val="671BB5EE"/>
    <w:rsid w:val="67B9E9F3"/>
    <w:rsid w:val="682B3BDB"/>
    <w:rsid w:val="68C930C8"/>
    <w:rsid w:val="68CEA3EF"/>
    <w:rsid w:val="6916EDD8"/>
    <w:rsid w:val="6918F824"/>
    <w:rsid w:val="698296EA"/>
    <w:rsid w:val="69C8B5AF"/>
    <w:rsid w:val="6A5926FB"/>
    <w:rsid w:val="6B72FE60"/>
    <w:rsid w:val="6BA67638"/>
    <w:rsid w:val="6C60ED77"/>
    <w:rsid w:val="6CAE29EF"/>
    <w:rsid w:val="6DEFC1AB"/>
    <w:rsid w:val="6E2DEF1B"/>
    <w:rsid w:val="6F74FC55"/>
    <w:rsid w:val="6FD5820E"/>
    <w:rsid w:val="7101D1D3"/>
    <w:rsid w:val="7118F8E5"/>
    <w:rsid w:val="7171046D"/>
    <w:rsid w:val="71E52E01"/>
    <w:rsid w:val="72167F4A"/>
    <w:rsid w:val="72668775"/>
    <w:rsid w:val="7291824F"/>
    <w:rsid w:val="7296417F"/>
    <w:rsid w:val="731DF61A"/>
    <w:rsid w:val="745DAC4B"/>
    <w:rsid w:val="74F27D62"/>
    <w:rsid w:val="7511A6CE"/>
    <w:rsid w:val="7560E35D"/>
    <w:rsid w:val="75B717FC"/>
    <w:rsid w:val="75C79CEE"/>
    <w:rsid w:val="75FF9532"/>
    <w:rsid w:val="762DDF58"/>
    <w:rsid w:val="764CCDCE"/>
    <w:rsid w:val="76596E4E"/>
    <w:rsid w:val="76D84A4A"/>
    <w:rsid w:val="76F28FFE"/>
    <w:rsid w:val="7705CF8B"/>
    <w:rsid w:val="770EA40D"/>
    <w:rsid w:val="774EE48B"/>
    <w:rsid w:val="77508A45"/>
    <w:rsid w:val="7784EA54"/>
    <w:rsid w:val="7805A204"/>
    <w:rsid w:val="789A9903"/>
    <w:rsid w:val="78E9A68E"/>
    <w:rsid w:val="79698868"/>
    <w:rsid w:val="7976EA94"/>
    <w:rsid w:val="79C41D85"/>
    <w:rsid w:val="79C8EA79"/>
    <w:rsid w:val="7A23BAA3"/>
    <w:rsid w:val="7A79316A"/>
    <w:rsid w:val="7A7CE47D"/>
    <w:rsid w:val="7AB1C3F2"/>
    <w:rsid w:val="7AC4F606"/>
    <w:rsid w:val="7ADC412B"/>
    <w:rsid w:val="7AE114BC"/>
    <w:rsid w:val="7B1985D7"/>
    <w:rsid w:val="7B61CD22"/>
    <w:rsid w:val="7B653231"/>
    <w:rsid w:val="7B723344"/>
    <w:rsid w:val="7CB9CAF2"/>
    <w:rsid w:val="7D4D3D20"/>
    <w:rsid w:val="7E08F3DC"/>
    <w:rsid w:val="7E31DB7A"/>
    <w:rsid w:val="7E41CD1C"/>
    <w:rsid w:val="7E80C150"/>
    <w:rsid w:val="7EC0DA47"/>
    <w:rsid w:val="7F5055A0"/>
    <w:rsid w:val="7F74EBC5"/>
    <w:rsid w:val="7FEBB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D6CDD"/>
  <w15:docId w15:val="{9C7406A2-4C46-4181-9667-28907B0C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D9"/>
    <w:pPr>
      <w:spacing w:before="60" w:after="60" w:line="276" w:lineRule="auto"/>
      <w:jc w:val="both"/>
    </w:pPr>
    <w:rPr>
      <w:rFonts w:ascii="Arial" w:hAnsi="Arial" w:cs="Arial"/>
      <w:sz w:val="24"/>
      <w:szCs w:val="24"/>
    </w:rPr>
  </w:style>
  <w:style w:type="paragraph" w:styleId="Ttulo1">
    <w:name w:val="heading 1"/>
    <w:basedOn w:val="Normal"/>
    <w:next w:val="Normal"/>
    <w:link w:val="Ttulo1Car"/>
    <w:uiPriority w:val="1"/>
    <w:qFormat/>
    <w:rsid w:val="00F15FD9"/>
    <w:pPr>
      <w:spacing w:before="0" w:after="0" w:line="240" w:lineRule="auto"/>
      <w:ind w:left="4536"/>
      <w:outlineLvl w:val="0"/>
    </w:pPr>
    <w:rPr>
      <w:b/>
      <w:sz w:val="26"/>
      <w:szCs w:val="26"/>
    </w:rPr>
  </w:style>
  <w:style w:type="paragraph" w:styleId="Ttulo2">
    <w:name w:val="heading 2"/>
    <w:basedOn w:val="Normal"/>
    <w:next w:val="Normal"/>
    <w:link w:val="Ttulo2Car"/>
    <w:uiPriority w:val="1"/>
    <w:unhideWhenUsed/>
    <w:qFormat/>
    <w:rsid w:val="00F15FD9"/>
    <w:pPr>
      <w:spacing w:before="360" w:after="360"/>
      <w:jc w:val="center"/>
      <w:outlineLvl w:val="1"/>
    </w:pPr>
    <w:rPr>
      <w:rFonts w:ascii="Arial Negrita" w:hAnsi="Arial Negrita"/>
      <w:b/>
      <w:spacing w:val="60"/>
      <w:sz w:val="26"/>
      <w:szCs w:val="26"/>
    </w:rPr>
  </w:style>
  <w:style w:type="paragraph" w:styleId="Ttulo3">
    <w:name w:val="heading 3"/>
    <w:basedOn w:val="Prrafodelista"/>
    <w:next w:val="Normal"/>
    <w:link w:val="Ttulo3Car"/>
    <w:uiPriority w:val="1"/>
    <w:unhideWhenUsed/>
    <w:qFormat/>
    <w:rsid w:val="00F15FD9"/>
    <w:pPr>
      <w:numPr>
        <w:numId w:val="1"/>
      </w:numPr>
      <w:spacing w:before="360" w:after="360" w:line="360" w:lineRule="auto"/>
      <w:jc w:val="center"/>
      <w:outlineLvl w:val="2"/>
    </w:pPr>
    <w:rPr>
      <w:b/>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F15FD9"/>
    <w:rPr>
      <w:rFonts w:ascii="Arial" w:hAnsi="Arial" w:cs="Arial"/>
      <w:b/>
      <w:sz w:val="26"/>
      <w:szCs w:val="26"/>
    </w:rPr>
  </w:style>
  <w:style w:type="character" w:customStyle="1" w:styleId="Ttulo2Car">
    <w:name w:val="Título 2 Car"/>
    <w:basedOn w:val="Fuentedeprrafopredeter"/>
    <w:link w:val="Ttulo2"/>
    <w:uiPriority w:val="1"/>
    <w:rsid w:val="00F15FD9"/>
    <w:rPr>
      <w:rFonts w:ascii="Arial Negrita" w:hAnsi="Arial Negrita" w:cs="Arial"/>
      <w:b/>
      <w:spacing w:val="60"/>
      <w:sz w:val="26"/>
      <w:szCs w:val="26"/>
    </w:rPr>
  </w:style>
  <w:style w:type="character" w:customStyle="1" w:styleId="Ttulo3Car">
    <w:name w:val="Título 3 Car"/>
    <w:basedOn w:val="Fuentedeprrafopredeter"/>
    <w:link w:val="Ttulo3"/>
    <w:uiPriority w:val="1"/>
    <w:rsid w:val="00F15FD9"/>
    <w:rPr>
      <w:rFonts w:ascii="Arial" w:hAnsi="Arial" w:cs="Arial"/>
      <w:b/>
      <w:sz w:val="26"/>
      <w:szCs w:val="26"/>
    </w:rPr>
  </w:style>
  <w:style w:type="paragraph" w:styleId="Sinespaciado">
    <w:name w:val="No Spacing"/>
    <w:basedOn w:val="Normal"/>
    <w:uiPriority w:val="1"/>
    <w:qFormat/>
    <w:rsid w:val="00F15FD9"/>
    <w:pPr>
      <w:spacing w:before="0" w:after="0"/>
    </w:pPr>
    <w:rPr>
      <w:sz w:val="16"/>
      <w:szCs w:val="16"/>
    </w:rPr>
  </w:style>
  <w:style w:type="paragraph" w:customStyle="1" w:styleId="Prrafo">
    <w:name w:val="Párrafo"/>
    <w:basedOn w:val="Normal"/>
    <w:qFormat/>
    <w:rsid w:val="00F15FD9"/>
    <w:pPr>
      <w:spacing w:before="240" w:after="240" w:line="360" w:lineRule="auto"/>
    </w:pPr>
    <w:rPr>
      <w:sz w:val="26"/>
      <w:szCs w:val="26"/>
    </w:rPr>
  </w:style>
  <w:style w:type="paragraph" w:styleId="Piedepgina">
    <w:name w:val="footer"/>
    <w:basedOn w:val="Normal"/>
    <w:link w:val="PiedepginaCar"/>
    <w:uiPriority w:val="99"/>
    <w:unhideWhenUsed/>
    <w:rsid w:val="00F15FD9"/>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F15FD9"/>
    <w:rPr>
      <w:rFonts w:ascii="Arial" w:hAnsi="Arial" w:cs="Arial"/>
      <w:sz w:val="24"/>
      <w:szCs w:val="24"/>
    </w:rPr>
  </w:style>
  <w:style w:type="table" w:styleId="Tablaconcuadrcula">
    <w:name w:val="Table Grid"/>
    <w:basedOn w:val="Tablanormal"/>
    <w:uiPriority w:val="39"/>
    <w:rsid w:val="00F15FD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 GENERAL SENTENCIAS,Párrafo de lista1,List Paragraph1,Colorful List - Accent 11,Cuadrícula clara - Énfasis 31,Cita texto,Footnote,Dot pt,No Spacing1,List Paragraph Char Char Char,Indicator Text,Numbered Para 1,Trascripción,Figuras"/>
    <w:basedOn w:val="Normal"/>
    <w:link w:val="PrrafodelistaCar"/>
    <w:uiPriority w:val="34"/>
    <w:qFormat/>
    <w:rsid w:val="00F15FD9"/>
    <w:pPr>
      <w:ind w:left="720"/>
      <w:contextualSpacing/>
    </w:pPr>
  </w:style>
  <w:style w:type="paragraph" w:styleId="Encabezado">
    <w:name w:val="header"/>
    <w:basedOn w:val="Normal"/>
    <w:link w:val="EncabezadoCar"/>
    <w:uiPriority w:val="99"/>
    <w:unhideWhenUsed/>
    <w:rsid w:val="00F15FD9"/>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F15FD9"/>
    <w:rPr>
      <w:rFonts w:ascii="Arial" w:hAnsi="Arial" w:cs="Arial"/>
      <w:sz w:val="24"/>
      <w:szCs w:val="24"/>
    </w:rPr>
  </w:style>
  <w:style w:type="paragraph" w:styleId="Revisin">
    <w:name w:val="Revision"/>
    <w:hidden/>
    <w:uiPriority w:val="99"/>
    <w:semiHidden/>
    <w:rsid w:val="00F851B2"/>
    <w:pPr>
      <w:spacing w:after="0" w:line="240" w:lineRule="auto"/>
    </w:pPr>
    <w:rPr>
      <w:rFonts w:ascii="Arial" w:hAnsi="Arial" w:cs="Arial"/>
      <w:sz w:val="24"/>
      <w:szCs w:val="24"/>
    </w:rPr>
  </w:style>
  <w:style w:type="character" w:styleId="Refdecomentario">
    <w:name w:val="annotation reference"/>
    <w:basedOn w:val="Fuentedeprrafopredeter"/>
    <w:uiPriority w:val="99"/>
    <w:semiHidden/>
    <w:unhideWhenUsed/>
    <w:rsid w:val="00F851B2"/>
    <w:rPr>
      <w:sz w:val="16"/>
      <w:szCs w:val="16"/>
    </w:rPr>
  </w:style>
  <w:style w:type="paragraph" w:styleId="Textocomentario">
    <w:name w:val="annotation text"/>
    <w:basedOn w:val="Normal"/>
    <w:link w:val="TextocomentarioCar"/>
    <w:uiPriority w:val="99"/>
    <w:unhideWhenUsed/>
    <w:rsid w:val="00F851B2"/>
    <w:pPr>
      <w:spacing w:line="240" w:lineRule="auto"/>
    </w:pPr>
    <w:rPr>
      <w:sz w:val="20"/>
      <w:szCs w:val="20"/>
    </w:rPr>
  </w:style>
  <w:style w:type="character" w:customStyle="1" w:styleId="TextocomentarioCar">
    <w:name w:val="Texto comentario Car"/>
    <w:basedOn w:val="Fuentedeprrafopredeter"/>
    <w:link w:val="Textocomentario"/>
    <w:uiPriority w:val="99"/>
    <w:rsid w:val="00F851B2"/>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F851B2"/>
    <w:rPr>
      <w:b/>
      <w:bCs/>
    </w:rPr>
  </w:style>
  <w:style w:type="character" w:customStyle="1" w:styleId="AsuntodelcomentarioCar">
    <w:name w:val="Asunto del comentario Car"/>
    <w:basedOn w:val="TextocomentarioCar"/>
    <w:link w:val="Asuntodelcomentario"/>
    <w:uiPriority w:val="99"/>
    <w:semiHidden/>
    <w:rsid w:val="00F851B2"/>
    <w:rPr>
      <w:rFonts w:ascii="Arial" w:hAnsi="Arial" w:cs="Arial"/>
      <w:b/>
      <w:bCs/>
      <w:sz w:val="20"/>
      <w:szCs w:val="20"/>
    </w:rPr>
  </w:style>
  <w:style w:type="character" w:styleId="Textodelmarcadordeposicin">
    <w:name w:val="Placeholder Text"/>
    <w:basedOn w:val="Fuentedeprrafopredeter"/>
    <w:uiPriority w:val="99"/>
    <w:semiHidden/>
    <w:rsid w:val="003C4DE4"/>
    <w:rPr>
      <w:color w:val="808080"/>
    </w:rPr>
  </w:style>
  <w:style w:type="paragraph" w:styleId="Textoindependiente">
    <w:name w:val="Body Text"/>
    <w:basedOn w:val="Normal"/>
    <w:link w:val="TextoindependienteCar"/>
    <w:uiPriority w:val="1"/>
    <w:qFormat/>
    <w:rsid w:val="00D9100D"/>
    <w:pPr>
      <w:widowControl w:val="0"/>
      <w:spacing w:before="0" w:after="0" w:line="240" w:lineRule="auto"/>
      <w:ind w:left="540" w:hanging="427"/>
      <w:jc w:val="left"/>
    </w:pPr>
    <w:rPr>
      <w:rFonts w:eastAsia="Arial" w:cstheme="minorBidi"/>
      <w:sz w:val="26"/>
      <w:szCs w:val="26"/>
      <w:lang w:val="en-US"/>
    </w:rPr>
  </w:style>
  <w:style w:type="character" w:customStyle="1" w:styleId="TextoindependienteCar">
    <w:name w:val="Texto independiente Car"/>
    <w:basedOn w:val="Fuentedeprrafopredeter"/>
    <w:link w:val="Textoindependiente"/>
    <w:uiPriority w:val="1"/>
    <w:rsid w:val="00D9100D"/>
    <w:rPr>
      <w:rFonts w:ascii="Arial" w:eastAsia="Arial" w:hAnsi="Arial"/>
      <w:sz w:val="26"/>
      <w:szCs w:val="26"/>
      <w:lang w:val="en-US"/>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Car Car Car,FA Fu?notentext,Ca, C"/>
    <w:basedOn w:val="Normal"/>
    <w:link w:val="TextonotapieCar"/>
    <w:unhideWhenUsed/>
    <w:qFormat/>
    <w:rsid w:val="00C43B02"/>
    <w:pPr>
      <w:spacing w:before="0" w:after="0" w:line="240" w:lineRule="auto"/>
    </w:pPr>
    <w:rPr>
      <w:sz w:val="20"/>
      <w:szCs w:val="20"/>
    </w:rPr>
  </w:style>
  <w:style w:type="character" w:customStyle="1" w:styleId="TextonotapieCar">
    <w:name w:val="Texto nota pie Car"/>
    <w:aliases w:val="Footnote Text Char Char Char Char Char Car1,Footnote Text Char Char Char Char Car1,Footnote reference Car1,FA Fu Car1,Car Car,Footnote Text Char Char Char Car,Footnote Text Cha Car,FA Fußnotentext Car,FA Fuﬂnotentext Car,Ca Car1"/>
    <w:basedOn w:val="Fuentedeprrafopredeter"/>
    <w:link w:val="Textonotapie"/>
    <w:qFormat/>
    <w:rsid w:val="00C43B02"/>
    <w:rPr>
      <w:rFonts w:ascii="Arial" w:hAnsi="Arial" w:cs="Arial"/>
      <w:sz w:val="20"/>
      <w:szCs w:val="20"/>
    </w:rPr>
  </w:style>
  <w:style w:type="character" w:styleId="Refdenotaalpie">
    <w:name w:val="footnote reference"/>
    <w:aliases w:val="Ref. de nota al pie 2,Footnotes refss,Texto de nota al pie,Appel note de bas de page,Footnote number,referencia nota al pie,BVI fnr,f,ftref,4_G,16 Point,Superscript 6 Point,Footnote Reference Char3,Footnote Reference Char1 Char,Ref,R"/>
    <w:basedOn w:val="Fuentedeprrafopredeter"/>
    <w:link w:val="4GChar"/>
    <w:uiPriority w:val="99"/>
    <w:unhideWhenUsed/>
    <w:qFormat/>
    <w:rsid w:val="00C43B02"/>
    <w:rPr>
      <w:vertAlign w:val="superscript"/>
    </w:rPr>
  </w:style>
  <w:style w:type="paragraph" w:customStyle="1" w:styleId="corte4fondo">
    <w:name w:val="corte4 fondo"/>
    <w:basedOn w:val="Normal"/>
    <w:link w:val="corte4fondoCar4"/>
    <w:qFormat/>
    <w:rsid w:val="00386D3B"/>
    <w:pPr>
      <w:spacing w:before="0" w:after="0" w:line="360" w:lineRule="auto"/>
      <w:ind w:firstLine="709"/>
    </w:pPr>
    <w:rPr>
      <w:rFonts w:eastAsia="Times New Roman" w:cs="Times New Roman"/>
      <w:sz w:val="30"/>
      <w:szCs w:val="20"/>
      <w:lang w:val="es-ES_tradnl" w:eastAsia="es-MX"/>
    </w:rPr>
  </w:style>
  <w:style w:type="character" w:customStyle="1" w:styleId="corte4fondoCar4">
    <w:name w:val="corte4 fondo Car4"/>
    <w:link w:val="corte4fondo"/>
    <w:rsid w:val="00386D3B"/>
    <w:rPr>
      <w:rFonts w:ascii="Arial" w:eastAsia="Times New Roman" w:hAnsi="Arial" w:cs="Times New Roman"/>
      <w:sz w:val="30"/>
      <w:szCs w:val="20"/>
      <w:lang w:val="es-ES_tradnl" w:eastAsia="es-MX"/>
    </w:rPr>
  </w:style>
  <w:style w:type="character" w:customStyle="1" w:styleId="TextonotapieCar1">
    <w:name w:val="Texto nota pie Car1"/>
    <w:aliases w:val="Footnote Text Char Char Char Char Char Car,Footnote Text Char Char Char Char Car,Footnote reference Car,FA Fu Car,Car Car1,Footnote Text Char Char Char Car1,Footnote Text Cha Car1,FA Fußnotentext Car1,FA Fuﬂnotentext Car1,Ca Car"/>
    <w:uiPriority w:val="99"/>
    <w:locked/>
    <w:rsid w:val="00EB5628"/>
  </w:style>
  <w:style w:type="paragraph" w:customStyle="1" w:styleId="Estilo">
    <w:name w:val="Estilo"/>
    <w:basedOn w:val="Sinespaciado"/>
    <w:link w:val="EstiloCar"/>
    <w:qFormat/>
    <w:rsid w:val="007604DB"/>
    <w:pPr>
      <w:spacing w:line="240" w:lineRule="auto"/>
    </w:pPr>
    <w:rPr>
      <w:rFonts w:cstheme="minorBidi"/>
      <w:sz w:val="24"/>
      <w:szCs w:val="22"/>
    </w:rPr>
  </w:style>
  <w:style w:type="character" w:customStyle="1" w:styleId="EstiloCar">
    <w:name w:val="Estilo Car"/>
    <w:basedOn w:val="Fuentedeprrafopredeter"/>
    <w:link w:val="Estilo"/>
    <w:rsid w:val="007604DB"/>
    <w:rPr>
      <w:rFonts w:ascii="Arial" w:hAnsi="Arial"/>
      <w:sz w:val="24"/>
    </w:rPr>
  </w:style>
  <w:style w:type="character" w:customStyle="1" w:styleId="markedcontent">
    <w:name w:val="markedcontent"/>
    <w:basedOn w:val="Fuentedeprrafopredeter"/>
    <w:rsid w:val="009C1D1D"/>
  </w:style>
  <w:style w:type="paragraph" w:customStyle="1" w:styleId="item-document">
    <w:name w:val="item-document"/>
    <w:basedOn w:val="Normal"/>
    <w:rsid w:val="004A1966"/>
    <w:pPr>
      <w:spacing w:before="100" w:beforeAutospacing="1" w:after="100" w:afterAutospacing="1" w:line="240" w:lineRule="auto"/>
      <w:jc w:val="left"/>
    </w:pPr>
    <w:rPr>
      <w:rFonts w:ascii="Times New Roman" w:eastAsia="Times New Roman" w:hAnsi="Times New Roman" w:cs="Times New Roman"/>
      <w:lang w:eastAsia="es-MX"/>
    </w:rPr>
  </w:style>
  <w:style w:type="character" w:styleId="Fuerte">
    <w:name w:val="Strong"/>
    <w:basedOn w:val="Fuentedeprrafopredeter"/>
    <w:uiPriority w:val="22"/>
    <w:qFormat/>
    <w:rsid w:val="004A1966"/>
    <w:rPr>
      <w:b/>
      <w:bCs/>
    </w:rPr>
  </w:style>
  <w:style w:type="character" w:customStyle="1" w:styleId="ng-star-inserted">
    <w:name w:val="ng-star-inserted"/>
    <w:basedOn w:val="Fuentedeprrafopredeter"/>
    <w:rsid w:val="004A1966"/>
  </w:style>
  <w:style w:type="paragraph" w:customStyle="1" w:styleId="Cuerpo">
    <w:name w:val="Cuerpo"/>
    <w:rsid w:val="007E6AD8"/>
    <w:pPr>
      <w:widowControl w:val="0"/>
      <w:pBdr>
        <w:top w:val="nil"/>
        <w:left w:val="nil"/>
        <w:bottom w:val="nil"/>
        <w:right w:val="nil"/>
        <w:between w:val="nil"/>
        <w:bar w:val="nil"/>
      </w:pBdr>
      <w:adjustRightInd w:val="0"/>
      <w:jc w:val="both"/>
      <w:textAlignment w:val="baseline"/>
    </w:pPr>
    <w:rPr>
      <w:rFonts w:ascii="Times New Roman" w:eastAsia="Times New Roman" w:hAnsi="Times New Roman" w:cs="Calibri"/>
      <w:color w:val="000000"/>
      <w:u w:color="000000"/>
      <w:bdr w:val="nil"/>
      <w:lang w:eastAsia="es-MX"/>
    </w:rPr>
  </w:style>
  <w:style w:type="character" w:customStyle="1" w:styleId="corte4fondoCar1">
    <w:name w:val="corte4 fondo Car1"/>
    <w:rsid w:val="004E1F48"/>
    <w:rPr>
      <w:rFonts w:ascii="Arial" w:eastAsia="Arial" w:hAnsi="Arial" w:cs="Arial"/>
      <w:color w:val="000000"/>
      <w:sz w:val="30"/>
      <w:szCs w:val="30"/>
      <w:u w:color="000000"/>
      <w:bdr w:val="nil"/>
      <w:lang w:val="es-ES_tradnl" w:eastAsia="es-MX"/>
    </w:rPr>
  </w:style>
  <w:style w:type="character" w:customStyle="1" w:styleId="PrrafodelistaCar">
    <w:name w:val="Párrafo de lista Car"/>
    <w:aliases w:val="TEXTO GENERAL SENTENCIAS Car,Párrafo de lista1 Car,List Paragraph1 Car,Colorful List - Accent 11 Car,Cuadrícula clara - Énfasis 31 Car,Cita texto Car,Footnote Car,Dot pt Car,No Spacing1 Car,List Paragraph Char Char Char Car"/>
    <w:link w:val="Prrafodelista"/>
    <w:uiPriority w:val="34"/>
    <w:qFormat/>
    <w:locked/>
    <w:rsid w:val="004E1F48"/>
    <w:rPr>
      <w:rFonts w:ascii="Arial" w:hAnsi="Arial" w:cs="Arial"/>
      <w:sz w:val="24"/>
      <w:szCs w:val="24"/>
    </w:rPr>
  </w:style>
  <w:style w:type="character" w:customStyle="1" w:styleId="corte4fondoCar3">
    <w:name w:val="corte4 fondo Car3"/>
    <w:rsid w:val="005C0D87"/>
    <w:rPr>
      <w:rFonts w:ascii="Arial" w:eastAsia="Times New Roman" w:hAnsi="Arial" w:cs="Times New Roman"/>
      <w:sz w:val="30"/>
      <w:szCs w:val="24"/>
      <w:lang w:eastAsia="es-MX"/>
    </w:rPr>
  </w:style>
  <w:style w:type="character" w:styleId="Hipervnculo">
    <w:name w:val="Hyperlink"/>
    <w:basedOn w:val="Fuentedeprrafopredeter"/>
    <w:uiPriority w:val="99"/>
    <w:unhideWhenUsed/>
    <w:rsid w:val="00FA275E"/>
    <w:rPr>
      <w:color w:val="0563C1" w:themeColor="hyperlink"/>
      <w:u w:val="single"/>
    </w:rPr>
  </w:style>
  <w:style w:type="character" w:styleId="Mencinsinresolver">
    <w:name w:val="Unresolved Mention"/>
    <w:basedOn w:val="Fuentedeprrafopredeter"/>
    <w:uiPriority w:val="99"/>
    <w:semiHidden/>
    <w:unhideWhenUsed/>
    <w:rsid w:val="00FA275E"/>
    <w:rPr>
      <w:color w:val="605E5C"/>
      <w:shd w:val="clear" w:color="auto" w:fill="E1DFDD"/>
    </w:rPr>
  </w:style>
  <w:style w:type="paragraph" w:customStyle="1" w:styleId="pf0">
    <w:name w:val="pf0"/>
    <w:basedOn w:val="Normal"/>
    <w:rsid w:val="00652A16"/>
    <w:pPr>
      <w:spacing w:before="100" w:beforeAutospacing="1" w:after="100" w:afterAutospacing="1" w:line="240" w:lineRule="auto"/>
      <w:jc w:val="left"/>
    </w:pPr>
    <w:rPr>
      <w:rFonts w:ascii="Times New Roman" w:eastAsia="Times New Roman" w:hAnsi="Times New Roman" w:cs="Times New Roman"/>
      <w:lang w:eastAsia="es-MX"/>
    </w:rPr>
  </w:style>
  <w:style w:type="character" w:customStyle="1" w:styleId="cf01">
    <w:name w:val="cf01"/>
    <w:basedOn w:val="Fuentedeprrafopredeter"/>
    <w:rsid w:val="00652A16"/>
    <w:rPr>
      <w:rFonts w:ascii="Segoe UI" w:hAnsi="Segoe UI" w:cs="Segoe UI" w:hint="default"/>
      <w:sz w:val="18"/>
      <w:szCs w:val="18"/>
    </w:rPr>
  </w:style>
  <w:style w:type="character" w:customStyle="1" w:styleId="cf11">
    <w:name w:val="cf11"/>
    <w:basedOn w:val="Fuentedeprrafopredeter"/>
    <w:rsid w:val="00652A16"/>
    <w:rPr>
      <w:rFonts w:ascii="Segoe UI" w:hAnsi="Segoe UI" w:cs="Segoe UI" w:hint="default"/>
      <w:b/>
      <w:bCs/>
      <w:sz w:val="18"/>
      <w:szCs w:val="18"/>
    </w:rPr>
  </w:style>
  <w:style w:type="paragraph" w:styleId="Textodeglobo">
    <w:name w:val="Balloon Text"/>
    <w:basedOn w:val="Normal"/>
    <w:link w:val="TextodegloboCar"/>
    <w:uiPriority w:val="99"/>
    <w:semiHidden/>
    <w:rsid w:val="000A315A"/>
    <w:pPr>
      <w:spacing w:before="0" w:after="0" w:line="240" w:lineRule="auto"/>
      <w:jc w:val="left"/>
    </w:pPr>
    <w:rPr>
      <w:rFonts w:ascii="Tahoma" w:eastAsia="Times New Roman" w:hAnsi="Tahoma" w:cs="Tahoma"/>
      <w:sz w:val="16"/>
      <w:szCs w:val="16"/>
      <w:lang w:val="es-ES_tradnl" w:eastAsia="es-MX"/>
    </w:rPr>
  </w:style>
  <w:style w:type="character" w:customStyle="1" w:styleId="TextodegloboCar">
    <w:name w:val="Texto de globo Car"/>
    <w:basedOn w:val="Fuentedeprrafopredeter"/>
    <w:link w:val="Textodeglobo"/>
    <w:uiPriority w:val="99"/>
    <w:semiHidden/>
    <w:rsid w:val="000A315A"/>
    <w:rPr>
      <w:rFonts w:ascii="Tahoma" w:eastAsia="Times New Roman" w:hAnsi="Tahoma" w:cs="Tahoma"/>
      <w:sz w:val="16"/>
      <w:szCs w:val="16"/>
      <w:lang w:val="es-ES_tradnl"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770BA3"/>
    <w:pPr>
      <w:spacing w:before="0" w:after="0" w:line="240" w:lineRule="auto"/>
    </w:pPr>
    <w:rPr>
      <w:rFonts w:asciiTheme="minorHAnsi" w:hAnsiTheme="minorHAnsi" w:cstheme="minorBidi"/>
      <w:sz w:val="22"/>
      <w:szCs w:val="22"/>
      <w:vertAlign w:val="superscript"/>
    </w:rPr>
  </w:style>
  <w:style w:type="paragraph" w:customStyle="1" w:styleId="Estilo1">
    <w:name w:val="Estilo1"/>
    <w:basedOn w:val="Normal"/>
    <w:qFormat/>
    <w:rsid w:val="00770BA3"/>
    <w:pPr>
      <w:numPr>
        <w:numId w:val="2"/>
      </w:numPr>
      <w:spacing w:before="160" w:after="160" w:line="360" w:lineRule="auto"/>
      <w:ind w:left="360"/>
    </w:pPr>
    <w:rPr>
      <w:rFonts w:eastAsia="Times New Roman"/>
      <w:sz w:val="28"/>
      <w:szCs w:val="28"/>
      <w:lang w:eastAsia="es-ES"/>
    </w:rPr>
  </w:style>
  <w:style w:type="character" w:customStyle="1" w:styleId="corte4fondoCar">
    <w:name w:val="corte4 fondo Car"/>
    <w:rsid w:val="00060150"/>
    <w:rPr>
      <w:rFonts w:ascii="Arial" w:hAnsi="Arial"/>
      <w:sz w:val="30"/>
      <w:lang w:val="es-ES_tradnl" w:eastAsia="es-MX" w:bidi="ar-SA"/>
    </w:rPr>
  </w:style>
  <w:style w:type="paragraph" w:customStyle="1" w:styleId="TEXTONORMAL">
    <w:name w:val="TEXTO NORMAL"/>
    <w:basedOn w:val="Normal"/>
    <w:link w:val="TEXTONORMALCar"/>
    <w:rsid w:val="00060150"/>
    <w:pPr>
      <w:spacing w:before="0" w:after="0" w:line="360" w:lineRule="auto"/>
      <w:ind w:firstLine="709"/>
    </w:pPr>
    <w:rPr>
      <w:rFonts w:eastAsia="Times New Roman"/>
      <w:sz w:val="28"/>
      <w:szCs w:val="28"/>
      <w:lang w:eastAsia="es-ES"/>
    </w:rPr>
  </w:style>
  <w:style w:type="character" w:customStyle="1" w:styleId="TEXTONORMALCar">
    <w:name w:val="TEXTO NORMAL Car"/>
    <w:link w:val="TEXTONORMAL"/>
    <w:locked/>
    <w:rsid w:val="00060150"/>
    <w:rPr>
      <w:rFonts w:ascii="Arial" w:eastAsia="Times New Roman" w:hAnsi="Arial" w:cs="Arial"/>
      <w:sz w:val="28"/>
      <w:szCs w:val="28"/>
      <w:lang w:eastAsia="es-ES"/>
    </w:rPr>
  </w:style>
  <w:style w:type="paragraph" w:customStyle="1" w:styleId="corte5transcripcion">
    <w:name w:val="corte5 transcripcion"/>
    <w:basedOn w:val="Normal"/>
    <w:link w:val="corte5transcripcionCar1"/>
    <w:qFormat/>
    <w:rsid w:val="00C62E1F"/>
    <w:pPr>
      <w:spacing w:before="0" w:after="0" w:line="360" w:lineRule="auto"/>
      <w:ind w:left="709" w:right="709"/>
    </w:pPr>
    <w:rPr>
      <w:rFonts w:eastAsia="Times New Roman" w:cs="Times New Roman"/>
      <w:b/>
      <w:i/>
      <w:sz w:val="30"/>
      <w:szCs w:val="20"/>
      <w:lang w:val="es-ES_tradnl" w:eastAsia="es-MX"/>
    </w:rPr>
  </w:style>
  <w:style w:type="character" w:customStyle="1" w:styleId="corte5transcripcionCar1">
    <w:name w:val="corte5 transcripcion Car1"/>
    <w:link w:val="corte5transcripcion"/>
    <w:rsid w:val="00C62E1F"/>
    <w:rPr>
      <w:rFonts w:ascii="Arial" w:eastAsia="Times New Roman" w:hAnsi="Arial" w:cs="Times New Roman"/>
      <w:b/>
      <w:i/>
      <w:sz w:val="30"/>
      <w:szCs w:val="20"/>
      <w:lang w:val="es-ES_tradnl" w:eastAsia="es-MX"/>
    </w:rPr>
  </w:style>
  <w:style w:type="paragraph" w:customStyle="1" w:styleId="Textoindependiente21">
    <w:name w:val="Texto independiente 21"/>
    <w:basedOn w:val="Normal"/>
    <w:rsid w:val="007C6C35"/>
    <w:pPr>
      <w:widowControl w:val="0"/>
      <w:spacing w:before="0" w:after="0" w:line="360" w:lineRule="auto"/>
      <w:ind w:firstLine="720"/>
    </w:pPr>
    <w:rPr>
      <w:rFonts w:eastAsia="Times New Roman" w:cs="Times New Roman"/>
      <w:sz w:val="30"/>
      <w:szCs w:val="20"/>
      <w:lang w:val="es-ES_tradnl" w:eastAsia="es-ES"/>
    </w:rPr>
  </w:style>
  <w:style w:type="paragraph" w:styleId="NormalWeb">
    <w:name w:val="Normal (Web)"/>
    <w:basedOn w:val="Normal"/>
    <w:uiPriority w:val="99"/>
    <w:unhideWhenUsed/>
    <w:rsid w:val="002B08C0"/>
    <w:pPr>
      <w:spacing w:before="100" w:beforeAutospacing="1" w:after="100" w:afterAutospacing="1" w:line="240" w:lineRule="auto"/>
      <w:jc w:val="left"/>
    </w:pPr>
    <w:rPr>
      <w:rFonts w:ascii="Times New Roman" w:eastAsia="Times New Roman" w:hAnsi="Times New Roman" w:cs="Times New Roman"/>
      <w:lang w:eastAsia="es-MX"/>
    </w:rPr>
  </w:style>
  <w:style w:type="character" w:customStyle="1" w:styleId="normaltextrun">
    <w:name w:val="normaltextrun"/>
    <w:basedOn w:val="Fuentedeprrafopredeter"/>
    <w:rsid w:val="008F2DB9"/>
  </w:style>
  <w:style w:type="character" w:customStyle="1" w:styleId="eop">
    <w:name w:val="eop"/>
    <w:basedOn w:val="Fuentedeprrafopredeter"/>
    <w:rsid w:val="008F2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057">
      <w:bodyDiv w:val="1"/>
      <w:marLeft w:val="0"/>
      <w:marRight w:val="0"/>
      <w:marTop w:val="0"/>
      <w:marBottom w:val="0"/>
      <w:divBdr>
        <w:top w:val="none" w:sz="0" w:space="0" w:color="auto"/>
        <w:left w:val="none" w:sz="0" w:space="0" w:color="auto"/>
        <w:bottom w:val="none" w:sz="0" w:space="0" w:color="auto"/>
        <w:right w:val="none" w:sz="0" w:space="0" w:color="auto"/>
      </w:divBdr>
    </w:div>
    <w:div w:id="191847949">
      <w:bodyDiv w:val="1"/>
      <w:marLeft w:val="0"/>
      <w:marRight w:val="0"/>
      <w:marTop w:val="0"/>
      <w:marBottom w:val="0"/>
      <w:divBdr>
        <w:top w:val="none" w:sz="0" w:space="0" w:color="auto"/>
        <w:left w:val="none" w:sz="0" w:space="0" w:color="auto"/>
        <w:bottom w:val="none" w:sz="0" w:space="0" w:color="auto"/>
        <w:right w:val="none" w:sz="0" w:space="0" w:color="auto"/>
      </w:divBdr>
    </w:div>
    <w:div w:id="224754434">
      <w:bodyDiv w:val="1"/>
      <w:marLeft w:val="0"/>
      <w:marRight w:val="0"/>
      <w:marTop w:val="0"/>
      <w:marBottom w:val="0"/>
      <w:divBdr>
        <w:top w:val="none" w:sz="0" w:space="0" w:color="auto"/>
        <w:left w:val="none" w:sz="0" w:space="0" w:color="auto"/>
        <w:bottom w:val="none" w:sz="0" w:space="0" w:color="auto"/>
        <w:right w:val="none" w:sz="0" w:space="0" w:color="auto"/>
      </w:divBdr>
    </w:div>
    <w:div w:id="486363222">
      <w:bodyDiv w:val="1"/>
      <w:marLeft w:val="0"/>
      <w:marRight w:val="0"/>
      <w:marTop w:val="0"/>
      <w:marBottom w:val="0"/>
      <w:divBdr>
        <w:top w:val="none" w:sz="0" w:space="0" w:color="auto"/>
        <w:left w:val="none" w:sz="0" w:space="0" w:color="auto"/>
        <w:bottom w:val="none" w:sz="0" w:space="0" w:color="auto"/>
        <w:right w:val="none" w:sz="0" w:space="0" w:color="auto"/>
      </w:divBdr>
    </w:div>
    <w:div w:id="751119424">
      <w:bodyDiv w:val="1"/>
      <w:marLeft w:val="0"/>
      <w:marRight w:val="0"/>
      <w:marTop w:val="0"/>
      <w:marBottom w:val="0"/>
      <w:divBdr>
        <w:top w:val="none" w:sz="0" w:space="0" w:color="auto"/>
        <w:left w:val="none" w:sz="0" w:space="0" w:color="auto"/>
        <w:bottom w:val="none" w:sz="0" w:space="0" w:color="auto"/>
        <w:right w:val="none" w:sz="0" w:space="0" w:color="auto"/>
      </w:divBdr>
    </w:div>
    <w:div w:id="891893033">
      <w:bodyDiv w:val="1"/>
      <w:marLeft w:val="0"/>
      <w:marRight w:val="0"/>
      <w:marTop w:val="0"/>
      <w:marBottom w:val="0"/>
      <w:divBdr>
        <w:top w:val="none" w:sz="0" w:space="0" w:color="auto"/>
        <w:left w:val="none" w:sz="0" w:space="0" w:color="auto"/>
        <w:bottom w:val="none" w:sz="0" w:space="0" w:color="auto"/>
        <w:right w:val="none" w:sz="0" w:space="0" w:color="auto"/>
      </w:divBdr>
    </w:div>
    <w:div w:id="986201090">
      <w:bodyDiv w:val="1"/>
      <w:marLeft w:val="0"/>
      <w:marRight w:val="0"/>
      <w:marTop w:val="0"/>
      <w:marBottom w:val="0"/>
      <w:divBdr>
        <w:top w:val="none" w:sz="0" w:space="0" w:color="auto"/>
        <w:left w:val="none" w:sz="0" w:space="0" w:color="auto"/>
        <w:bottom w:val="none" w:sz="0" w:space="0" w:color="auto"/>
        <w:right w:val="none" w:sz="0" w:space="0" w:color="auto"/>
      </w:divBdr>
    </w:div>
    <w:div w:id="1013411885">
      <w:bodyDiv w:val="1"/>
      <w:marLeft w:val="0"/>
      <w:marRight w:val="0"/>
      <w:marTop w:val="0"/>
      <w:marBottom w:val="0"/>
      <w:divBdr>
        <w:top w:val="none" w:sz="0" w:space="0" w:color="auto"/>
        <w:left w:val="none" w:sz="0" w:space="0" w:color="auto"/>
        <w:bottom w:val="none" w:sz="0" w:space="0" w:color="auto"/>
        <w:right w:val="none" w:sz="0" w:space="0" w:color="auto"/>
      </w:divBdr>
    </w:div>
    <w:div w:id="1456631447">
      <w:bodyDiv w:val="1"/>
      <w:marLeft w:val="0"/>
      <w:marRight w:val="0"/>
      <w:marTop w:val="0"/>
      <w:marBottom w:val="0"/>
      <w:divBdr>
        <w:top w:val="none" w:sz="0" w:space="0" w:color="auto"/>
        <w:left w:val="none" w:sz="0" w:space="0" w:color="auto"/>
        <w:bottom w:val="none" w:sz="0" w:space="0" w:color="auto"/>
        <w:right w:val="none" w:sz="0" w:space="0" w:color="auto"/>
      </w:divBdr>
    </w:div>
    <w:div w:id="1491218926">
      <w:bodyDiv w:val="1"/>
      <w:marLeft w:val="0"/>
      <w:marRight w:val="0"/>
      <w:marTop w:val="0"/>
      <w:marBottom w:val="0"/>
      <w:divBdr>
        <w:top w:val="none" w:sz="0" w:space="0" w:color="auto"/>
        <w:left w:val="none" w:sz="0" w:space="0" w:color="auto"/>
        <w:bottom w:val="none" w:sz="0" w:space="0" w:color="auto"/>
        <w:right w:val="none" w:sz="0" w:space="0" w:color="auto"/>
      </w:divBdr>
    </w:div>
    <w:div w:id="1595165430">
      <w:bodyDiv w:val="1"/>
      <w:marLeft w:val="0"/>
      <w:marRight w:val="0"/>
      <w:marTop w:val="0"/>
      <w:marBottom w:val="0"/>
      <w:divBdr>
        <w:top w:val="none" w:sz="0" w:space="0" w:color="auto"/>
        <w:left w:val="none" w:sz="0" w:space="0" w:color="auto"/>
        <w:bottom w:val="none" w:sz="0" w:space="0" w:color="auto"/>
        <w:right w:val="none" w:sz="0" w:space="0" w:color="auto"/>
      </w:divBdr>
    </w:div>
    <w:div w:id="1637567236">
      <w:bodyDiv w:val="1"/>
      <w:marLeft w:val="0"/>
      <w:marRight w:val="0"/>
      <w:marTop w:val="0"/>
      <w:marBottom w:val="0"/>
      <w:divBdr>
        <w:top w:val="none" w:sz="0" w:space="0" w:color="auto"/>
        <w:left w:val="none" w:sz="0" w:space="0" w:color="auto"/>
        <w:bottom w:val="none" w:sz="0" w:space="0" w:color="auto"/>
        <w:right w:val="none" w:sz="0" w:space="0" w:color="auto"/>
      </w:divBdr>
    </w:div>
    <w:div w:id="1689410310">
      <w:bodyDiv w:val="1"/>
      <w:marLeft w:val="0"/>
      <w:marRight w:val="0"/>
      <w:marTop w:val="0"/>
      <w:marBottom w:val="0"/>
      <w:divBdr>
        <w:top w:val="none" w:sz="0" w:space="0" w:color="auto"/>
        <w:left w:val="none" w:sz="0" w:space="0" w:color="auto"/>
        <w:bottom w:val="none" w:sz="0" w:space="0" w:color="auto"/>
        <w:right w:val="none" w:sz="0" w:space="0" w:color="auto"/>
      </w:divBdr>
    </w:div>
    <w:div w:id="1696420126">
      <w:bodyDiv w:val="1"/>
      <w:marLeft w:val="0"/>
      <w:marRight w:val="0"/>
      <w:marTop w:val="0"/>
      <w:marBottom w:val="0"/>
      <w:divBdr>
        <w:top w:val="none" w:sz="0" w:space="0" w:color="auto"/>
        <w:left w:val="none" w:sz="0" w:space="0" w:color="auto"/>
        <w:bottom w:val="none" w:sz="0" w:space="0" w:color="auto"/>
        <w:right w:val="none" w:sz="0" w:space="0" w:color="auto"/>
      </w:divBdr>
    </w:div>
    <w:div w:id="1798638857">
      <w:bodyDiv w:val="1"/>
      <w:marLeft w:val="0"/>
      <w:marRight w:val="0"/>
      <w:marTop w:val="0"/>
      <w:marBottom w:val="0"/>
      <w:divBdr>
        <w:top w:val="none" w:sz="0" w:space="0" w:color="auto"/>
        <w:left w:val="none" w:sz="0" w:space="0" w:color="auto"/>
        <w:bottom w:val="none" w:sz="0" w:space="0" w:color="auto"/>
        <w:right w:val="none" w:sz="0" w:space="0" w:color="auto"/>
      </w:divBdr>
    </w:div>
    <w:div w:id="1808013804">
      <w:bodyDiv w:val="1"/>
      <w:marLeft w:val="0"/>
      <w:marRight w:val="0"/>
      <w:marTop w:val="0"/>
      <w:marBottom w:val="0"/>
      <w:divBdr>
        <w:top w:val="none" w:sz="0" w:space="0" w:color="auto"/>
        <w:left w:val="none" w:sz="0" w:space="0" w:color="auto"/>
        <w:bottom w:val="none" w:sz="0" w:space="0" w:color="auto"/>
        <w:right w:val="none" w:sz="0" w:space="0" w:color="auto"/>
      </w:divBdr>
    </w:div>
    <w:div w:id="1889995318">
      <w:bodyDiv w:val="1"/>
      <w:marLeft w:val="0"/>
      <w:marRight w:val="0"/>
      <w:marTop w:val="0"/>
      <w:marBottom w:val="0"/>
      <w:divBdr>
        <w:top w:val="none" w:sz="0" w:space="0" w:color="auto"/>
        <w:left w:val="none" w:sz="0" w:space="0" w:color="auto"/>
        <w:bottom w:val="none" w:sz="0" w:space="0" w:color="auto"/>
        <w:right w:val="none" w:sz="0" w:space="0" w:color="auto"/>
      </w:divBdr>
    </w:div>
    <w:div w:id="2034377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ckalachc\AppData\Local\Temp\Plantilla%20_283487_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6.xml>��
</file>

<file path=customXml/item7.xml><?xml version="1.0" encoding="utf-8"?>
<ct:contentTypeSchema xmlns:ct="http://schemas.microsoft.com/office/2006/metadata/contentType" xmlns:ma="http://schemas.microsoft.com/office/2006/metadata/properties/metaAttributes" ct:_="" ma:_="" ma:contentTypeName="Documento" ma:contentTypeID="0x010100DF928ED389F8CE46A0566EA1C85F35AC" ma:contentTypeVersion="4" ma:contentTypeDescription="Crear nuevo documento." ma:contentTypeScope="" ma:versionID="397369708787782b55332be7333893e4">
  <xsd:schema xmlns:xsd="http://www.w3.org/2001/XMLSchema" xmlns:xs="http://www.w3.org/2001/XMLSchema" xmlns:p="http://schemas.microsoft.com/office/2006/metadata/properties" xmlns:ns2="593e203e-b136-4ae9-97e2-b39e90baa225" targetNamespace="http://schemas.microsoft.com/office/2006/metadata/properties" ma:root="true" ma:fieldsID="2b4fc8b5677ac21d7a1f625f00ec1cda" ns2:_="">
    <xsd:import namespace="593e203e-b136-4ae9-97e2-b39e90baa2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e203e-b136-4ae9-97e2-b39e90baa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48F226-DA03-474C-862A-611294FDA339}">
  <ds:schemaRefs>
    <ds:schemaRef ds:uri="http://schemas.openxmlformats.org/AsuntoActual"/>
  </ds:schemaRefs>
</ds:datastoreItem>
</file>

<file path=customXml/itemProps2.xml><?xml version="1.0" encoding="utf-8"?>
<ds:datastoreItem xmlns:ds="http://schemas.openxmlformats.org/officeDocument/2006/customXml" ds:itemID="{4F9AF52B-CB23-4210-9723-C1E3349144D3}">
  <ds:schemaRefs>
    <ds:schemaRef ds:uri="http://schemas.openxmlformats.org/PlantillaActual"/>
  </ds:schemaRefs>
</ds:datastoreItem>
</file>

<file path=customXml/itemProps3.xml><?xml version="1.0" encoding="utf-8"?>
<ds:datastoreItem xmlns:ds="http://schemas.openxmlformats.org/officeDocument/2006/customXml" ds:itemID="{9BBED2CC-858A-4DBE-B0E3-2AD1B3F2B127}">
  <ds:schemaRefs>
    <ds:schemaRef ds:uri="http://schemas.microsoft.com/sharepoint/v3/contenttype/forms"/>
  </ds:schemaRefs>
</ds:datastoreItem>
</file>

<file path=customXml/itemProps4.xml><?xml version="1.0" encoding="utf-8"?>
<ds:datastoreItem xmlns:ds="http://schemas.openxmlformats.org/officeDocument/2006/customXml" ds:itemID="{790C502D-F8E0-470E-8C41-48F9333BF692}">
  <ds:schemaRefs>
    <ds:schemaRef ds:uri="http://schemas.openxmlformats.org/officeDocument/2006/bibliography"/>
  </ds:schemaRefs>
</ds:datastoreItem>
</file>

<file path=customXml/itemProps5.xml><?xml version="1.0" encoding="utf-8"?>
<ds:datastoreItem xmlns:ds="http://schemas.openxmlformats.org/officeDocument/2006/customXml" ds:itemID="{FAD4E49F-3982-4D9F-B2B5-EB0147413CD2}">
  <ds:schemaRefs>
    <ds:schemaRef ds:uri="http://schemas.openxmlformats.org/ExpedienteActual"/>
  </ds:schemaRefs>
</ds:datastoreItem>
</file>

<file path=customXml/itemProps6.xml><?xml version="1.0" encoding="utf-8"?>
<ds:datastoreItem xmlns:ds="http://schemas.openxmlformats.org/officeDocument/2006/customXml" ds:itemID="{F75D7F70-B510-4DC7-913B-99B5987A0279}">
  <ds:schemaRefs>
    <ds:schemaRef ds:uri="http://schemas.openxmlformats.org/RibbonEstatus"/>
  </ds:schemaRefs>
</ds:datastoreItem>
</file>

<file path=customXml/itemProps7.xml><?xml version="1.0" encoding="utf-8"?>
<ds:datastoreItem xmlns:ds="http://schemas.openxmlformats.org/officeDocument/2006/customXml" ds:itemID="{257C4F53-E7E6-4238-B256-02A8A3B47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e203e-b136-4ae9-97e2-b39e90baa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6D339DA3-01EC-4A7E-96B1-AACA25B915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Plantilla _283487_3(1).dotx</Template>
  <TotalTime>13</TotalTime>
  <Pages>57</Pages>
  <Words>11743</Words>
  <Characters>64587</Characters>
  <Application>Microsoft Office Word</Application>
  <DocSecurity>0</DocSecurity>
  <Lines>538</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JESUS ORTEGA GARCIA</dc:creator>
  <cp:keywords/>
  <dc:description/>
  <cp:lastModifiedBy>José Enrique de Jesús Rodríguez Martínez</cp:lastModifiedBy>
  <cp:revision>7</cp:revision>
  <cp:lastPrinted>2025-09-12T18:46:00Z</cp:lastPrinted>
  <dcterms:created xsi:type="dcterms:W3CDTF">2026-08-12T21:43:00Z</dcterms:created>
  <dcterms:modified xsi:type="dcterms:W3CDTF">2026-08-17T21:40:00Z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0x010100DF928ED389F8CE46A0566EA1C85F35AC</vt:lpwstr>
  </property>
  <property fmtid="{D5CDD505-2E9C-101B-9397-08002B2CF9AE}" pid="3" name="_dlc_DocIdItemGuid">
    <vt:lpwstr>06d18dea-0057-42b0-9735-5e77a1554d83</vt:lpwstr>
  </property>
  <property fmtid="{D5CDD505-2E9C-101B-9397-08002B2CF9AE}" pid="4" name="GrammarlyDocumentId">
    <vt:lpwstr>59d8b1700d8b06c8cca09a807fb036a7ee06b777f5da8a9398a23832440086a7</vt:lpwstr>
  </property>
</Properties>
</file>